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pPr w:leftFromText="180" w:rightFromText="180" w:vertAnchor="page" w:horzAnchor="margin" w:tblpXSpec="center" w:tblpY="608"/>
        <w:tblW w:w="105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79"/>
        <w:gridCol w:w="1879"/>
        <w:gridCol w:w="1623"/>
        <w:gridCol w:w="5691"/>
        <w:gridCol w:w="1318"/>
      </w:tblGrid>
      <w:tr w:rsidR="00F26461" w:rsidRPr="00CB0B73" w:rsidTr="00870541">
        <w:trPr>
          <w:cnfStyle w:val="100000000000"/>
          <w:trHeight w:val="701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7365D" w:themeFill="text2" w:themeFillShade="BF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</w:pPr>
            <w:bookmarkStart w:id="0" w:name="_GoBack"/>
            <w:bookmarkEnd w:id="0"/>
            <w:proofErr w:type="spellStart"/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  <w:t>S.No</w:t>
            </w:r>
            <w:proofErr w:type="spellEnd"/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  <w:t>.</w:t>
            </w: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7365D" w:themeFill="text2" w:themeFillShade="BF"/>
            <w:vAlign w:val="center"/>
          </w:tcPr>
          <w:p w:rsidR="00F26461" w:rsidRPr="00CB0B73" w:rsidRDefault="00F26461" w:rsidP="00870541">
            <w:pPr>
              <w:pStyle w:val="NoSpacing"/>
              <w:cnfStyle w:val="100000000000"/>
              <w:rPr>
                <w:rFonts w:ascii="DINPro-Regular" w:hAnsi="DINPro-Regular" w:cstheme="minorHAnsi"/>
                <w:b w:val="0"/>
                <w:color w:val="FFFFFF" w:themeColor="background1"/>
                <w:sz w:val="22"/>
                <w:szCs w:val="22"/>
                <w:highlight w:val="darkBlue"/>
              </w:rPr>
            </w:pPr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  <w:t>NAME OF LICENSE/ REGISTRATION</w:t>
            </w:r>
          </w:p>
        </w:tc>
        <w:tc>
          <w:tcPr>
            <w:tcW w:w="18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7365D" w:themeFill="text2" w:themeFillShade="BF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100000000000"/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</w:pPr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  <w:t>PURPOSE</w:t>
            </w:r>
          </w:p>
        </w:tc>
        <w:tc>
          <w:tcPr>
            <w:tcW w:w="335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7365D" w:themeFill="text2" w:themeFillShade="BF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100000000000"/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</w:pPr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  <w:t>LICENCE NO. WITH DATE</w:t>
            </w:r>
          </w:p>
        </w:tc>
        <w:tc>
          <w:tcPr>
            <w:tcW w:w="15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7365D" w:themeFill="text2" w:themeFillShade="BF"/>
            <w:vAlign w:val="center"/>
          </w:tcPr>
          <w:p w:rsidR="00F26461" w:rsidRPr="00CB0B73" w:rsidRDefault="00F26461" w:rsidP="00870541">
            <w:pPr>
              <w:pStyle w:val="NoSpacing"/>
              <w:jc w:val="center"/>
              <w:cnfStyle w:val="100000000000"/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</w:pPr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  <w:highlight w:val="darkBlue"/>
              </w:rPr>
              <w:t>Current Status</w:t>
            </w:r>
          </w:p>
        </w:tc>
      </w:tr>
      <w:tr w:rsidR="00F26461" w:rsidRPr="00CB0B73" w:rsidTr="00870541">
        <w:trPr>
          <w:cnfStyle w:val="000000100000"/>
          <w:trHeight w:val="217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7365D" w:themeFill="text2" w:themeFillShade="BF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Cs/>
                <w:color w:val="FFFFFF" w:themeColor="background1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FFFFFF" w:themeColor="background1"/>
                <w:sz w:val="22"/>
                <w:szCs w:val="22"/>
              </w:rPr>
              <w:t>ISSUING AUTHORITY</w:t>
            </w:r>
          </w:p>
        </w:tc>
        <w:tc>
          <w:tcPr>
            <w:tcW w:w="186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6DDE8" w:themeFill="accent5" w:themeFillTint="66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100000"/>
              <w:rPr>
                <w:rFonts w:ascii="DINPro-Regular" w:hAnsi="DINPro-Regular" w:cstheme="minorHAnsi"/>
                <w:bCs/>
                <w:sz w:val="22"/>
                <w:szCs w:val="22"/>
              </w:rPr>
            </w:pPr>
          </w:p>
        </w:tc>
        <w:tc>
          <w:tcPr>
            <w:tcW w:w="335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6DDE8" w:themeFill="accent5" w:themeFillTint="66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100000"/>
              <w:rPr>
                <w:rFonts w:ascii="DINPro-Regular" w:hAnsi="DINPro-Regular" w:cstheme="minorHAnsi"/>
                <w:bCs/>
                <w:sz w:val="22"/>
                <w:szCs w:val="22"/>
              </w:rPr>
            </w:pPr>
          </w:p>
        </w:tc>
      </w:tr>
      <w:tr w:rsidR="00F26461" w:rsidRPr="00CB0B73" w:rsidTr="004837E3">
        <w:trPr>
          <w:cnfStyle w:val="000000010000"/>
          <w:trHeight w:val="2212"/>
        </w:trPr>
        <w:tc>
          <w:tcPr>
            <w:cnfStyle w:val="001000000000"/>
            <w:tcW w:w="8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8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jc w:val="both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The Factory was established in the year 1931-32. At that time ZA (</w:t>
            </w: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Zamidari</w:t>
            </w:r>
            <w:proofErr w:type="spellEnd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Act) was not exist. On the above land, Factory machines &amp; Colony is in existence. Like inside the plant, machinery and building,</w:t>
            </w: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Roads &amp;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Culverts etc,</w:t>
            </w:r>
          </w:p>
        </w:tc>
        <w:tc>
          <w:tcPr>
            <w:tcW w:w="15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23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8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Default="00F26461" w:rsidP="00870541">
            <w:pPr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Plan no. 529 F/</w:t>
            </w: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Rekha</w:t>
            </w:r>
            <w:proofErr w:type="spellEnd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dated 23/10/2010</w:t>
            </w: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(Sugar)</w:t>
            </w:r>
          </w:p>
          <w:p w:rsidR="00F26461" w:rsidRDefault="00F26461" w:rsidP="00870541">
            <w:pPr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&amp; 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</w:t>
            </w:r>
          </w:p>
          <w:p w:rsidR="00F26461" w:rsidRDefault="00F26461" w:rsidP="00870541">
            <w:pPr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Plan no.2224 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F/</w:t>
            </w:r>
            <w:proofErr w:type="spellStart"/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Lic</w:t>
            </w:r>
            <w:proofErr w:type="spellEnd"/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Site 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dated 2</w:t>
            </w: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8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/1</w:t>
            </w: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2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/20</w:t>
            </w: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2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(Distillery)</w:t>
            </w:r>
          </w:p>
          <w:p w:rsidR="00F26461" w:rsidRPr="00CB0B73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010000"/>
          <w:trHeight w:val="48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Deptt</w:t>
            </w:r>
            <w:proofErr w:type="spellEnd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6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cnfStyle w:val="000000010000"/>
              <w:rPr>
                <w:rFonts w:ascii="DINPro-Regular" w:hAnsi="DINPro-Regular" w:cstheme="minorHAnsi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Approved by Dy. Director of Factories UP, </w:t>
            </w: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Lucknow</w:t>
            </w:r>
            <w:proofErr w:type="spellEnd"/>
          </w:p>
        </w:tc>
        <w:tc>
          <w:tcPr>
            <w:tcW w:w="151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48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18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NOC under </w:t>
            </w: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firefighting</w:t>
            </w:r>
            <w:proofErr w:type="spellEnd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 scheme</w:t>
            </w: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C87E18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TILL          30-12-2022</w:t>
            </w:r>
          </w:p>
        </w:tc>
      </w:tr>
      <w:tr w:rsidR="00F26461" w:rsidRPr="00CB0B73" w:rsidTr="00870541">
        <w:trPr>
          <w:cnfStyle w:val="000000010000"/>
          <w:trHeight w:val="48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Chief Fire fighting Officer, </w:t>
            </w:r>
          </w:p>
        </w:tc>
        <w:tc>
          <w:tcPr>
            <w:tcW w:w="186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C87E18" w:rsidRDefault="00C87E18" w:rsidP="00C87E18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UPFS/2019/15167/KHR/KHERI/82/CFO</w:t>
            </w:r>
          </w:p>
          <w:p w:rsidR="00C87E18" w:rsidRDefault="00C87E18" w:rsidP="00C87E18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6461" w:rsidRPr="00CB0B73" w:rsidRDefault="00C87E18" w:rsidP="00C87E18">
            <w:pPr>
              <w:cnfStyle w:val="000000010000"/>
              <w:rPr>
                <w:rFonts w:ascii="DINPro-Regular" w:hAnsi="DINPro-Regular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DATED- 30-12-2019</w:t>
            </w:r>
          </w:p>
        </w:tc>
        <w:tc>
          <w:tcPr>
            <w:tcW w:w="151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570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18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55870">
              <w:rPr>
                <w:rFonts w:asciiTheme="minorHAnsi" w:hAnsiTheme="minorHAnsi" w:cstheme="minorHAnsi"/>
                <w:sz w:val="22"/>
                <w:szCs w:val="22"/>
              </w:rPr>
              <w:t>202106000346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DATED- 17-08-2021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55870">
              <w:rPr>
                <w:rFonts w:asciiTheme="minorHAnsi" w:hAnsiTheme="minorHAnsi" w:cstheme="minorHAnsi"/>
                <w:sz w:val="22"/>
                <w:szCs w:val="22"/>
              </w:rPr>
              <w:t>202106000347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55870">
              <w:rPr>
                <w:rFonts w:asciiTheme="minorHAnsi" w:hAnsiTheme="minorHAnsi" w:cstheme="minorHAnsi"/>
                <w:sz w:val="22"/>
                <w:szCs w:val="22"/>
              </w:rPr>
              <w:t>202106000350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55870">
              <w:rPr>
                <w:rFonts w:asciiTheme="minorHAnsi" w:hAnsiTheme="minorHAnsi" w:cstheme="minorHAnsi"/>
                <w:sz w:val="22"/>
                <w:szCs w:val="22"/>
              </w:rPr>
              <w:t>202106000352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55870">
              <w:rPr>
                <w:rFonts w:asciiTheme="minorHAnsi" w:hAnsiTheme="minorHAnsi" w:cstheme="minorHAnsi"/>
                <w:sz w:val="22"/>
                <w:szCs w:val="22"/>
              </w:rPr>
              <w:t>202106000661</w:t>
            </w:r>
          </w:p>
          <w:p w:rsidR="00F26461" w:rsidRPr="00CB0B73" w:rsidRDefault="00C87E18" w:rsidP="00C87E18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  <w:r w:rsidRPr="00755870">
              <w:rPr>
                <w:rFonts w:asciiTheme="minorHAnsi" w:hAnsiTheme="minorHAnsi" w:cstheme="minorHAnsi"/>
                <w:sz w:val="22"/>
                <w:szCs w:val="22"/>
              </w:rPr>
              <w:t>202106000665</w:t>
            </w:r>
          </w:p>
        </w:tc>
        <w:tc>
          <w:tcPr>
            <w:tcW w:w="15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C87E18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TILL 16-08-2026</w:t>
            </w:r>
          </w:p>
        </w:tc>
      </w:tr>
      <w:tr w:rsidR="00F26461" w:rsidRPr="00CB0B73" w:rsidTr="00870541">
        <w:trPr>
          <w:cnfStyle w:val="000000010000"/>
          <w:trHeight w:val="60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ADM, XXX</w:t>
            </w:r>
          </w:p>
        </w:tc>
        <w:tc>
          <w:tcPr>
            <w:tcW w:w="186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XYZ</w:t>
            </w:r>
          </w:p>
        </w:tc>
        <w:tc>
          <w:tcPr>
            <w:tcW w:w="151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48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Power load sanction/ Electric connection</w:t>
            </w:r>
          </w:p>
        </w:tc>
        <w:tc>
          <w:tcPr>
            <w:tcW w:w="18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For Power load sanction</w:t>
            </w:r>
          </w:p>
        </w:tc>
        <w:tc>
          <w:tcPr>
            <w:tcW w:w="335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8823AF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500 KVA</w:t>
            </w:r>
          </w:p>
        </w:tc>
        <w:tc>
          <w:tcPr>
            <w:tcW w:w="15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</w:tr>
      <w:tr w:rsidR="00F26461" w:rsidRPr="00CB0B73" w:rsidTr="004837E3">
        <w:trPr>
          <w:cnfStyle w:val="000000010000"/>
          <w:trHeight w:val="102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/XXX</w:t>
            </w:r>
          </w:p>
        </w:tc>
        <w:tc>
          <w:tcPr>
            <w:tcW w:w="186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192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18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335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8"/>
              </w:rPr>
            </w:pPr>
          </w:p>
          <w:p w:rsidR="00F26461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8"/>
              </w:rPr>
            </w:pPr>
            <w:r w:rsidRPr="00CB0B73">
              <w:rPr>
                <w:rFonts w:ascii="DINPro-Regular" w:eastAsiaTheme="minorHAnsi" w:hAnsi="DINPro-Regular"/>
                <w:sz w:val="22"/>
                <w:szCs w:val="28"/>
              </w:rPr>
              <w:t>UPFA24000010</w:t>
            </w:r>
            <w:r>
              <w:rPr>
                <w:rFonts w:ascii="DINPro-Regular" w:eastAsiaTheme="minorHAnsi" w:hAnsi="DINPro-Regular"/>
                <w:sz w:val="22"/>
                <w:szCs w:val="28"/>
              </w:rPr>
              <w:t xml:space="preserve"> (Sugar)</w:t>
            </w:r>
          </w:p>
          <w:p w:rsidR="00F26461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8"/>
              </w:rPr>
            </w:pPr>
            <w:r>
              <w:rPr>
                <w:rFonts w:ascii="DINPro-Regular" w:eastAsiaTheme="minorHAnsi" w:hAnsi="DINPro-Regular"/>
                <w:sz w:val="22"/>
                <w:szCs w:val="28"/>
              </w:rPr>
              <w:t xml:space="preserve">&amp; </w:t>
            </w:r>
          </w:p>
          <w:p w:rsidR="00F26461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8"/>
              </w:rPr>
            </w:pPr>
            <w:r w:rsidRPr="00CB0B73">
              <w:rPr>
                <w:rFonts w:ascii="DINPro-Regular" w:eastAsiaTheme="minorHAnsi" w:hAnsi="DINPro-Regular"/>
                <w:sz w:val="22"/>
                <w:szCs w:val="28"/>
              </w:rPr>
              <w:t>UPFA240000</w:t>
            </w:r>
            <w:r>
              <w:rPr>
                <w:rFonts w:ascii="DINPro-Regular" w:eastAsiaTheme="minorHAnsi" w:hAnsi="DINPro-Regular"/>
                <w:sz w:val="22"/>
                <w:szCs w:val="28"/>
              </w:rPr>
              <w:t>2</w:t>
            </w:r>
            <w:r w:rsidRPr="00CB0B73">
              <w:rPr>
                <w:rFonts w:ascii="DINPro-Regular" w:eastAsiaTheme="minorHAnsi" w:hAnsi="DINPro-Regular"/>
                <w:sz w:val="22"/>
                <w:szCs w:val="28"/>
              </w:rPr>
              <w:t>0</w:t>
            </w:r>
            <w:r>
              <w:rPr>
                <w:rFonts w:ascii="DINPro-Regular" w:eastAsiaTheme="minorHAnsi" w:hAnsi="DINPro-Regular"/>
                <w:sz w:val="22"/>
                <w:szCs w:val="28"/>
              </w:rPr>
              <w:t xml:space="preserve"> (Distillery)</w:t>
            </w:r>
          </w:p>
          <w:p w:rsidR="00F26461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8"/>
              </w:rPr>
            </w:pPr>
          </w:p>
          <w:p w:rsidR="00F26461" w:rsidRPr="00CB0B73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Approved by Dy. Director of Factories </w:t>
            </w:r>
            <w:proofErr w:type="spellStart"/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UP,Lucknow</w:t>
            </w:r>
            <w:proofErr w:type="spellEnd"/>
          </w:p>
        </w:tc>
        <w:tc>
          <w:tcPr>
            <w:tcW w:w="15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  <w:p w:rsidR="00F26461" w:rsidRPr="00B971E4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6"/>
              </w:rPr>
            </w:pPr>
            <w:r w:rsidRPr="00B971E4">
              <w:rPr>
                <w:rFonts w:ascii="DINPro-Regular" w:eastAsiaTheme="minorHAnsi" w:hAnsi="DINPro-Regular"/>
                <w:sz w:val="22"/>
                <w:szCs w:val="26"/>
              </w:rPr>
              <w:t>31.12.2029</w:t>
            </w:r>
          </w:p>
          <w:p w:rsidR="00F26461" w:rsidRPr="00B971E4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6"/>
              </w:rPr>
            </w:pPr>
            <w:r w:rsidRPr="00B971E4">
              <w:rPr>
                <w:rFonts w:ascii="DINPro-Regular" w:eastAsiaTheme="minorHAnsi" w:hAnsi="DINPro-Regular"/>
                <w:sz w:val="22"/>
                <w:szCs w:val="26"/>
              </w:rPr>
              <w:t>&amp;</w:t>
            </w:r>
          </w:p>
          <w:p w:rsidR="00F26461" w:rsidRPr="00B971E4" w:rsidRDefault="00F26461" w:rsidP="00870541">
            <w:pPr>
              <w:cnfStyle w:val="000000100000"/>
              <w:rPr>
                <w:rFonts w:ascii="DINPro-Regular" w:eastAsiaTheme="minorHAnsi" w:hAnsi="DINPro-Regular"/>
                <w:sz w:val="22"/>
                <w:szCs w:val="26"/>
              </w:rPr>
            </w:pPr>
            <w:r w:rsidRPr="00B971E4">
              <w:rPr>
                <w:rFonts w:ascii="DINPro-Regular" w:eastAsiaTheme="minorHAnsi" w:hAnsi="DINPro-Regular"/>
                <w:sz w:val="22"/>
                <w:szCs w:val="26"/>
              </w:rPr>
              <w:t>31.12.2022</w:t>
            </w:r>
          </w:p>
          <w:p w:rsidR="00F26461" w:rsidRPr="00CB0B73" w:rsidRDefault="00F26461" w:rsidP="00870541">
            <w:pPr>
              <w:cnfStyle w:val="000000100000"/>
              <w:rPr>
                <w:rFonts w:ascii="DINPro-Regular" w:hAnsi="DINPro-Regular" w:cstheme="minorHAnsi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010000"/>
          <w:trHeight w:val="192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186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280"/>
        </w:trPr>
        <w:tc>
          <w:tcPr>
            <w:cnfStyle w:val="001000000000"/>
            <w:tcW w:w="830" w:type="dxa"/>
            <w:vMerge w:val="restart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864" w:type="dxa"/>
            <w:vMerge w:val="restart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3350" w:type="dxa"/>
            <w:vMerge w:val="restart"/>
            <w:shd w:val="clear" w:color="auto" w:fill="auto"/>
          </w:tcPr>
          <w:p w:rsidR="00F26461" w:rsidRPr="00CB0B73" w:rsidRDefault="00E27868" w:rsidP="00870541">
            <w:pPr>
              <w:pStyle w:val="NoSpacing"/>
              <w:spacing w:line="360" w:lineRule="auto"/>
              <w:jc w:val="center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 xml:space="preserve">Registration No. 5522, 5953,3349,3976 &amp; 4878 on dated 29.09.2021 </w:t>
            </w:r>
          </w:p>
        </w:tc>
        <w:tc>
          <w:tcPr>
            <w:tcW w:w="1510" w:type="dxa"/>
            <w:vMerge w:val="restart"/>
            <w:shd w:val="clear" w:color="auto" w:fill="auto"/>
          </w:tcPr>
          <w:p w:rsidR="00F26461" w:rsidRPr="00CB0B73" w:rsidRDefault="00E27868" w:rsidP="006F4D6E">
            <w:pPr>
              <w:pStyle w:val="NoSpacing"/>
              <w:spacing w:line="360" w:lineRule="auto"/>
              <w:jc w:val="center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TILL          28.08.2022 Except Regi</w:t>
            </w:r>
            <w:r w:rsidR="006F4D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tration no</w:t>
            </w:r>
            <w:r w:rsidR="006F4D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5953 valid till 18.09.2022</w:t>
            </w:r>
          </w:p>
        </w:tc>
      </w:tr>
      <w:tr w:rsidR="00F26461" w:rsidRPr="00CB0B73" w:rsidTr="00870541">
        <w:trPr>
          <w:cnfStyle w:val="000000010000"/>
          <w:trHeight w:val="202"/>
        </w:trPr>
        <w:tc>
          <w:tcPr>
            <w:cnfStyle w:val="001000000000"/>
            <w:tcW w:w="830" w:type="dxa"/>
            <w:vMerge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864" w:type="dxa"/>
            <w:vMerge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405"/>
        </w:trPr>
        <w:tc>
          <w:tcPr>
            <w:cnfStyle w:val="001000000000"/>
            <w:tcW w:w="830" w:type="dxa"/>
            <w:vMerge w:val="restart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864" w:type="dxa"/>
            <w:vMerge w:val="restart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3350" w:type="dxa"/>
            <w:vMerge w:val="restart"/>
            <w:shd w:val="clear" w:color="auto" w:fill="auto"/>
          </w:tcPr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CTO Water- </w:t>
            </w:r>
          </w:p>
          <w:p w:rsidR="00C87E18" w:rsidRPr="0009692C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69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139049/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UPPCB/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Lucknow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(UPPCBRO)/CTO/wate</w:t>
            </w:r>
            <w:r w:rsidRPr="000969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r/LAKHIMPUR KHIRI/2021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DATED-07/02/2022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CTO AIR-</w:t>
            </w:r>
          </w:p>
          <w:p w:rsidR="00C87E18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87E18" w:rsidRPr="0009692C" w:rsidRDefault="00C87E18" w:rsidP="00C87E18">
            <w:pPr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69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138827/UPPCB/</w:t>
            </w:r>
            <w:proofErr w:type="spellStart"/>
            <w:r w:rsidRPr="000969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Lucknow</w:t>
            </w:r>
            <w:proofErr w:type="spellEnd"/>
            <w:r w:rsidRPr="000969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(UPPCBRO)/CTO/air/LAKHIMPUR KHIRI/2021</w:t>
            </w:r>
          </w:p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:rsidR="00C87E18" w:rsidRDefault="00C87E18" w:rsidP="00C87E18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VALID TILL 31/12/2023</w:t>
            </w:r>
          </w:p>
          <w:p w:rsidR="00C87E18" w:rsidRPr="0009692C" w:rsidRDefault="00C87E18" w:rsidP="00C87E18">
            <w:pPr>
              <w:cnfStyle w:val="000000100000"/>
            </w:pPr>
          </w:p>
          <w:p w:rsidR="00C87E18" w:rsidRPr="0009692C" w:rsidRDefault="00C87E18" w:rsidP="00C87E18">
            <w:pPr>
              <w:cnfStyle w:val="000000100000"/>
            </w:pPr>
          </w:p>
          <w:p w:rsidR="00C87E18" w:rsidRPr="0009692C" w:rsidRDefault="00C87E18" w:rsidP="00C87E18">
            <w:pPr>
              <w:cnfStyle w:val="000000100000"/>
            </w:pPr>
          </w:p>
          <w:p w:rsidR="00C87E18" w:rsidRDefault="00C87E18" w:rsidP="00C87E18">
            <w:pPr>
              <w:cnfStyle w:val="000000100000"/>
            </w:pPr>
          </w:p>
          <w:p w:rsidR="00F26461" w:rsidRPr="00CB0B73" w:rsidRDefault="00C87E18" w:rsidP="00C87E18">
            <w:pPr>
              <w:pStyle w:val="NoSpacing"/>
              <w:spacing w:line="360" w:lineRule="auto"/>
              <w:jc w:val="center"/>
              <w:cnfStyle w:val="00000010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VALID TILL 31/12/2023</w:t>
            </w:r>
          </w:p>
        </w:tc>
      </w:tr>
      <w:tr w:rsidR="00F26461" w:rsidRPr="00CB0B73" w:rsidTr="00870541">
        <w:trPr>
          <w:cnfStyle w:val="000000010000"/>
          <w:trHeight w:val="405"/>
        </w:trPr>
        <w:tc>
          <w:tcPr>
            <w:cnfStyle w:val="001000000000"/>
            <w:tcW w:w="830" w:type="dxa"/>
            <w:vMerge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="DINPro-Regular" w:hAnsi="DINPro-Regular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  <w:r w:rsidRPr="00CB0B73">
              <w:rPr>
                <w:rFonts w:ascii="DINPro-Regular" w:hAnsi="DINPro-Regular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1864" w:type="dxa"/>
            <w:vMerge/>
            <w:shd w:val="clear" w:color="auto" w:fill="auto"/>
            <w:vAlign w:val="center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F26461" w:rsidRPr="00CB0B73" w:rsidRDefault="00F26461" w:rsidP="00870541">
            <w:pPr>
              <w:pStyle w:val="NoSpacing"/>
              <w:spacing w:line="360" w:lineRule="auto"/>
              <w:jc w:val="center"/>
              <w:cnfStyle w:val="000000010000"/>
              <w:rPr>
                <w:rFonts w:ascii="DINPro-Regular" w:hAnsi="DINPro-Regular" w:cstheme="minorHAnsi"/>
                <w:color w:val="000000"/>
                <w:sz w:val="22"/>
                <w:szCs w:val="22"/>
              </w:rPr>
            </w:pPr>
          </w:p>
        </w:tc>
      </w:tr>
      <w:tr w:rsidR="00F26461" w:rsidRPr="00CB0B73" w:rsidTr="00870541">
        <w:trPr>
          <w:cnfStyle w:val="000000100000"/>
          <w:trHeight w:val="60"/>
        </w:trPr>
        <w:tc>
          <w:tcPr>
            <w:cnfStyle w:val="001000000000"/>
            <w:tcW w:w="10548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F26461" w:rsidRPr="004837E3" w:rsidRDefault="00F26461" w:rsidP="00870541">
            <w:pPr>
              <w:autoSpaceDE w:val="0"/>
              <w:autoSpaceDN w:val="0"/>
              <w:adjustRightInd w:val="0"/>
              <w:spacing w:line="360" w:lineRule="auto"/>
              <w:rPr>
                <w:rFonts w:ascii="DINPro-Regular" w:hAnsi="DINPro-Regular" w:cstheme="minorHAnsi"/>
                <w:bCs w:val="0"/>
                <w:i/>
                <w:lang w:eastAsia="en-IN"/>
              </w:rPr>
            </w:pPr>
            <w:r w:rsidRPr="00CB0B73">
              <w:rPr>
                <w:rFonts w:ascii="DINPro-Regular" w:hAnsi="DINPro-Regular" w:cstheme="minorHAnsi"/>
                <w:bCs w:val="0"/>
                <w:i/>
                <w:sz w:val="22"/>
                <w:szCs w:val="22"/>
                <w:lang w:eastAsia="en-IN"/>
              </w:rPr>
              <w:lastRenderedPageBreak/>
              <w:t>Observations &amp; Comments:</w:t>
            </w:r>
          </w:p>
          <w:p w:rsidR="00F26461" w:rsidRPr="00233CAA" w:rsidRDefault="00F26461" w:rsidP="0087054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INPro-Regular" w:hAnsi="DINPro-Regular" w:cstheme="minorHAnsi"/>
                <w:sz w:val="22"/>
                <w:szCs w:val="22"/>
              </w:rPr>
            </w:pPr>
            <w:r w:rsidRPr="00233CAA">
              <w:rPr>
                <w:rFonts w:ascii="DINPro-Regular" w:hAnsi="DINPro-Regular" w:cstheme="minorHAnsi"/>
                <w:b w:val="0"/>
                <w:bCs w:val="0"/>
                <w:sz w:val="22"/>
                <w:szCs w:val="22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F26461" w:rsidRPr="00CB0B73" w:rsidRDefault="00F26461" w:rsidP="00F26461">
      <w:pPr>
        <w:rPr>
          <w:rFonts w:ascii="DINPro-Regular" w:hAnsi="DINPro-Regular"/>
        </w:rPr>
      </w:pPr>
    </w:p>
    <w:p w:rsidR="00F26461" w:rsidRPr="00CB0B73" w:rsidRDefault="00F26461" w:rsidP="00F26461">
      <w:pPr>
        <w:rPr>
          <w:rFonts w:ascii="DINPro-Regular" w:hAnsi="DINPro-Regular"/>
        </w:rPr>
      </w:pPr>
      <w:r w:rsidRPr="00CB0B73">
        <w:rPr>
          <w:rFonts w:ascii="DINPro-Regular" w:hAnsi="DINPro-Regular"/>
        </w:rPr>
        <w:t xml:space="preserve">Kindly fill up the above table details about the statutory approvals&amp; NOC’s required for the new proposed project. </w:t>
      </w:r>
    </w:p>
    <w:p w:rsidR="00B73097" w:rsidRPr="00F26461" w:rsidRDefault="00B73097" w:rsidP="00F26461"/>
    <w:sectPr w:rsidR="00B73097" w:rsidRPr="00F26461" w:rsidSect="00F96300">
      <w:pgSz w:w="11907" w:h="16839" w:code="9"/>
      <w:pgMar w:top="270" w:right="1418" w:bottom="0" w:left="1418" w:header="0" w:footer="992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Pro-Regular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6461"/>
    <w:rsid w:val="004837E3"/>
    <w:rsid w:val="004D1028"/>
    <w:rsid w:val="00602C9B"/>
    <w:rsid w:val="006F4D6E"/>
    <w:rsid w:val="008823AF"/>
    <w:rsid w:val="00B73097"/>
    <w:rsid w:val="00C87E18"/>
    <w:rsid w:val="00E27868"/>
    <w:rsid w:val="00F26461"/>
    <w:rsid w:val="00FF1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2646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IN"/>
    </w:rPr>
  </w:style>
  <w:style w:type="paragraph" w:styleId="NoSpacing">
    <w:name w:val="No Spacing"/>
    <w:uiPriority w:val="1"/>
    <w:qFormat/>
    <w:rsid w:val="00F2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table" w:styleId="LightGrid-Accent5">
    <w:name w:val="Light Grid Accent 5"/>
    <w:basedOn w:val="TableNormal"/>
    <w:uiPriority w:val="62"/>
    <w:rsid w:val="00F26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F26461"/>
    <w:rPr>
      <w:rFonts w:ascii="Times New Roman" w:eastAsia="Times New Roman" w:hAnsi="Times New Roman" w:cs="Times New Roman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AccountUser</dc:creator>
  <cp:keywords/>
  <dc:description/>
  <cp:lastModifiedBy>AGupta</cp:lastModifiedBy>
  <cp:revision>7</cp:revision>
  <dcterms:created xsi:type="dcterms:W3CDTF">2022-05-27T03:48:00Z</dcterms:created>
  <dcterms:modified xsi:type="dcterms:W3CDTF">2022-05-27T12:22:00Z</dcterms:modified>
</cp:coreProperties>
</file>