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D25A" w14:textId="77777777" w:rsidR="00EB2194" w:rsidRDefault="00EB2194">
      <w:pPr>
        <w:pStyle w:val="Body"/>
        <w:spacing w:after="0" w:line="276" w:lineRule="auto"/>
        <w:jc w:val="both"/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</w:rPr>
      </w:pPr>
    </w:p>
    <w:p w14:paraId="08D2EF9E" w14:textId="77777777" w:rsidR="00EB2194" w:rsidRDefault="00EB2194">
      <w:pPr>
        <w:pStyle w:val="Body"/>
        <w:spacing w:after="0" w:line="276" w:lineRule="auto"/>
        <w:jc w:val="both"/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</w:rPr>
      </w:pPr>
    </w:p>
    <w:p w14:paraId="55B34130" w14:textId="77777777" w:rsidR="00EB2194" w:rsidRDefault="00EB2194">
      <w:pPr>
        <w:pStyle w:val="Body"/>
        <w:spacing w:after="0" w:line="276" w:lineRule="auto"/>
        <w:jc w:val="both"/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</w:rPr>
      </w:pPr>
    </w:p>
    <w:p w14:paraId="0AF48AFC" w14:textId="77777777" w:rsidR="00EB2194" w:rsidRDefault="00EB2194">
      <w:pPr>
        <w:pStyle w:val="Body"/>
        <w:spacing w:after="0" w:line="276" w:lineRule="auto"/>
        <w:jc w:val="both"/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</w:rPr>
      </w:pPr>
    </w:p>
    <w:p w14:paraId="13D84DE4" w14:textId="77777777" w:rsidR="00EB2194" w:rsidRDefault="00EB2194">
      <w:pPr>
        <w:pStyle w:val="Body"/>
        <w:spacing w:after="0" w:line="276" w:lineRule="auto"/>
        <w:jc w:val="both"/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</w:rPr>
      </w:pPr>
    </w:p>
    <w:p w14:paraId="3FA8AE13" w14:textId="6284986C" w:rsidR="008F1FCC" w:rsidRPr="00377BAF" w:rsidRDefault="00CA793A">
      <w:pPr>
        <w:pStyle w:val="Body"/>
        <w:spacing w:after="0" w:line="276" w:lineRule="auto"/>
        <w:jc w:val="both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shd w:val="clear" w:color="auto" w:fill="FFFFFF"/>
        </w:rPr>
      </w:pPr>
      <w:r w:rsidRPr="00377BAF"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</w:rPr>
        <w:t xml:space="preserve">Date: </w:t>
      </w:r>
      <w:r w:rsidR="00085D8C"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</w:rPr>
        <w:t xml:space="preserve">4th </w:t>
      </w:r>
      <w:r w:rsidRPr="00377BAF"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fr-FR"/>
        </w:rPr>
        <w:t>June 2022</w:t>
      </w:r>
    </w:p>
    <w:p w14:paraId="452ADC14" w14:textId="77777777" w:rsidR="008F1FCC" w:rsidRPr="00377BAF" w:rsidRDefault="00CA793A">
      <w:pPr>
        <w:pStyle w:val="Body"/>
        <w:spacing w:after="0" w:line="276" w:lineRule="auto"/>
        <w:jc w:val="both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</w:rPr>
      </w:pPr>
      <w:r w:rsidRPr="00377BAF">
        <w:rPr>
          <w:rFonts w:ascii="Arial" w:eastAsia="Arial" w:hAnsi="Arial" w:cs="Arial"/>
          <w:color w:val="222222"/>
          <w:sz w:val="24"/>
          <w:szCs w:val="24"/>
          <w:u w:color="222222"/>
        </w:rPr>
        <w:br/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>This refers to discussions we had on applicability of EV of peer companies. The four files are attached below providing the data as desired.</w:t>
      </w:r>
    </w:p>
    <w:p w14:paraId="1849C88E" w14:textId="277EE2A0" w:rsidR="008F1FCC" w:rsidRPr="00377BAF" w:rsidRDefault="00CA793A">
      <w:pPr>
        <w:pStyle w:val="Body"/>
        <w:spacing w:after="0" w:line="276" w:lineRule="auto"/>
        <w:jc w:val="both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</w:rPr>
      </w:pPr>
      <w:r w:rsidRPr="00377BAF">
        <w:rPr>
          <w:rFonts w:ascii="Arial" w:eastAsia="Arial" w:hAnsi="Arial" w:cs="Arial"/>
          <w:color w:val="222222"/>
          <w:sz w:val="24"/>
          <w:szCs w:val="24"/>
          <w:u w:color="222222"/>
        </w:rPr>
        <w:br/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1) </w:t>
      </w:r>
      <w:r w:rsidRPr="00CE13EF"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DoF energy consumption :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Energy consumption per MT of Urea during 2013-14 to 2017-18 as per Ministry of Chemicals and Fertilizers Government  of India last published data. It may be noted that Energy consumption of </w:t>
      </w:r>
      <w:proofErr w:type="spellStart"/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>Indogulf</w:t>
      </w:r>
      <w:proofErr w:type="spellEnd"/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is around 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>5.2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proofErr w:type="spellStart"/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>GCal</w:t>
      </w:r>
      <w:proofErr w:type="spellEnd"/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/MT 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it-IT"/>
        </w:rPr>
        <w:t xml:space="preserve">Tata 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is around 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>5.1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>/</w:t>
      </w:r>
      <w:proofErr w:type="spellStart"/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>GCal</w:t>
      </w:r>
      <w:proofErr w:type="spellEnd"/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whereas NFCL was around 5.6 </w:t>
      </w:r>
      <w:proofErr w:type="spellStart"/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>GCal</w:t>
      </w:r>
      <w:proofErr w:type="spellEnd"/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/MT of Urea earlier (now energy consumption with full capacity production is around </w:t>
      </w:r>
      <w:r w:rsidR="003571FE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>5.991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proofErr w:type="spellStart"/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>GCal</w:t>
      </w:r>
      <w:proofErr w:type="spellEnd"/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due to </w:t>
      </w:r>
      <w:r w:rsidR="008A60ED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>lack of maintenance/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deterioration of plant). </w:t>
      </w:r>
    </w:p>
    <w:p w14:paraId="619FA888" w14:textId="77777777" w:rsidR="008F1FCC" w:rsidRPr="00377BAF" w:rsidRDefault="00CA793A">
      <w:pPr>
        <w:pStyle w:val="Body"/>
        <w:spacing w:after="0" w:line="276" w:lineRule="auto"/>
        <w:jc w:val="both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</w:rPr>
      </w:pPr>
      <w:r w:rsidRPr="00377BAF">
        <w:rPr>
          <w:rFonts w:ascii="Arial" w:eastAsia="Arial" w:hAnsi="Arial" w:cs="Arial"/>
          <w:color w:val="222222"/>
          <w:sz w:val="24"/>
          <w:szCs w:val="24"/>
          <w:u w:color="222222"/>
        </w:rPr>
        <w:br/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2) </w:t>
      </w:r>
      <w:proofErr w:type="spellStart"/>
      <w:r w:rsidRPr="00CE13EF"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Indogulf</w:t>
      </w:r>
      <w:proofErr w:type="spellEnd"/>
      <w:r w:rsidRPr="00CE13EF"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Fertilizers (5.2 </w:t>
      </w:r>
      <w:proofErr w:type="spellStart"/>
      <w:r w:rsidRPr="00CE13EF"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GCal</w:t>
      </w:r>
      <w:proofErr w:type="spellEnd"/>
      <w:r w:rsidRPr="00CE13EF"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/MT plant):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The lump sum consideration of Rs 2,649 crores is for transfer of the business of manufacture, trading and sale of Urea and a large and a growing non urea business (customized fertilizers, agri inputs, crop protection, plant and soil health products and speciality fertilizers). Premium / </w:t>
      </w:r>
      <w:r w:rsidR="00A274D5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>Brand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/ </w:t>
      </w:r>
      <w:proofErr w:type="spellStart"/>
      <w:r w:rsidR="00A274D5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>Goodwil</w:t>
      </w:r>
      <w:proofErr w:type="spellEnd"/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is around Rs 985 crores, 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 xml:space="preserve">asset value 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is around 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>Rs 1,322 (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with 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 xml:space="preserve">Plant 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Value of Rs 475 crores and current assets of Rs 847 Crores) and liabilities are around 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ru-RU"/>
        </w:rPr>
        <w:t xml:space="preserve">Rs 342 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>which was deducted from the consideration.</w:t>
      </w:r>
    </w:p>
    <w:p w14:paraId="4511450B" w14:textId="770323A7" w:rsidR="008F1FCC" w:rsidRPr="00377BAF" w:rsidRDefault="00CA793A">
      <w:pPr>
        <w:pStyle w:val="Body"/>
        <w:spacing w:after="0" w:line="276" w:lineRule="auto"/>
        <w:jc w:val="both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</w:rPr>
      </w:pPr>
      <w:r w:rsidRPr="00377BAF">
        <w:rPr>
          <w:rFonts w:ascii="Arial" w:eastAsia="Arial" w:hAnsi="Arial" w:cs="Arial"/>
          <w:color w:val="222222"/>
          <w:sz w:val="24"/>
          <w:szCs w:val="24"/>
          <w:u w:color="222222"/>
        </w:rPr>
        <w:br/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pt-PT"/>
        </w:rPr>
        <w:t xml:space="preserve">3) </w:t>
      </w:r>
      <w:r w:rsidRPr="00CE13EF"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Tata Fertilizers</w:t>
      </w:r>
      <w:r w:rsidRPr="00CE13EF"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(5.1 </w:t>
      </w:r>
      <w:proofErr w:type="spellStart"/>
      <w:r w:rsidRPr="00CE13EF"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GCal</w:t>
      </w:r>
      <w:proofErr w:type="spellEnd"/>
      <w:r w:rsidRPr="00CE13EF"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/MT plant) :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The lump sum consideration of Rs 2,670 crores is for transfer of its Urea business, customized fertilizers etc. Premium / </w:t>
      </w:r>
      <w:r w:rsidR="008A60ED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>B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rand / </w:t>
      </w:r>
      <w:r w:rsidR="008A60ED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>G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oodwill is around Rs 627 crores, 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 xml:space="preserve">asset value 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is around 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>Rs 1,532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(with 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>Plant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Value of Rs 529 crores and  current assets of Rs 1,003 Crores) and liabilities are around Rs 511 deducted from the consideration.</w:t>
      </w:r>
    </w:p>
    <w:p w14:paraId="42929674" w14:textId="77777777" w:rsidR="008F1FCC" w:rsidRPr="00377BAF" w:rsidRDefault="008F1FCC">
      <w:pPr>
        <w:pStyle w:val="Body"/>
        <w:spacing w:after="0" w:line="276" w:lineRule="auto"/>
        <w:jc w:val="both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</w:rPr>
      </w:pPr>
    </w:p>
    <w:p w14:paraId="1EEE6355" w14:textId="46B9D740" w:rsidR="00EB5E5E" w:rsidRPr="007F7999" w:rsidRDefault="00CA793A" w:rsidP="007F7999">
      <w:pPr>
        <w:pStyle w:val="Body"/>
        <w:spacing w:after="0" w:line="276" w:lineRule="auto"/>
        <w:jc w:val="both"/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</w:pP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4) </w:t>
      </w:r>
      <w:r w:rsidRPr="00CE13EF"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Time Taken and Reasons for Sale of Tata and Birla </w:t>
      </w:r>
      <w:r w:rsidR="00EA68A4" w:rsidRPr="00CE13EF"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Businesses:</w:t>
      </w:r>
      <w:r w:rsidRPr="00CE13EF"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>S</w:t>
      </w: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ale of Tatas and </w:t>
      </w:r>
      <w:proofErr w:type="spellStart"/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>Birlas</w:t>
      </w:r>
      <w:proofErr w:type="spellEnd"/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Urea plus other agri businesses of the company took an average of 3 to 4 years. Sale took time due to Urea Margins.  </w:t>
      </w:r>
    </w:p>
    <w:p w14:paraId="5C2148B2" w14:textId="77777777" w:rsidR="008F1FCC" w:rsidRPr="00377BAF" w:rsidRDefault="008F1FCC">
      <w:pPr>
        <w:pStyle w:val="Body"/>
        <w:spacing w:after="0" w:line="276" w:lineRule="auto"/>
        <w:jc w:val="both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</w:rPr>
      </w:pPr>
    </w:p>
    <w:p w14:paraId="03EEBEFE" w14:textId="77777777" w:rsidR="008F1FCC" w:rsidRPr="00377BAF" w:rsidRDefault="00CA793A">
      <w:pPr>
        <w:pStyle w:val="Body"/>
        <w:spacing w:after="0" w:line="276" w:lineRule="auto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</w:rPr>
      </w:pP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5) </w:t>
      </w:r>
      <w:r w:rsidRPr="00CE13EF">
        <w:rPr>
          <w:rFonts w:ascii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Comparison </w:t>
      </w:r>
      <w:r w:rsidRPr="00CE13EF">
        <w:rPr>
          <w:rFonts w:ascii="Arial" w:hAnsi="Arial" w:cs="Arial"/>
          <w:b/>
          <w:bCs/>
          <w:color w:val="222222"/>
          <w:sz w:val="24"/>
          <w:szCs w:val="24"/>
          <w:u w:color="222222"/>
          <w:lang w:val="en-US"/>
        </w:rPr>
        <w:t xml:space="preserve">of Tata / </w:t>
      </w:r>
      <w:proofErr w:type="spellStart"/>
      <w:r w:rsidRPr="00CE13EF">
        <w:rPr>
          <w:rFonts w:ascii="Arial" w:hAnsi="Arial" w:cs="Arial"/>
          <w:b/>
          <w:bCs/>
          <w:color w:val="222222"/>
          <w:sz w:val="24"/>
          <w:szCs w:val="24"/>
          <w:u w:color="222222"/>
          <w:lang w:val="en-US"/>
        </w:rPr>
        <w:t>Indogulf</w:t>
      </w:r>
      <w:proofErr w:type="spellEnd"/>
      <w:r w:rsidRPr="00CE13EF">
        <w:rPr>
          <w:rFonts w:ascii="Arial" w:hAnsi="Arial" w:cs="Arial"/>
          <w:b/>
          <w:bCs/>
          <w:color w:val="222222"/>
          <w:sz w:val="24"/>
          <w:szCs w:val="24"/>
          <w:u w:color="222222"/>
          <w:lang w:val="en-US"/>
        </w:rPr>
        <w:t xml:space="preserve">/NFCL (table in next sheet) </w:t>
      </w:r>
      <w:r w:rsidRPr="00377BAF">
        <w:rPr>
          <w:rFonts w:ascii="Arial" w:hAnsi="Arial" w:cs="Arial"/>
          <w:color w:val="222222"/>
          <w:sz w:val="24"/>
          <w:szCs w:val="24"/>
          <w:u w:color="222222"/>
          <w:lang w:val="en-US"/>
        </w:rPr>
        <w:t xml:space="preserve">: </w:t>
      </w:r>
    </w:p>
    <w:p w14:paraId="7921C015" w14:textId="77777777" w:rsidR="008F1FCC" w:rsidRPr="00377BAF" w:rsidRDefault="008F1FCC">
      <w:pPr>
        <w:pStyle w:val="Body"/>
        <w:widowControl w:val="0"/>
        <w:spacing w:after="0" w:line="240" w:lineRule="auto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</w:rPr>
      </w:pPr>
    </w:p>
    <w:p w14:paraId="57F57B05" w14:textId="413CA9D3" w:rsidR="00FC5746" w:rsidRDefault="00FC5746">
      <w:pPr>
        <w:rPr>
          <w:rFonts w:ascii="Arial" w:eastAsia="Arial" w:hAnsi="Arial" w:cs="Arial"/>
          <w:color w:val="222222"/>
          <w:u w:color="222222"/>
          <w:shd w:val="clear" w:color="auto" w:fill="FFFFFF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color w:val="222222"/>
          <w:u w:color="222222"/>
          <w:shd w:val="clear" w:color="auto" w:fill="FFFFFF"/>
        </w:rPr>
        <w:br w:type="page"/>
      </w:r>
    </w:p>
    <w:p w14:paraId="4F4BD7CC" w14:textId="77777777" w:rsidR="008F1FCC" w:rsidRPr="00377BAF" w:rsidRDefault="008F1FCC">
      <w:pPr>
        <w:pStyle w:val="Body"/>
        <w:spacing w:after="0" w:line="276" w:lineRule="auto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</w:rPr>
      </w:pPr>
    </w:p>
    <w:tbl>
      <w:tblPr>
        <w:tblW w:w="97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39"/>
        <w:gridCol w:w="1172"/>
        <w:gridCol w:w="1131"/>
        <w:gridCol w:w="4634"/>
      </w:tblGrid>
      <w:tr w:rsidR="008F1FCC" w:rsidRPr="00377BAF" w14:paraId="17B4B27D" w14:textId="77777777" w:rsidTr="00BD000A">
        <w:trPr>
          <w:trHeight w:val="28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D5697" w14:textId="77777777" w:rsidR="008F1FCC" w:rsidRPr="00377BAF" w:rsidRDefault="00CA793A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377BA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>Particulars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FCEA7" w14:textId="77777777" w:rsidR="008F1FCC" w:rsidRPr="00377BAF" w:rsidRDefault="00CA793A">
            <w:pPr>
              <w:pStyle w:val="Body"/>
              <w:spacing w:after="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377BA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>Indogulf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79072" w14:textId="77777777" w:rsidR="008F1FCC" w:rsidRPr="00377BAF" w:rsidRDefault="00CA793A">
            <w:pPr>
              <w:pStyle w:val="Body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377BA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>Tata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D2C98" w14:textId="77777777" w:rsidR="008F1FCC" w:rsidRPr="00377BAF" w:rsidRDefault="00CA793A">
            <w:pPr>
              <w:pStyle w:val="Body"/>
              <w:spacing w:after="0" w:line="276" w:lineRule="auto"/>
              <w:rPr>
                <w:rFonts w:ascii="Arial" w:hAnsi="Arial" w:cs="Arial"/>
              </w:rPr>
            </w:pPr>
            <w:r w:rsidRPr="00377BA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>NFCL</w:t>
            </w:r>
          </w:p>
        </w:tc>
      </w:tr>
      <w:tr w:rsidR="008F1FCC" w:rsidRPr="00377BAF" w14:paraId="645EDEDF" w14:textId="77777777" w:rsidTr="00BD000A">
        <w:trPr>
          <w:trHeight w:val="603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03523" w14:textId="77777777" w:rsidR="008F1FCC" w:rsidRPr="00377BAF" w:rsidRDefault="008F1FCC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33D61" w14:textId="77777777" w:rsidR="008F1FCC" w:rsidRPr="00377BAF" w:rsidRDefault="00CA793A">
            <w:pPr>
              <w:pStyle w:val="Body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>Rs Crores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69EE2" w14:textId="77777777" w:rsidR="008F1FCC" w:rsidRPr="00377BAF" w:rsidRDefault="00CA793A">
            <w:pPr>
              <w:pStyle w:val="Body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>Rs Crores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1F0A2CA1" w14:textId="77777777" w:rsidR="008F1FCC" w:rsidRPr="00377BAF" w:rsidRDefault="00CA793A" w:rsidP="00377BAF">
            <w:pPr>
              <w:pStyle w:val="ListParagraph"/>
              <w:spacing w:after="0" w:line="276" w:lineRule="auto"/>
              <w:ind w:left="0"/>
              <w:rPr>
                <w:rFonts w:ascii="Arial" w:hAnsi="Arial" w:cs="Arial"/>
              </w:rPr>
            </w:pP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Adjustments to be made to </w:t>
            </w:r>
            <w:proofErr w:type="spellStart"/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equalise</w:t>
            </w:r>
            <w:proofErr w:type="spellEnd"/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value  </w:t>
            </w:r>
          </w:p>
        </w:tc>
      </w:tr>
      <w:tr w:rsidR="00BD000A" w:rsidRPr="00377BAF" w14:paraId="423BE334" w14:textId="77777777" w:rsidTr="00F23169">
        <w:trPr>
          <w:trHeight w:val="603"/>
        </w:trPr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90EAB" w14:textId="77777777" w:rsidR="00BD000A" w:rsidRPr="00377BAF" w:rsidRDefault="00BD000A">
            <w:pPr>
              <w:pStyle w:val="Body"/>
              <w:spacing w:after="0" w:line="276" w:lineRule="auto"/>
              <w:rPr>
                <w:rFonts w:ascii="Arial" w:hAnsi="Arial" w:cs="Arial"/>
              </w:rPr>
            </w:pP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 xml:space="preserve">Energy </w:t>
            </w:r>
            <w:proofErr w:type="spellStart"/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>Gcal</w:t>
            </w:r>
            <w:proofErr w:type="spellEnd"/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 xml:space="preserve"> / MT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4810C" w14:textId="77777777" w:rsidR="00BD000A" w:rsidRPr="00377BAF" w:rsidRDefault="00BD000A">
            <w:pPr>
              <w:pStyle w:val="Body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>5.2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79BC6" w14:textId="77777777" w:rsidR="00BD000A" w:rsidRPr="00377BAF" w:rsidRDefault="00BD000A">
            <w:pPr>
              <w:pStyle w:val="Body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>5.1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0CFE2C9" w14:textId="6D0C4B0C" w:rsidR="00BD000A" w:rsidRPr="00377BAF" w:rsidRDefault="00BD000A" w:rsidP="000E28EA">
            <w:pPr>
              <w:pStyle w:val="ListParagraph"/>
              <w:spacing w:after="0" w:line="276" w:lineRule="auto"/>
              <w:ind w:left="0"/>
              <w:rPr>
                <w:rFonts w:ascii="Arial" w:hAnsi="Arial" w:cs="Arial"/>
              </w:rPr>
            </w:pP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Current at full capacity</w:t>
            </w:r>
            <w:r w:rsidR="00C475DE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around</w:t>
            </w: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6.0 </w:t>
            </w:r>
            <w:proofErr w:type="spellStart"/>
            <w:r w:rsidR="005304C0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GCal</w:t>
            </w:r>
            <w:proofErr w:type="spellEnd"/>
            <w:r w:rsidR="005304C0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/MT </w:t>
            </w:r>
            <w:r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and</w:t>
            </w: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5.41 after capex </w:t>
            </w:r>
          </w:p>
        </w:tc>
      </w:tr>
      <w:tr w:rsidR="00BD000A" w:rsidRPr="00377BAF" w14:paraId="676884F8" w14:textId="77777777" w:rsidTr="00F23169">
        <w:trPr>
          <w:trHeight w:val="3170"/>
        </w:trPr>
        <w:tc>
          <w:tcPr>
            <w:tcW w:w="2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0C09D" w14:textId="2FAE5C27" w:rsidR="00BD000A" w:rsidRPr="00377BAF" w:rsidRDefault="00BD00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A0527" w14:textId="77777777" w:rsidR="00BD000A" w:rsidRPr="00377BAF" w:rsidRDefault="00BD000A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472E6" w14:textId="77777777" w:rsidR="00BD000A" w:rsidRPr="00377BAF" w:rsidRDefault="00BD000A">
            <w:pPr>
              <w:rPr>
                <w:rFonts w:ascii="Arial" w:hAnsi="Arial" w:cs="Arial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14E8B135" w14:textId="77777777" w:rsidR="00BD000A" w:rsidRPr="00377BAF" w:rsidRDefault="00BD000A" w:rsidP="000E28E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u w:color="222222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Negative EBIDTA </w:t>
            </w:r>
          </w:p>
          <w:p w14:paraId="3DE2F4F4" w14:textId="77777777" w:rsidR="00BD000A" w:rsidRDefault="00BD000A" w:rsidP="000E28EA">
            <w:pPr>
              <w:spacing w:line="276" w:lineRule="auto"/>
              <w:rPr>
                <w:rFonts w:ascii="Arial" w:hAnsi="Arial" w:cs="Arial"/>
                <w:color w:val="222222"/>
                <w:u w:color="222222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77BAF">
              <w:rPr>
                <w:rFonts w:ascii="Arial" w:hAnsi="Arial" w:cs="Arial"/>
                <w:color w:val="222222"/>
                <w:u w:color="222222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Note : </w:t>
            </w:r>
          </w:p>
          <w:p w14:paraId="46DBFF0B" w14:textId="4AC84305" w:rsidR="00BD000A" w:rsidRDefault="00BD000A" w:rsidP="000E28EA">
            <w:pPr>
              <w:spacing w:line="276" w:lineRule="auto"/>
              <w:rPr>
                <w:rFonts w:ascii="Arial" w:hAnsi="Arial" w:cs="Arial"/>
                <w:color w:val="222222"/>
                <w:u w:color="222222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77BAF">
              <w:rPr>
                <w:rFonts w:ascii="Arial" w:hAnsi="Arial" w:cs="Arial"/>
                <w:color w:val="222222"/>
                <w:u w:color="222222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Company with full</w:t>
            </w:r>
            <w:r>
              <w:rPr>
                <w:rFonts w:ascii="Arial" w:hAnsi="Arial" w:cs="Arial"/>
                <w:color w:val="222222"/>
                <w:u w:color="222222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377BAF">
              <w:rPr>
                <w:rFonts w:ascii="Arial" w:hAnsi="Arial" w:cs="Arial"/>
                <w:color w:val="222222"/>
                <w:u w:color="222222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capacity “without considering financial creditor and operating creditor dues” </w:t>
            </w:r>
            <w:r>
              <w:rPr>
                <w:rFonts w:ascii="Arial" w:hAnsi="Arial" w:cs="Arial"/>
                <w:color w:val="222222"/>
                <w:u w:color="222222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due to energy consumption </w:t>
            </w:r>
            <w:r w:rsidRPr="00377BAF">
              <w:rPr>
                <w:rFonts w:ascii="Arial" w:hAnsi="Arial" w:cs="Arial"/>
                <w:color w:val="222222"/>
                <w:u w:color="222222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makes cash loss on every tonne of urea produced i.e. production cost &gt; income</w:t>
            </w:r>
          </w:p>
          <w:p w14:paraId="00D43100" w14:textId="77777777" w:rsidR="00BD000A" w:rsidRPr="00CC5086" w:rsidRDefault="00BD000A" w:rsidP="000E28EA">
            <w:pPr>
              <w:spacing w:line="276" w:lineRule="auto"/>
              <w:rPr>
                <w:rFonts w:ascii="Arial" w:hAnsi="Arial" w:cs="Arial"/>
                <w:color w:val="222222"/>
                <w:u w:color="222222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77BAF">
              <w:rPr>
                <w:rFonts w:ascii="Arial" w:hAnsi="Arial" w:cs="Arial"/>
                <w:color w:val="222222"/>
                <w:u w:color="222222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if Indo Gulf and Tatas had NFCL energy levels they would also make cash loss. </w:t>
            </w:r>
          </w:p>
        </w:tc>
      </w:tr>
      <w:tr w:rsidR="008F1FCC" w:rsidRPr="00377BAF" w14:paraId="12B4BD91" w14:textId="77777777" w:rsidTr="00BD000A">
        <w:trPr>
          <w:trHeight w:val="603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2123C" w14:textId="77777777" w:rsidR="008F1FCC" w:rsidRPr="00377BAF" w:rsidRDefault="00CA793A">
            <w:pPr>
              <w:pStyle w:val="Body"/>
              <w:spacing w:after="0" w:line="276" w:lineRule="auto"/>
              <w:rPr>
                <w:rFonts w:ascii="Arial" w:hAnsi="Arial" w:cs="Arial"/>
              </w:rPr>
            </w:pP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>Gross Value/Consideration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5B91" w14:textId="77777777" w:rsidR="008F1FCC" w:rsidRPr="00377BAF" w:rsidRDefault="00CA793A">
            <w:pPr>
              <w:pStyle w:val="Body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>2649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FA65C" w14:textId="77777777" w:rsidR="008F1FCC" w:rsidRPr="00377BAF" w:rsidRDefault="00CA793A">
            <w:pPr>
              <w:pStyle w:val="Body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>2670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E0BB6" w14:textId="2384A0FC" w:rsidR="008F1FCC" w:rsidRPr="00377BAF" w:rsidRDefault="00130602">
            <w:pPr>
              <w:pStyle w:val="ListParagraph"/>
              <w:spacing w:after="0" w:line="276" w:lineRule="auto"/>
              <w:ind w:left="0"/>
              <w:rPr>
                <w:rFonts w:ascii="Arial" w:eastAsia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Total </w:t>
            </w:r>
            <w:r w:rsidR="00CA793A"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Investment Required</w:t>
            </w:r>
            <w:r w:rsidR="00CC5086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for the buyer</w:t>
            </w:r>
            <w:r w:rsidR="00CA793A"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to turnaround the company </w:t>
            </w:r>
            <w:r w:rsidR="00184EC5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(to be</w:t>
            </w:r>
            <w:r w:rsidR="006D2E00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deducted </w:t>
            </w:r>
            <w:r w:rsidR="00184EC5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form the value)</w:t>
            </w:r>
            <w:r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Rs  </w:t>
            </w:r>
            <w:r w:rsidR="007957C0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3232 </w:t>
            </w:r>
            <w:r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Crores</w:t>
            </w:r>
            <w:r w:rsidR="007957C0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(does not include debt settlemen</w:t>
            </w:r>
            <w:r w:rsidR="00AF7040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t and </w:t>
            </w:r>
            <w:r w:rsidR="007957C0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brand </w:t>
            </w:r>
            <w:r w:rsidR="00AF7040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cost).</w:t>
            </w:r>
            <w:r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</w:t>
            </w:r>
          </w:p>
          <w:p w14:paraId="14F41B5D" w14:textId="636622A6" w:rsidR="008F1FCC" w:rsidRPr="00377BAF" w:rsidRDefault="00CA793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NFCL does not own Nagarjuna Brand, the brand </w:t>
            </w:r>
            <w:proofErr w:type="spellStart"/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licence</w:t>
            </w:r>
            <w:proofErr w:type="spellEnd"/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has expired and NFCL</w:t>
            </w:r>
            <w:r w:rsidR="00B94865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</w:t>
            </w:r>
            <w:r w:rsidR="00D567F8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I</w:t>
            </w:r>
            <w:r w:rsidR="00B94865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RP</w:t>
            </w: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has received a claim of </w:t>
            </w:r>
            <w:r w:rsidR="00D567F8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Rs </w:t>
            </w: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800 Crs</w:t>
            </w:r>
            <w:r w:rsidR="00B94865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for</w:t>
            </w: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past dues. Investor needs to invest and build new brand</w:t>
            </w:r>
            <w:r w:rsidR="007957C0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. </w:t>
            </w:r>
          </w:p>
          <w:p w14:paraId="73CA74E1" w14:textId="71DBA065" w:rsidR="008F1FCC" w:rsidRPr="00377BAF" w:rsidRDefault="00CA793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Investment Required to Operate the Plant : Maintenance</w:t>
            </w:r>
            <w:r w:rsidR="005E440E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(including civil repairs)</w:t>
            </w: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and Energy Reduction Capex of Rs</w:t>
            </w:r>
            <w:r w:rsidR="00962078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871.5</w:t>
            </w: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 Crores is required to run </w:t>
            </w: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lastRenderedPageBreak/>
              <w:t xml:space="preserve">both the plants </w:t>
            </w:r>
            <w:r w:rsidR="002864D6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plus Financing of Maintenance Costs</w:t>
            </w:r>
            <w:r w:rsidR="00D34482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for 2 years</w:t>
            </w:r>
            <w:r w:rsidR="005E440E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Rs 150 Crores</w:t>
            </w:r>
            <w:r w:rsidR="00301060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.</w:t>
            </w:r>
            <w:r w:rsidR="00CC0B0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Total</w:t>
            </w:r>
            <w:r w:rsidR="006E54CB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around</w:t>
            </w:r>
            <w:r w:rsidR="00CC0B0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Rs 102</w:t>
            </w:r>
            <w:r w:rsidR="006E54CB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2</w:t>
            </w:r>
            <w:r w:rsidR="00CC0B0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Crores</w:t>
            </w:r>
            <w:r w:rsidR="00301060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spent over 3 years. </w:t>
            </w:r>
          </w:p>
          <w:p w14:paraId="38F2E17C" w14:textId="59032CB7" w:rsidR="008F1FCC" w:rsidRPr="00377BAF" w:rsidRDefault="00CA793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Funds required to fund EBIDTA losses for next </w:t>
            </w:r>
            <w:r w:rsidR="008A2E25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3</w:t>
            </w: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years till Capex </w:t>
            </w:r>
            <w:r w:rsidR="00946D55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is complete</w:t>
            </w:r>
            <w:r w:rsidR="002864D6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Rs</w:t>
            </w:r>
            <w:r w:rsidR="00946D55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</w:t>
            </w:r>
            <w:r w:rsidR="005A11D3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218</w:t>
            </w:r>
            <w:r w:rsidR="00946D55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Crores</w:t>
            </w:r>
            <w:r w:rsidR="006F3893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(Rs</w:t>
            </w:r>
            <w:r w:rsidR="001D79D9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990</w:t>
            </w:r>
            <w:r w:rsidR="006F3893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Crs EBIDTA losses minus Rs </w:t>
            </w:r>
            <w:r w:rsidR="001D79D9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772 </w:t>
            </w:r>
            <w:r w:rsidR="006F3893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Crores for two years maintenance</w:t>
            </w:r>
            <w:r w:rsidR="00C960C3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</w:t>
            </w:r>
            <w:r w:rsidR="00301060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costs</w:t>
            </w:r>
            <w:r w:rsidR="006F3893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)</w:t>
            </w:r>
            <w:r w:rsidR="00B649FD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.</w:t>
            </w:r>
          </w:p>
          <w:p w14:paraId="58C134BA" w14:textId="77777777" w:rsidR="008F1FCC" w:rsidRPr="00377BAF" w:rsidRDefault="00CA793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Additional Investment of a minimum of Rs 500 Crores is required to match </w:t>
            </w:r>
            <w:proofErr w:type="spellStart"/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Indogulf</w:t>
            </w:r>
            <w:proofErr w:type="spellEnd"/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/ Tata energy levels.</w:t>
            </w:r>
          </w:p>
          <w:p w14:paraId="0710A5E1" w14:textId="77777777" w:rsidR="008F1FCC" w:rsidRPr="00377BAF" w:rsidRDefault="00CA793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Funds of Rs 1,193 Crores required to pay off net current liabilities.</w:t>
            </w:r>
          </w:p>
          <w:p w14:paraId="24B86834" w14:textId="0D610EC4" w:rsidR="008F1FCC" w:rsidRDefault="00CA793A" w:rsidP="00EB5E5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Working Capital Margin of </w:t>
            </w:r>
            <w:r w:rsidR="00794F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around </w:t>
            </w: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Rs 300 Crores is required for working capital needs.</w:t>
            </w:r>
          </w:p>
          <w:p w14:paraId="518266F6" w14:textId="77777777" w:rsidR="005603A6" w:rsidRPr="00EB5E5E" w:rsidRDefault="00454125" w:rsidP="00EB5E5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Settlement of Financial </w:t>
            </w:r>
            <w:r w:rsidR="005603A6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Debt in the books of the company</w:t>
            </w:r>
            <w:r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(not estimated).</w:t>
            </w:r>
            <w:r w:rsidR="005603A6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</w:t>
            </w:r>
          </w:p>
        </w:tc>
      </w:tr>
      <w:tr w:rsidR="008F1FCC" w:rsidRPr="00377BAF" w14:paraId="15D0CA9E" w14:textId="77777777" w:rsidTr="00BD000A">
        <w:trPr>
          <w:trHeight w:val="603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9211E" w14:textId="77777777" w:rsidR="008F1FCC" w:rsidRPr="00377BAF" w:rsidRDefault="00CA793A">
            <w:pPr>
              <w:spacing w:line="276" w:lineRule="auto"/>
              <w:rPr>
                <w:rFonts w:ascii="Arial" w:hAnsi="Arial" w:cs="Arial"/>
              </w:rPr>
            </w:pPr>
            <w:r w:rsidRPr="00377BAF">
              <w:rPr>
                <w:rFonts w:ascii="Arial" w:hAnsi="Arial" w:cs="Arial"/>
                <w:color w:val="222222"/>
                <w:u w:color="222222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Net Value </w:t>
            </w:r>
            <w:r w:rsidR="00F74823">
              <w:rPr>
                <w:rFonts w:ascii="Arial" w:hAnsi="Arial" w:cs="Arial"/>
                <w:color w:val="222222"/>
                <w:u w:color="222222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377BAF">
              <w:rPr>
                <w:rFonts w:ascii="Arial" w:hAnsi="Arial" w:cs="Arial"/>
                <w:color w:val="222222"/>
                <w:u w:color="222222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minus Liabilities</w:t>
            </w:r>
            <w:r w:rsidR="00F74823">
              <w:rPr>
                <w:rFonts w:ascii="Arial" w:hAnsi="Arial" w:cs="Arial"/>
                <w:color w:val="222222"/>
                <w:u w:color="222222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  <w:r w:rsidRPr="00377BAF">
              <w:rPr>
                <w:rFonts w:ascii="Arial" w:hAnsi="Arial" w:cs="Arial"/>
                <w:color w:val="222222"/>
                <w:u w:color="222222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853A4" w14:textId="7E8097CF" w:rsidR="008F1FCC" w:rsidRPr="00377BAF" w:rsidRDefault="00FA115B" w:rsidP="00E45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663B6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7 (</w:t>
            </w:r>
            <w:r w:rsidR="00E201D4">
              <w:rPr>
                <w:rFonts w:ascii="Arial" w:hAnsi="Arial" w:cs="Arial"/>
              </w:rPr>
              <w:t>342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D88F5" w14:textId="77777777" w:rsidR="008F1FCC" w:rsidRPr="00377BAF" w:rsidRDefault="00E451A2" w:rsidP="00E45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2159 </w:t>
            </w:r>
            <w:r w:rsidR="00FA115B">
              <w:rPr>
                <w:rFonts w:ascii="Arial" w:hAnsi="Arial" w:cs="Arial"/>
              </w:rPr>
              <w:t>(</w:t>
            </w:r>
            <w:r w:rsidR="00E201D4">
              <w:rPr>
                <w:rFonts w:ascii="Arial" w:hAnsi="Arial" w:cs="Arial"/>
              </w:rPr>
              <w:t>511</w:t>
            </w:r>
            <w:r w:rsidR="00FA115B">
              <w:rPr>
                <w:rFonts w:ascii="Arial" w:hAnsi="Arial" w:cs="Arial"/>
              </w:rPr>
              <w:t>)</w:t>
            </w:r>
          </w:p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BD255" w14:textId="77777777" w:rsidR="008F1FCC" w:rsidRPr="00377BAF" w:rsidRDefault="008F1FCC">
            <w:pPr>
              <w:rPr>
                <w:rFonts w:ascii="Arial" w:hAnsi="Arial" w:cs="Arial"/>
              </w:rPr>
            </w:pPr>
          </w:p>
        </w:tc>
      </w:tr>
      <w:tr w:rsidR="008F1FCC" w:rsidRPr="00377BAF" w14:paraId="7BFC05F2" w14:textId="77777777" w:rsidTr="00BD000A">
        <w:trPr>
          <w:trHeight w:val="28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9CAAC" w14:textId="77777777" w:rsidR="008F1FCC" w:rsidRPr="00377BAF" w:rsidRDefault="00CA793A">
            <w:pPr>
              <w:spacing w:line="276" w:lineRule="auto"/>
              <w:rPr>
                <w:rFonts w:ascii="Arial" w:hAnsi="Arial" w:cs="Arial"/>
              </w:rPr>
            </w:pPr>
            <w:r w:rsidRPr="00377BAF">
              <w:rPr>
                <w:rFonts w:ascii="Arial" w:hAnsi="Arial" w:cs="Arial"/>
                <w:color w:val="222222"/>
                <w:u w:color="222222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Breakup of Net Value 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0CF98" w14:textId="77777777" w:rsidR="008F1FCC" w:rsidRPr="00377BAF" w:rsidRDefault="008F1FCC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8F360" w14:textId="77777777" w:rsidR="008F1FCC" w:rsidRPr="00377BAF" w:rsidRDefault="008F1FCC">
            <w:pPr>
              <w:rPr>
                <w:rFonts w:ascii="Arial" w:hAnsi="Arial" w:cs="Arial"/>
              </w:rPr>
            </w:pPr>
          </w:p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9F11" w14:textId="77777777" w:rsidR="008F1FCC" w:rsidRPr="00377BAF" w:rsidRDefault="008F1FCC">
            <w:pPr>
              <w:rPr>
                <w:rFonts w:ascii="Arial" w:hAnsi="Arial" w:cs="Arial"/>
              </w:rPr>
            </w:pPr>
          </w:p>
        </w:tc>
      </w:tr>
      <w:tr w:rsidR="008F1FCC" w:rsidRPr="00377BAF" w14:paraId="6450EDA3" w14:textId="77777777" w:rsidTr="00BD000A">
        <w:trPr>
          <w:trHeight w:val="603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D0CA7" w14:textId="77777777" w:rsidR="008F1FCC" w:rsidRPr="00377BAF" w:rsidRDefault="00250DEF">
            <w:pPr>
              <w:pStyle w:val="Body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 xml:space="preserve">Amount Paid for </w:t>
            </w:r>
            <w:r w:rsidR="00CA793A"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 xml:space="preserve">Premium / </w:t>
            </w:r>
            <w:r w:rsidR="00A274D5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>Brand</w:t>
            </w:r>
            <w:r w:rsidR="00CA793A"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 xml:space="preserve"> / goodwill</w:t>
            </w:r>
            <w:r w:rsidR="004467AA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B2055" w14:textId="77777777" w:rsidR="008F1FCC" w:rsidRPr="00377BAF" w:rsidRDefault="00CA793A">
            <w:pPr>
              <w:pStyle w:val="Body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>985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44987" w14:textId="77777777" w:rsidR="008F1FCC" w:rsidRPr="00377BAF" w:rsidRDefault="00CA793A">
            <w:pPr>
              <w:pStyle w:val="Body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>627</w:t>
            </w:r>
          </w:p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58235" w14:textId="77777777" w:rsidR="008F1FCC" w:rsidRPr="00377BAF" w:rsidRDefault="008F1FCC">
            <w:pPr>
              <w:rPr>
                <w:rFonts w:ascii="Arial" w:hAnsi="Arial" w:cs="Arial"/>
              </w:rPr>
            </w:pPr>
          </w:p>
        </w:tc>
      </w:tr>
      <w:tr w:rsidR="008F1FCC" w:rsidRPr="00377BAF" w14:paraId="45637E82" w14:textId="77777777" w:rsidTr="00BD000A">
        <w:trPr>
          <w:trHeight w:val="28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983DF" w14:textId="533FA2FF" w:rsidR="008F1FCC" w:rsidRPr="00377BAF" w:rsidRDefault="00CA793A">
            <w:pPr>
              <w:pStyle w:val="Body"/>
              <w:spacing w:after="0" w:line="276" w:lineRule="auto"/>
              <w:rPr>
                <w:rFonts w:ascii="Arial" w:hAnsi="Arial" w:cs="Arial"/>
              </w:rPr>
            </w:pP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>Current Assets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4CCF0" w14:textId="10991C97" w:rsidR="008F1FCC" w:rsidRPr="00377BAF" w:rsidRDefault="001663B6">
            <w:pPr>
              <w:pStyle w:val="Body"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>847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7059A" w14:textId="7F8A88C0" w:rsidR="008F1FCC" w:rsidRPr="00377BAF" w:rsidRDefault="001663B6">
            <w:pPr>
              <w:pStyle w:val="Body"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CCCB" w14:textId="77777777" w:rsidR="008F1FCC" w:rsidRPr="00377BAF" w:rsidRDefault="008F1FCC">
            <w:pPr>
              <w:rPr>
                <w:rFonts w:ascii="Arial" w:hAnsi="Arial" w:cs="Arial"/>
              </w:rPr>
            </w:pPr>
          </w:p>
        </w:tc>
      </w:tr>
      <w:tr w:rsidR="008F1FCC" w:rsidRPr="00377BAF" w14:paraId="30CD2E21" w14:textId="77777777" w:rsidTr="00BD000A">
        <w:trPr>
          <w:trHeight w:val="924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91752" w14:textId="77777777" w:rsidR="008F1FCC" w:rsidRPr="00377BAF" w:rsidRDefault="00CA793A">
            <w:pPr>
              <w:pStyle w:val="Body"/>
              <w:spacing w:after="0" w:line="276" w:lineRule="auto"/>
              <w:rPr>
                <w:rFonts w:ascii="Arial" w:hAnsi="Arial" w:cs="Arial"/>
              </w:rPr>
            </w:pPr>
            <w:r w:rsidRPr="00377BAF">
              <w:rPr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 xml:space="preserve">Plant Value for Maintained/Energy Efficient Plant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07351" w14:textId="77777777" w:rsidR="008F1FCC" w:rsidRPr="00377BAF" w:rsidRDefault="000657C5" w:rsidP="000657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4ABB0" w14:textId="77777777" w:rsidR="008F1FCC" w:rsidRPr="00377BAF" w:rsidRDefault="000657C5" w:rsidP="000657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</w:t>
            </w:r>
          </w:p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B60CB" w14:textId="77777777" w:rsidR="008F1FCC" w:rsidRPr="00377BAF" w:rsidRDefault="008F1FCC">
            <w:pPr>
              <w:rPr>
                <w:rFonts w:ascii="Arial" w:hAnsi="Arial" w:cs="Arial"/>
              </w:rPr>
            </w:pPr>
          </w:p>
        </w:tc>
      </w:tr>
      <w:tr w:rsidR="008F1FCC" w:rsidRPr="00377BAF" w14:paraId="125FB436" w14:textId="77777777" w:rsidTr="00BD000A">
        <w:trPr>
          <w:trHeight w:val="436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F6E6C" w14:textId="77777777" w:rsidR="008F1FCC" w:rsidRPr="00377BAF" w:rsidRDefault="008F1FCC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BF52F" w14:textId="77777777" w:rsidR="008F1FCC" w:rsidRPr="00377BAF" w:rsidRDefault="008F1FCC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9DEA6" w14:textId="77777777" w:rsidR="008F1FCC" w:rsidRPr="00377BAF" w:rsidRDefault="008F1FCC">
            <w:pPr>
              <w:rPr>
                <w:rFonts w:ascii="Arial" w:hAnsi="Arial" w:cs="Arial"/>
              </w:rPr>
            </w:pPr>
          </w:p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403A" w14:textId="77777777" w:rsidR="008F1FCC" w:rsidRPr="00377BAF" w:rsidRDefault="008F1FCC">
            <w:pPr>
              <w:rPr>
                <w:rFonts w:ascii="Arial" w:hAnsi="Arial" w:cs="Arial"/>
              </w:rPr>
            </w:pPr>
          </w:p>
        </w:tc>
      </w:tr>
    </w:tbl>
    <w:p w14:paraId="7C912580" w14:textId="77777777" w:rsidR="008F1FCC" w:rsidRPr="00377BAF" w:rsidRDefault="008F1FCC">
      <w:pPr>
        <w:pStyle w:val="Body"/>
        <w:widowControl w:val="0"/>
        <w:spacing w:after="0" w:line="240" w:lineRule="auto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</w:rPr>
      </w:pPr>
    </w:p>
    <w:p w14:paraId="6758A4F2" w14:textId="77777777" w:rsidR="008F1FCC" w:rsidRPr="00377BAF" w:rsidRDefault="00CA793A">
      <w:pPr>
        <w:pStyle w:val="Body"/>
        <w:spacing w:after="0" w:line="276" w:lineRule="auto"/>
        <w:jc w:val="both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</w:rPr>
      </w:pPr>
      <w:r w:rsidRPr="00377BAF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  <w:lang w:val="en-US"/>
        </w:rPr>
        <w:t>In this regard the following may be noted</w:t>
      </w:r>
    </w:p>
    <w:p w14:paraId="4EBCC516" w14:textId="77777777" w:rsidR="008F1FCC" w:rsidRPr="00377BAF" w:rsidRDefault="008F1FCC">
      <w:pPr>
        <w:pStyle w:val="Body"/>
        <w:spacing w:after="0" w:line="276" w:lineRule="auto"/>
        <w:jc w:val="both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</w:rPr>
      </w:pPr>
    </w:p>
    <w:p w14:paraId="3AE1A96B" w14:textId="53186CB0" w:rsidR="00A56618" w:rsidRDefault="00753548">
      <w:pPr>
        <w:pStyle w:val="Body"/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  <w:u w:val="single" w:color="222222"/>
          <w:shd w:val="clear" w:color="auto" w:fill="FFFFFF"/>
        </w:rPr>
        <w:t xml:space="preserve">6) </w:t>
      </w:r>
      <w:r w:rsidR="004467AA">
        <w:rPr>
          <w:rFonts w:ascii="Arial" w:eastAsia="Arial" w:hAnsi="Arial" w:cs="Arial"/>
          <w:b/>
          <w:bCs/>
          <w:color w:val="222222"/>
          <w:sz w:val="24"/>
          <w:szCs w:val="24"/>
          <w:u w:val="single" w:color="222222"/>
          <w:shd w:val="clear" w:color="auto" w:fill="FFFFFF"/>
        </w:rPr>
        <w:t>Better/</w:t>
      </w:r>
      <w:r>
        <w:rPr>
          <w:rFonts w:ascii="Arial" w:eastAsia="Arial" w:hAnsi="Arial" w:cs="Arial"/>
          <w:b/>
          <w:bCs/>
          <w:color w:val="222222"/>
          <w:sz w:val="24"/>
          <w:szCs w:val="24"/>
          <w:u w:val="single" w:color="222222"/>
          <w:shd w:val="clear" w:color="auto" w:fill="FFFFFF"/>
        </w:rPr>
        <w:t xml:space="preserve">Alternative </w:t>
      </w:r>
      <w:r w:rsidR="004123BC">
        <w:rPr>
          <w:rFonts w:ascii="Arial" w:eastAsia="Arial" w:hAnsi="Arial" w:cs="Arial"/>
          <w:b/>
          <w:bCs/>
          <w:color w:val="222222"/>
          <w:sz w:val="24"/>
          <w:szCs w:val="24"/>
          <w:u w:val="single" w:color="222222"/>
          <w:shd w:val="clear" w:color="auto" w:fill="FFFFFF"/>
        </w:rPr>
        <w:t xml:space="preserve">Investment </w:t>
      </w:r>
      <w:r w:rsidRPr="00753548">
        <w:rPr>
          <w:rFonts w:ascii="Arial" w:hAnsi="Arial" w:cs="Arial"/>
          <w:b/>
          <w:bCs/>
          <w:sz w:val="24"/>
          <w:szCs w:val="24"/>
          <w:u w:val="single"/>
          <w:lang w:val="en-US"/>
        </w:rPr>
        <w:t>Options</w:t>
      </w:r>
      <w:r w:rsidR="00EF7541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for Urea</w:t>
      </w:r>
      <w:r>
        <w:rPr>
          <w:rFonts w:ascii="Arial" w:hAnsi="Arial" w:cs="Arial"/>
          <w:sz w:val="24"/>
          <w:szCs w:val="24"/>
          <w:lang w:val="en-US"/>
        </w:rPr>
        <w:t xml:space="preserve"> : As demand is greater than production, </w:t>
      </w:r>
      <w:r w:rsidR="00CA793A" w:rsidRPr="00377BAF">
        <w:rPr>
          <w:rFonts w:ascii="Arial" w:hAnsi="Arial" w:cs="Arial"/>
          <w:sz w:val="24"/>
          <w:szCs w:val="24"/>
          <w:lang w:val="en-US"/>
        </w:rPr>
        <w:t xml:space="preserve">new investment </w:t>
      </w:r>
      <w:r>
        <w:rPr>
          <w:rFonts w:ascii="Arial" w:hAnsi="Arial" w:cs="Arial"/>
          <w:sz w:val="24"/>
          <w:szCs w:val="24"/>
          <w:lang w:val="en-US"/>
        </w:rPr>
        <w:t xml:space="preserve">can still be made in the sector given the </w:t>
      </w:r>
      <w:r w:rsidR="004123BC">
        <w:rPr>
          <w:rFonts w:ascii="Arial" w:hAnsi="Arial" w:cs="Arial"/>
          <w:sz w:val="24"/>
          <w:szCs w:val="24"/>
          <w:lang w:val="en-US"/>
        </w:rPr>
        <w:t>guaranteed</w:t>
      </w:r>
      <w:r>
        <w:rPr>
          <w:rFonts w:ascii="Arial" w:hAnsi="Arial" w:cs="Arial"/>
          <w:sz w:val="24"/>
          <w:szCs w:val="24"/>
          <w:lang w:val="en-US"/>
        </w:rPr>
        <w:t xml:space="preserve"> returns</w:t>
      </w:r>
      <w:r w:rsidR="004123BC">
        <w:rPr>
          <w:rFonts w:ascii="Arial" w:hAnsi="Arial" w:cs="Arial"/>
          <w:sz w:val="24"/>
          <w:szCs w:val="24"/>
          <w:lang w:val="en-US"/>
        </w:rPr>
        <w:t xml:space="preserve"> under the </w:t>
      </w:r>
      <w:r w:rsidR="00CA793A" w:rsidRPr="00377BAF">
        <w:rPr>
          <w:rFonts w:ascii="Arial" w:hAnsi="Arial" w:cs="Arial"/>
          <w:sz w:val="24"/>
          <w:szCs w:val="24"/>
          <w:lang w:val="en-US"/>
        </w:rPr>
        <w:t>policy on urea units (NIP 2012)</w:t>
      </w:r>
      <w:r w:rsidR="00E455D2">
        <w:rPr>
          <w:rFonts w:ascii="Arial" w:hAnsi="Arial" w:cs="Arial"/>
          <w:sz w:val="24"/>
          <w:szCs w:val="24"/>
          <w:lang w:val="en-US"/>
        </w:rPr>
        <w:t>. The new</w:t>
      </w:r>
      <w:r w:rsidR="00CA793A" w:rsidRPr="00377BAF">
        <w:rPr>
          <w:rFonts w:ascii="Arial" w:hAnsi="Arial" w:cs="Arial"/>
          <w:sz w:val="24"/>
          <w:szCs w:val="24"/>
          <w:lang w:val="en-US"/>
        </w:rPr>
        <w:t xml:space="preserve"> urea units </w:t>
      </w:r>
      <w:r w:rsidR="00E455D2">
        <w:rPr>
          <w:rFonts w:ascii="Arial" w:hAnsi="Arial" w:cs="Arial"/>
          <w:sz w:val="24"/>
          <w:szCs w:val="24"/>
          <w:lang w:val="en-US"/>
        </w:rPr>
        <w:t xml:space="preserve">are </w:t>
      </w:r>
      <w:r w:rsidR="00CA793A" w:rsidRPr="00377BAF">
        <w:rPr>
          <w:rFonts w:ascii="Arial" w:hAnsi="Arial" w:cs="Arial"/>
          <w:sz w:val="24"/>
          <w:szCs w:val="24"/>
          <w:lang w:val="en-US"/>
        </w:rPr>
        <w:t xml:space="preserve">assured </w:t>
      </w:r>
      <w:r w:rsidR="00E455D2">
        <w:rPr>
          <w:rFonts w:ascii="Arial" w:hAnsi="Arial" w:cs="Arial"/>
          <w:sz w:val="24"/>
          <w:szCs w:val="24"/>
          <w:lang w:val="en-US"/>
        </w:rPr>
        <w:t xml:space="preserve">a </w:t>
      </w:r>
      <w:r w:rsidR="00CA793A" w:rsidRPr="00377BAF">
        <w:rPr>
          <w:rFonts w:ascii="Arial" w:hAnsi="Arial" w:cs="Arial"/>
          <w:sz w:val="24"/>
          <w:szCs w:val="24"/>
          <w:lang w:val="en-US"/>
        </w:rPr>
        <w:t xml:space="preserve">floor and ceiling price subject to IPP. The floor and ceiling prices for brown field and green filed project are USD/MT 285 and USD/MT 310 and USD/MT 305 and 335 USD/MT respectively (the policy document attached). </w:t>
      </w:r>
      <w:r w:rsidR="009B2FA4">
        <w:rPr>
          <w:rFonts w:ascii="Arial" w:hAnsi="Arial" w:cs="Arial"/>
          <w:sz w:val="24"/>
          <w:szCs w:val="24"/>
          <w:lang w:val="en-US"/>
        </w:rPr>
        <w:t>The calculat</w:t>
      </w:r>
      <w:r w:rsidR="009B10DE">
        <w:rPr>
          <w:rFonts w:ascii="Arial" w:hAnsi="Arial" w:cs="Arial"/>
          <w:sz w:val="24"/>
          <w:szCs w:val="24"/>
          <w:lang w:val="en-US"/>
        </w:rPr>
        <w:t xml:space="preserve">ion basis for floor and ceiling price is detailed in the </w:t>
      </w:r>
      <w:r w:rsidR="001303D8">
        <w:rPr>
          <w:rFonts w:ascii="Arial" w:hAnsi="Arial" w:cs="Arial"/>
          <w:sz w:val="24"/>
          <w:szCs w:val="24"/>
          <w:lang w:val="en-US"/>
        </w:rPr>
        <w:t xml:space="preserve">new investment policy. </w:t>
      </w:r>
      <w:r w:rsidR="00B404DF">
        <w:rPr>
          <w:rFonts w:ascii="Arial" w:hAnsi="Arial" w:cs="Arial"/>
          <w:sz w:val="24"/>
          <w:szCs w:val="24"/>
          <w:lang w:val="en-US"/>
        </w:rPr>
        <w:t>Central Govt guarantee</w:t>
      </w:r>
      <w:r w:rsidR="001303D8">
        <w:rPr>
          <w:rFonts w:ascii="Arial" w:hAnsi="Arial" w:cs="Arial"/>
          <w:sz w:val="24"/>
          <w:szCs w:val="24"/>
          <w:lang w:val="en-US"/>
        </w:rPr>
        <w:t>s</w:t>
      </w:r>
      <w:r w:rsidR="00B404DF">
        <w:rPr>
          <w:rFonts w:ascii="Arial" w:hAnsi="Arial" w:cs="Arial"/>
          <w:sz w:val="24"/>
          <w:szCs w:val="24"/>
          <w:lang w:val="en-US"/>
        </w:rPr>
        <w:t xml:space="preserve"> </w:t>
      </w:r>
      <w:r w:rsidR="00CA793A" w:rsidRPr="00377BAF">
        <w:rPr>
          <w:rFonts w:ascii="Arial" w:hAnsi="Arial" w:cs="Arial"/>
          <w:sz w:val="24"/>
          <w:szCs w:val="24"/>
          <w:lang w:val="en-US"/>
        </w:rPr>
        <w:t>return on equity</w:t>
      </w:r>
      <w:r w:rsidR="00986B4F">
        <w:rPr>
          <w:rFonts w:ascii="Arial" w:hAnsi="Arial" w:cs="Arial"/>
          <w:sz w:val="24"/>
          <w:szCs w:val="24"/>
          <w:lang w:val="en-US"/>
        </w:rPr>
        <w:t xml:space="preserve"> on dollar terms</w:t>
      </w:r>
      <w:r w:rsidR="004E3E92">
        <w:rPr>
          <w:rFonts w:ascii="Arial" w:hAnsi="Arial" w:cs="Arial"/>
          <w:sz w:val="24"/>
          <w:szCs w:val="24"/>
          <w:lang w:val="en-US"/>
        </w:rPr>
        <w:t xml:space="preserve"> for new </w:t>
      </w:r>
      <w:r w:rsidR="0055222E">
        <w:rPr>
          <w:rFonts w:ascii="Arial" w:hAnsi="Arial" w:cs="Arial"/>
          <w:sz w:val="24"/>
          <w:szCs w:val="24"/>
          <w:lang w:val="en-US"/>
        </w:rPr>
        <w:t>plants:</w:t>
      </w:r>
      <w:r w:rsidR="00986B4F">
        <w:rPr>
          <w:rFonts w:ascii="Arial" w:hAnsi="Arial" w:cs="Arial"/>
          <w:sz w:val="24"/>
          <w:szCs w:val="24"/>
          <w:lang w:val="en-US"/>
        </w:rPr>
        <w:t xml:space="preserve"> </w:t>
      </w:r>
      <w:r w:rsidR="00CA793A" w:rsidRPr="00377BAF">
        <w:rPr>
          <w:rFonts w:ascii="Arial" w:hAnsi="Arial" w:cs="Arial"/>
          <w:sz w:val="24"/>
          <w:szCs w:val="24"/>
          <w:lang w:val="en-US"/>
        </w:rPr>
        <w:t>post tax return of 12% on the equity for floor price (18% pretax at</w:t>
      </w:r>
      <w:r w:rsidR="00E728AA">
        <w:rPr>
          <w:rFonts w:ascii="Arial" w:hAnsi="Arial" w:cs="Arial"/>
          <w:sz w:val="24"/>
          <w:szCs w:val="24"/>
          <w:lang w:val="en-US"/>
        </w:rPr>
        <w:t xml:space="preserve"> a</w:t>
      </w:r>
      <w:r w:rsidR="00CA793A" w:rsidRPr="00377BAF">
        <w:rPr>
          <w:rFonts w:ascii="Arial" w:hAnsi="Arial" w:cs="Arial"/>
          <w:sz w:val="24"/>
          <w:szCs w:val="24"/>
          <w:lang w:val="en-US"/>
        </w:rPr>
        <w:t xml:space="preserve"> tax level of 34%) and</w:t>
      </w:r>
      <w:r w:rsidR="00B16764">
        <w:rPr>
          <w:rFonts w:ascii="Arial" w:hAnsi="Arial" w:cs="Arial"/>
          <w:sz w:val="24"/>
          <w:szCs w:val="24"/>
          <w:lang w:val="en-US"/>
        </w:rPr>
        <w:t xml:space="preserve"> </w:t>
      </w:r>
      <w:r w:rsidR="00540D63">
        <w:rPr>
          <w:rFonts w:ascii="Arial" w:hAnsi="Arial" w:cs="Arial"/>
          <w:sz w:val="24"/>
          <w:szCs w:val="24"/>
          <w:lang w:val="en-US"/>
        </w:rPr>
        <w:t xml:space="preserve">ceiling of </w:t>
      </w:r>
      <w:r w:rsidR="00CA793A" w:rsidRPr="00377BAF">
        <w:rPr>
          <w:rFonts w:ascii="Arial" w:hAnsi="Arial" w:cs="Arial"/>
          <w:sz w:val="24"/>
          <w:szCs w:val="24"/>
          <w:lang w:val="en-US"/>
        </w:rPr>
        <w:t>2</w:t>
      </w:r>
      <w:r w:rsidR="00C43A8A">
        <w:rPr>
          <w:rFonts w:ascii="Arial" w:hAnsi="Arial" w:cs="Arial"/>
          <w:sz w:val="24"/>
          <w:szCs w:val="24"/>
          <w:lang w:val="en-US"/>
        </w:rPr>
        <w:t>0</w:t>
      </w:r>
      <w:r w:rsidR="00CA793A" w:rsidRPr="00377BAF">
        <w:rPr>
          <w:rFonts w:ascii="Arial" w:hAnsi="Arial" w:cs="Arial"/>
          <w:sz w:val="24"/>
          <w:szCs w:val="24"/>
          <w:lang w:val="en-US"/>
        </w:rPr>
        <w:t>% post tax return (3</w:t>
      </w:r>
      <w:r w:rsidR="0055222E">
        <w:rPr>
          <w:rFonts w:ascii="Arial" w:hAnsi="Arial" w:cs="Arial"/>
          <w:sz w:val="24"/>
          <w:szCs w:val="24"/>
          <w:lang w:val="en-US"/>
        </w:rPr>
        <w:t>0</w:t>
      </w:r>
      <w:r w:rsidR="00CA793A" w:rsidRPr="00377BAF">
        <w:rPr>
          <w:rFonts w:ascii="Arial" w:hAnsi="Arial" w:cs="Arial"/>
          <w:sz w:val="24"/>
          <w:szCs w:val="24"/>
          <w:lang w:val="en-US"/>
        </w:rPr>
        <w:t>% pretax at tax level of 34%). The investment in urea sector for new units get</w:t>
      </w:r>
      <w:r w:rsidR="00A9728F">
        <w:rPr>
          <w:rFonts w:ascii="Arial" w:hAnsi="Arial" w:cs="Arial"/>
          <w:sz w:val="24"/>
          <w:szCs w:val="24"/>
          <w:lang w:val="en-US"/>
        </w:rPr>
        <w:t xml:space="preserve"> </w:t>
      </w:r>
      <w:r w:rsidR="0055222E">
        <w:rPr>
          <w:rFonts w:ascii="Arial" w:hAnsi="Arial" w:cs="Arial"/>
          <w:sz w:val="24"/>
          <w:szCs w:val="24"/>
          <w:lang w:val="en-US"/>
        </w:rPr>
        <w:t xml:space="preserve">pre-tax </w:t>
      </w:r>
      <w:r w:rsidR="00A9728F">
        <w:rPr>
          <w:rFonts w:ascii="Arial" w:hAnsi="Arial" w:cs="Arial"/>
          <w:sz w:val="24"/>
          <w:szCs w:val="24"/>
          <w:lang w:val="en-US"/>
        </w:rPr>
        <w:t xml:space="preserve">equity </w:t>
      </w:r>
      <w:r w:rsidR="00CA793A" w:rsidRPr="00377BAF">
        <w:rPr>
          <w:rFonts w:ascii="Arial" w:hAnsi="Arial" w:cs="Arial"/>
          <w:sz w:val="24"/>
          <w:szCs w:val="24"/>
          <w:lang w:val="en-US"/>
        </w:rPr>
        <w:t xml:space="preserve">return </w:t>
      </w:r>
      <w:r w:rsidR="00A9728F">
        <w:rPr>
          <w:rFonts w:ascii="Arial" w:hAnsi="Arial" w:cs="Arial"/>
          <w:sz w:val="24"/>
          <w:szCs w:val="24"/>
          <w:lang w:val="en-US"/>
        </w:rPr>
        <w:t>between</w:t>
      </w:r>
      <w:r w:rsidR="00CA793A" w:rsidRPr="00377BAF">
        <w:rPr>
          <w:rFonts w:ascii="Arial" w:hAnsi="Arial" w:cs="Arial"/>
          <w:sz w:val="24"/>
          <w:szCs w:val="24"/>
          <w:lang w:val="en-US"/>
        </w:rPr>
        <w:t xml:space="preserve"> 18% to</w:t>
      </w:r>
      <w:r w:rsidR="0026034A">
        <w:rPr>
          <w:rFonts w:ascii="Arial" w:hAnsi="Arial" w:cs="Arial"/>
          <w:sz w:val="24"/>
          <w:szCs w:val="24"/>
          <w:lang w:val="en-US"/>
        </w:rPr>
        <w:t xml:space="preserve"> </w:t>
      </w:r>
      <w:r w:rsidR="0055222E">
        <w:rPr>
          <w:rFonts w:ascii="Arial" w:hAnsi="Arial" w:cs="Arial"/>
          <w:sz w:val="24"/>
          <w:szCs w:val="24"/>
          <w:lang w:val="en-US"/>
        </w:rPr>
        <w:t>30%.</w:t>
      </w:r>
      <w:r w:rsidR="0026034A">
        <w:rPr>
          <w:rFonts w:ascii="Arial" w:hAnsi="Arial" w:cs="Arial"/>
          <w:sz w:val="24"/>
          <w:szCs w:val="24"/>
          <w:lang w:val="en-US"/>
        </w:rPr>
        <w:t xml:space="preserve"> </w:t>
      </w:r>
      <w:r w:rsidR="00E306C6">
        <w:rPr>
          <w:rFonts w:ascii="Arial" w:hAnsi="Arial" w:cs="Arial"/>
          <w:sz w:val="24"/>
          <w:szCs w:val="24"/>
          <w:lang w:val="en-US"/>
        </w:rPr>
        <w:t>The debt taken for the project is a reimbursed</w:t>
      </w:r>
      <w:r w:rsidR="00A56618">
        <w:rPr>
          <w:rFonts w:ascii="Arial" w:hAnsi="Arial" w:cs="Arial"/>
          <w:sz w:val="24"/>
          <w:szCs w:val="24"/>
          <w:lang w:val="en-US"/>
        </w:rPr>
        <w:t xml:space="preserve"> as part of the calculation</w:t>
      </w:r>
      <w:r w:rsidR="00E306C6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7E2D5232" w14:textId="6BDC1064" w:rsidR="00C43A8A" w:rsidRDefault="00D7393F">
      <w:pPr>
        <w:pStyle w:val="Body"/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 the case of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Ramagundam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9F5FFF">
        <w:rPr>
          <w:rFonts w:ascii="Arial" w:hAnsi="Arial" w:cs="Arial"/>
          <w:sz w:val="24"/>
          <w:szCs w:val="24"/>
          <w:lang w:val="en-US"/>
        </w:rPr>
        <w:t xml:space="preserve">(similar capacity as NFCL) </w:t>
      </w:r>
      <w:r>
        <w:rPr>
          <w:rFonts w:ascii="Arial" w:hAnsi="Arial" w:cs="Arial"/>
          <w:sz w:val="24"/>
          <w:szCs w:val="24"/>
          <w:lang w:val="en-US"/>
        </w:rPr>
        <w:t xml:space="preserve">the equity investment is </w:t>
      </w:r>
      <w:r w:rsidR="007B0DC6">
        <w:rPr>
          <w:rFonts w:ascii="Arial" w:hAnsi="Arial" w:cs="Arial"/>
          <w:sz w:val="24"/>
          <w:szCs w:val="24"/>
          <w:lang w:val="en-US"/>
        </w:rPr>
        <w:t>estimated at Rs</w:t>
      </w:r>
      <w:r w:rsidR="0055222E">
        <w:rPr>
          <w:rFonts w:ascii="Arial" w:hAnsi="Arial" w:cs="Arial"/>
          <w:sz w:val="24"/>
          <w:szCs w:val="24"/>
          <w:lang w:val="en-US"/>
        </w:rPr>
        <w:t xml:space="preserve"> 18</w:t>
      </w:r>
      <w:r w:rsidR="00810C2B">
        <w:rPr>
          <w:rFonts w:ascii="Arial" w:hAnsi="Arial" w:cs="Arial"/>
          <w:sz w:val="24"/>
          <w:szCs w:val="24"/>
          <w:lang w:val="en-US"/>
        </w:rPr>
        <w:t xml:space="preserve">26 </w:t>
      </w:r>
      <w:r w:rsidR="007B0DC6">
        <w:rPr>
          <w:rFonts w:ascii="Arial" w:hAnsi="Arial" w:cs="Arial"/>
          <w:sz w:val="24"/>
          <w:szCs w:val="24"/>
          <w:lang w:val="en-US"/>
        </w:rPr>
        <w:t>Crores</w:t>
      </w:r>
      <w:r w:rsidR="009F5FFF">
        <w:rPr>
          <w:rFonts w:ascii="Arial" w:hAnsi="Arial" w:cs="Arial"/>
          <w:sz w:val="24"/>
          <w:szCs w:val="24"/>
          <w:lang w:val="en-US"/>
        </w:rPr>
        <w:t>.</w:t>
      </w:r>
    </w:p>
    <w:p w14:paraId="6483D337" w14:textId="755C979A" w:rsidR="005A0954" w:rsidRDefault="00C43A8A">
      <w:pPr>
        <w:pStyle w:val="Body"/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 per the old urea policy </w:t>
      </w:r>
      <w:r w:rsidR="00305C1C">
        <w:rPr>
          <w:rFonts w:ascii="Arial" w:hAnsi="Arial" w:cs="Arial"/>
          <w:sz w:val="24"/>
          <w:szCs w:val="24"/>
          <w:lang w:val="en-US"/>
        </w:rPr>
        <w:t xml:space="preserve">(in addition to details already provided) </w:t>
      </w:r>
      <w:r w:rsidR="00C40FDC">
        <w:rPr>
          <w:rFonts w:ascii="Arial" w:hAnsi="Arial" w:cs="Arial"/>
          <w:sz w:val="24"/>
          <w:szCs w:val="24"/>
          <w:lang w:val="en-US"/>
        </w:rPr>
        <w:t xml:space="preserve">existing or new </w:t>
      </w:r>
      <w:r w:rsidR="002C2F54">
        <w:rPr>
          <w:rFonts w:ascii="Arial" w:hAnsi="Arial" w:cs="Arial"/>
          <w:sz w:val="24"/>
          <w:szCs w:val="24"/>
          <w:lang w:val="en-US"/>
        </w:rPr>
        <w:t>equity</w:t>
      </w:r>
      <w:r w:rsidR="00305C1C">
        <w:rPr>
          <w:rFonts w:ascii="Arial" w:hAnsi="Arial" w:cs="Arial"/>
          <w:sz w:val="24"/>
          <w:szCs w:val="24"/>
          <w:lang w:val="en-US"/>
        </w:rPr>
        <w:t xml:space="preserve"> and </w:t>
      </w:r>
      <w:r w:rsidR="002C2F54">
        <w:rPr>
          <w:rFonts w:ascii="Arial" w:hAnsi="Arial" w:cs="Arial"/>
          <w:sz w:val="24"/>
          <w:szCs w:val="24"/>
          <w:lang w:val="en-US"/>
        </w:rPr>
        <w:t>debt (including working capital interest)</w:t>
      </w:r>
      <w:r w:rsidR="00305C1C">
        <w:rPr>
          <w:rFonts w:ascii="Arial" w:hAnsi="Arial" w:cs="Arial"/>
          <w:sz w:val="24"/>
          <w:szCs w:val="24"/>
          <w:lang w:val="en-US"/>
        </w:rPr>
        <w:t xml:space="preserve"> </w:t>
      </w:r>
      <w:r w:rsidR="00902260">
        <w:rPr>
          <w:rFonts w:ascii="Arial" w:hAnsi="Arial" w:cs="Arial"/>
          <w:sz w:val="24"/>
          <w:szCs w:val="24"/>
          <w:lang w:val="en-US"/>
        </w:rPr>
        <w:t xml:space="preserve">of old units </w:t>
      </w:r>
      <w:r w:rsidR="00305C1C">
        <w:rPr>
          <w:rFonts w:ascii="Arial" w:hAnsi="Arial" w:cs="Arial"/>
          <w:sz w:val="24"/>
          <w:szCs w:val="24"/>
          <w:lang w:val="en-US"/>
        </w:rPr>
        <w:t xml:space="preserve">are not </w:t>
      </w:r>
      <w:r w:rsidR="0026034A">
        <w:rPr>
          <w:rFonts w:ascii="Arial" w:hAnsi="Arial" w:cs="Arial"/>
          <w:sz w:val="24"/>
          <w:szCs w:val="24"/>
          <w:lang w:val="en-US"/>
        </w:rPr>
        <w:t>recognized</w:t>
      </w:r>
      <w:r w:rsidR="00C40FDC">
        <w:rPr>
          <w:rFonts w:ascii="Arial" w:hAnsi="Arial" w:cs="Arial"/>
          <w:sz w:val="24"/>
          <w:szCs w:val="24"/>
          <w:lang w:val="en-US"/>
        </w:rPr>
        <w:t xml:space="preserve"> or reimbursed</w:t>
      </w:r>
      <w:r w:rsidR="00FD6591">
        <w:rPr>
          <w:rFonts w:ascii="Arial" w:hAnsi="Arial" w:cs="Arial"/>
          <w:sz w:val="24"/>
          <w:szCs w:val="24"/>
          <w:lang w:val="en-US"/>
        </w:rPr>
        <w:t xml:space="preserve"> (not serviceable)</w:t>
      </w:r>
      <w:r w:rsidR="00902260">
        <w:rPr>
          <w:rFonts w:ascii="Arial" w:hAnsi="Arial" w:cs="Arial"/>
          <w:sz w:val="24"/>
          <w:szCs w:val="24"/>
          <w:lang w:val="en-US"/>
        </w:rPr>
        <w:t>.</w:t>
      </w:r>
      <w:r w:rsidR="00130602">
        <w:rPr>
          <w:rFonts w:ascii="Arial" w:hAnsi="Arial" w:cs="Arial"/>
          <w:sz w:val="24"/>
          <w:szCs w:val="24"/>
          <w:lang w:val="en-US"/>
        </w:rPr>
        <w:t xml:space="preserve"> The</w:t>
      </w:r>
      <w:r w:rsidR="00CA793A" w:rsidRPr="00377BAF">
        <w:rPr>
          <w:rFonts w:ascii="Arial" w:hAnsi="Arial" w:cs="Arial"/>
          <w:sz w:val="24"/>
          <w:szCs w:val="24"/>
          <w:lang w:val="en-US"/>
        </w:rPr>
        <w:t xml:space="preserve"> </w:t>
      </w:r>
      <w:r w:rsidR="00BD16A5">
        <w:rPr>
          <w:rFonts w:ascii="Arial" w:hAnsi="Arial" w:cs="Arial"/>
          <w:sz w:val="24"/>
          <w:szCs w:val="24"/>
          <w:lang w:val="en-US"/>
        </w:rPr>
        <w:t xml:space="preserve">minimum </w:t>
      </w:r>
      <w:r w:rsidR="00CA793A" w:rsidRPr="00377BAF">
        <w:rPr>
          <w:rFonts w:ascii="Arial" w:hAnsi="Arial" w:cs="Arial"/>
          <w:sz w:val="24"/>
          <w:szCs w:val="24"/>
          <w:lang w:val="en-US"/>
        </w:rPr>
        <w:t>investment</w:t>
      </w:r>
      <w:r w:rsidR="00BD16A5">
        <w:rPr>
          <w:rFonts w:ascii="Arial" w:hAnsi="Arial" w:cs="Arial"/>
          <w:sz w:val="24"/>
          <w:szCs w:val="24"/>
          <w:lang w:val="en-US"/>
        </w:rPr>
        <w:t xml:space="preserve"> required</w:t>
      </w:r>
      <w:r w:rsidR="00CA793A" w:rsidRPr="00377BAF">
        <w:rPr>
          <w:rFonts w:ascii="Arial" w:hAnsi="Arial" w:cs="Arial"/>
          <w:sz w:val="24"/>
          <w:szCs w:val="24"/>
          <w:lang w:val="en-US"/>
        </w:rPr>
        <w:t xml:space="preserve"> </w:t>
      </w:r>
      <w:r w:rsidR="00BD16A5">
        <w:rPr>
          <w:rFonts w:ascii="Arial" w:hAnsi="Arial" w:cs="Arial"/>
          <w:sz w:val="24"/>
          <w:szCs w:val="24"/>
          <w:lang w:val="en-US"/>
        </w:rPr>
        <w:t xml:space="preserve">without servicing </w:t>
      </w:r>
      <w:r w:rsidR="003E71F5">
        <w:rPr>
          <w:rFonts w:ascii="Arial" w:hAnsi="Arial" w:cs="Arial"/>
          <w:sz w:val="24"/>
          <w:szCs w:val="24"/>
          <w:lang w:val="en-US"/>
        </w:rPr>
        <w:t xml:space="preserve">any </w:t>
      </w:r>
      <w:r w:rsidR="00BD16A5">
        <w:rPr>
          <w:rFonts w:ascii="Arial" w:hAnsi="Arial" w:cs="Arial"/>
          <w:sz w:val="24"/>
          <w:szCs w:val="24"/>
          <w:lang w:val="en-US"/>
        </w:rPr>
        <w:t>operating creditors</w:t>
      </w:r>
      <w:r w:rsidR="003B657C">
        <w:rPr>
          <w:rFonts w:ascii="Arial" w:hAnsi="Arial" w:cs="Arial"/>
          <w:sz w:val="24"/>
          <w:szCs w:val="24"/>
          <w:lang w:val="en-US"/>
        </w:rPr>
        <w:t xml:space="preserve"> </w:t>
      </w:r>
      <w:r w:rsidR="003E71F5">
        <w:rPr>
          <w:rFonts w:ascii="Arial" w:hAnsi="Arial" w:cs="Arial"/>
          <w:sz w:val="24"/>
          <w:szCs w:val="24"/>
          <w:lang w:val="en-US"/>
        </w:rPr>
        <w:t xml:space="preserve">or financial creditors </w:t>
      </w:r>
      <w:r w:rsidR="005E4125">
        <w:rPr>
          <w:rFonts w:ascii="Arial" w:hAnsi="Arial" w:cs="Arial"/>
          <w:sz w:val="24"/>
          <w:szCs w:val="24"/>
          <w:lang w:val="en-US"/>
        </w:rPr>
        <w:t xml:space="preserve">or brand building expenses </w:t>
      </w:r>
      <w:r w:rsidR="003B657C">
        <w:rPr>
          <w:rFonts w:ascii="Arial" w:hAnsi="Arial" w:cs="Arial"/>
          <w:sz w:val="24"/>
          <w:szCs w:val="24"/>
          <w:lang w:val="en-US"/>
        </w:rPr>
        <w:t xml:space="preserve">is Rs </w:t>
      </w:r>
      <w:r w:rsidR="00B964F1">
        <w:rPr>
          <w:rFonts w:ascii="Arial" w:hAnsi="Arial" w:cs="Arial"/>
          <w:sz w:val="24"/>
          <w:szCs w:val="24"/>
          <w:lang w:val="en-US"/>
        </w:rPr>
        <w:t>2,130</w:t>
      </w:r>
      <w:r w:rsidR="00BD16A5">
        <w:rPr>
          <w:rFonts w:ascii="Arial" w:hAnsi="Arial" w:cs="Arial"/>
          <w:sz w:val="24"/>
          <w:szCs w:val="24"/>
          <w:lang w:val="en-US"/>
        </w:rPr>
        <w:t xml:space="preserve"> </w:t>
      </w:r>
      <w:r w:rsidR="003B657C">
        <w:rPr>
          <w:rFonts w:ascii="Arial" w:hAnsi="Arial" w:cs="Arial"/>
          <w:sz w:val="24"/>
          <w:szCs w:val="24"/>
          <w:lang w:val="en-US"/>
        </w:rPr>
        <w:t xml:space="preserve">Crores </w:t>
      </w:r>
      <w:r w:rsidR="00F43CC8">
        <w:rPr>
          <w:rFonts w:ascii="Arial" w:hAnsi="Arial" w:cs="Arial"/>
          <w:sz w:val="24"/>
          <w:szCs w:val="24"/>
          <w:lang w:val="en-US"/>
        </w:rPr>
        <w:t>(including capex</w:t>
      </w:r>
      <w:r w:rsidR="003673E6">
        <w:rPr>
          <w:rFonts w:ascii="Arial" w:hAnsi="Arial" w:cs="Arial"/>
          <w:sz w:val="24"/>
          <w:szCs w:val="24"/>
          <w:lang w:val="en-US"/>
        </w:rPr>
        <w:t xml:space="preserve"> (Rs 1022 plus 500 Crores)</w:t>
      </w:r>
      <w:r w:rsidR="00F43CC8">
        <w:rPr>
          <w:rFonts w:ascii="Arial" w:hAnsi="Arial" w:cs="Arial"/>
          <w:sz w:val="24"/>
          <w:szCs w:val="24"/>
          <w:lang w:val="en-US"/>
        </w:rPr>
        <w:t>,</w:t>
      </w:r>
      <w:r w:rsidR="003B6616">
        <w:rPr>
          <w:rFonts w:ascii="Arial" w:hAnsi="Arial" w:cs="Arial"/>
          <w:sz w:val="24"/>
          <w:szCs w:val="24"/>
          <w:lang w:val="en-US"/>
        </w:rPr>
        <w:t xml:space="preserve"> </w:t>
      </w:r>
      <w:r w:rsidR="008A2E25">
        <w:rPr>
          <w:rFonts w:ascii="Arial" w:hAnsi="Arial" w:cs="Arial"/>
          <w:sz w:val="24"/>
          <w:szCs w:val="24"/>
          <w:lang w:val="en-US"/>
        </w:rPr>
        <w:t>EBIDTA</w:t>
      </w:r>
      <w:r w:rsidR="003B6616">
        <w:rPr>
          <w:rFonts w:ascii="Arial" w:hAnsi="Arial" w:cs="Arial"/>
          <w:sz w:val="24"/>
          <w:szCs w:val="24"/>
          <w:lang w:val="en-US"/>
        </w:rPr>
        <w:t xml:space="preserve"> loss financing</w:t>
      </w:r>
      <w:r w:rsidR="003673E6">
        <w:rPr>
          <w:rFonts w:ascii="Arial" w:hAnsi="Arial" w:cs="Arial"/>
          <w:sz w:val="24"/>
          <w:szCs w:val="24"/>
          <w:lang w:val="en-US"/>
        </w:rPr>
        <w:t xml:space="preserve"> Rs </w:t>
      </w:r>
      <w:r w:rsidR="00C402BA">
        <w:rPr>
          <w:rFonts w:ascii="Arial" w:hAnsi="Arial" w:cs="Arial"/>
          <w:sz w:val="24"/>
          <w:szCs w:val="24"/>
          <w:lang w:val="en-US"/>
        </w:rPr>
        <w:t>218,</w:t>
      </w:r>
      <w:r w:rsidR="003B6616">
        <w:rPr>
          <w:rFonts w:ascii="Arial" w:hAnsi="Arial" w:cs="Arial"/>
          <w:sz w:val="24"/>
          <w:szCs w:val="24"/>
          <w:lang w:val="en-US"/>
        </w:rPr>
        <w:t xml:space="preserve">, </w:t>
      </w:r>
      <w:r w:rsidR="00EC2103">
        <w:rPr>
          <w:rFonts w:ascii="Arial" w:hAnsi="Arial" w:cs="Arial"/>
          <w:sz w:val="24"/>
          <w:szCs w:val="24"/>
          <w:lang w:val="en-US"/>
        </w:rPr>
        <w:t>working capital margin</w:t>
      </w:r>
      <w:r w:rsidR="00C402BA">
        <w:rPr>
          <w:rFonts w:ascii="Arial" w:hAnsi="Arial" w:cs="Arial"/>
          <w:sz w:val="24"/>
          <w:szCs w:val="24"/>
          <w:lang w:val="en-US"/>
        </w:rPr>
        <w:t xml:space="preserve"> </w:t>
      </w:r>
      <w:r w:rsidR="00794FAF">
        <w:rPr>
          <w:rFonts w:ascii="Arial" w:hAnsi="Arial" w:cs="Arial"/>
          <w:sz w:val="24"/>
          <w:szCs w:val="24"/>
          <w:lang w:val="en-US"/>
        </w:rPr>
        <w:t xml:space="preserve">of around </w:t>
      </w:r>
      <w:r w:rsidR="00C402BA">
        <w:rPr>
          <w:rFonts w:ascii="Arial" w:hAnsi="Arial" w:cs="Arial"/>
          <w:sz w:val="24"/>
          <w:szCs w:val="24"/>
          <w:lang w:val="en-US"/>
        </w:rPr>
        <w:t>Rs 300</w:t>
      </w:r>
      <w:r w:rsidR="00794FAF">
        <w:rPr>
          <w:rFonts w:ascii="Arial" w:hAnsi="Arial" w:cs="Arial"/>
          <w:sz w:val="24"/>
          <w:szCs w:val="24"/>
          <w:lang w:val="en-US"/>
        </w:rPr>
        <w:t xml:space="preserve"> crores</w:t>
      </w:r>
      <w:r w:rsidR="00EC2103">
        <w:rPr>
          <w:rFonts w:ascii="Arial" w:hAnsi="Arial" w:cs="Arial"/>
          <w:sz w:val="24"/>
          <w:szCs w:val="24"/>
          <w:lang w:val="en-US"/>
        </w:rPr>
        <w:t>) and maximum investment as a going concern</w:t>
      </w:r>
      <w:r w:rsidR="009C7F27">
        <w:rPr>
          <w:rFonts w:ascii="Arial" w:hAnsi="Arial" w:cs="Arial"/>
          <w:sz w:val="24"/>
          <w:szCs w:val="24"/>
          <w:lang w:val="en-US"/>
        </w:rPr>
        <w:t xml:space="preserve"> including servicing operating creditors is </w:t>
      </w:r>
      <w:r w:rsidR="00E00D0B">
        <w:rPr>
          <w:rFonts w:ascii="Arial" w:hAnsi="Arial" w:cs="Arial"/>
          <w:sz w:val="24"/>
          <w:szCs w:val="24"/>
          <w:lang w:val="en-US"/>
        </w:rPr>
        <w:t xml:space="preserve">Rs </w:t>
      </w:r>
      <w:r w:rsidR="00AF7040">
        <w:rPr>
          <w:rFonts w:ascii="Arial" w:hAnsi="Arial" w:cs="Arial"/>
          <w:sz w:val="24"/>
          <w:szCs w:val="24"/>
          <w:lang w:val="en-US"/>
        </w:rPr>
        <w:t>3232</w:t>
      </w:r>
      <w:r w:rsidR="009C7F27">
        <w:rPr>
          <w:rFonts w:ascii="Arial" w:hAnsi="Arial" w:cs="Arial"/>
          <w:sz w:val="24"/>
          <w:szCs w:val="24"/>
          <w:lang w:val="en-US"/>
        </w:rPr>
        <w:t xml:space="preserve"> </w:t>
      </w:r>
      <w:r w:rsidR="00E00D0B">
        <w:rPr>
          <w:rFonts w:ascii="Arial" w:hAnsi="Arial" w:cs="Arial"/>
          <w:sz w:val="24"/>
          <w:szCs w:val="24"/>
          <w:lang w:val="en-US"/>
        </w:rPr>
        <w:t xml:space="preserve">Crores (not including debt settlement). </w:t>
      </w:r>
      <w:r w:rsidR="005A095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C30ECAC" w14:textId="77777777" w:rsidR="005A0954" w:rsidRDefault="005A0954">
      <w:pPr>
        <w:pStyle w:val="Body"/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B2F6F3A" w14:textId="5202F461" w:rsidR="00E67ECB" w:rsidRPr="00C43A8A" w:rsidRDefault="00E67ECB">
      <w:pPr>
        <w:pStyle w:val="Body"/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 clarification to the query on EBIDTA in the financial model sent vide dated</w:t>
      </w:r>
      <w:r w:rsidR="006D59E8">
        <w:rPr>
          <w:rFonts w:ascii="Arial" w:hAnsi="Arial" w:cs="Arial"/>
          <w:sz w:val="24"/>
          <w:szCs w:val="24"/>
          <w:lang w:val="en-US"/>
        </w:rPr>
        <w:t xml:space="preserve"> 31 May 2022. </w:t>
      </w:r>
      <w:r>
        <w:rPr>
          <w:rFonts w:ascii="Arial" w:hAnsi="Arial" w:cs="Arial"/>
          <w:sz w:val="24"/>
          <w:szCs w:val="24"/>
          <w:lang w:val="en-US"/>
        </w:rPr>
        <w:t>The EBIDTA does not include the liability payments to operational creditors</w:t>
      </w:r>
      <w:r w:rsidR="00FC5746">
        <w:rPr>
          <w:rFonts w:ascii="Arial" w:hAnsi="Arial" w:cs="Arial"/>
          <w:sz w:val="24"/>
          <w:szCs w:val="24"/>
          <w:lang w:val="en-US"/>
        </w:rPr>
        <w:t xml:space="preserve"> like</w:t>
      </w:r>
      <w:r>
        <w:rPr>
          <w:rFonts w:ascii="Arial" w:hAnsi="Arial" w:cs="Arial"/>
          <w:sz w:val="24"/>
          <w:szCs w:val="24"/>
          <w:lang w:val="en-US"/>
        </w:rPr>
        <w:t xml:space="preserve"> Water </w:t>
      </w:r>
      <w:r w:rsidR="005A0954">
        <w:rPr>
          <w:rFonts w:ascii="Arial" w:hAnsi="Arial" w:cs="Arial"/>
          <w:sz w:val="24"/>
          <w:szCs w:val="24"/>
          <w:lang w:val="en-US"/>
        </w:rPr>
        <w:t>Rs 265</w:t>
      </w:r>
      <w:r>
        <w:rPr>
          <w:rFonts w:ascii="Arial" w:hAnsi="Arial" w:cs="Arial"/>
          <w:sz w:val="24"/>
          <w:szCs w:val="24"/>
          <w:lang w:val="en-US"/>
        </w:rPr>
        <w:t xml:space="preserve"> Crores, Arbitration Awards / Court Rs </w:t>
      </w:r>
      <w:r w:rsidR="00366A3F">
        <w:rPr>
          <w:rFonts w:ascii="Arial" w:hAnsi="Arial" w:cs="Arial"/>
          <w:sz w:val="24"/>
          <w:szCs w:val="24"/>
          <w:lang w:val="en-US"/>
        </w:rPr>
        <w:t>19</w:t>
      </w:r>
      <w:r w:rsidR="00364CD5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 Crores, Tax</w:t>
      </w:r>
      <w:r w:rsidR="00366A3F">
        <w:rPr>
          <w:rFonts w:ascii="Arial" w:hAnsi="Arial" w:cs="Arial"/>
          <w:sz w:val="24"/>
          <w:szCs w:val="24"/>
          <w:lang w:val="en-US"/>
        </w:rPr>
        <w:t>ation matters Rs 2</w:t>
      </w:r>
      <w:r w:rsidR="00364CD5">
        <w:rPr>
          <w:rFonts w:ascii="Arial" w:hAnsi="Arial" w:cs="Arial"/>
          <w:sz w:val="24"/>
          <w:szCs w:val="24"/>
          <w:lang w:val="en-US"/>
        </w:rPr>
        <w:t>0</w:t>
      </w:r>
      <w:r w:rsidR="00366A3F">
        <w:rPr>
          <w:rFonts w:ascii="Arial" w:hAnsi="Arial" w:cs="Arial"/>
          <w:sz w:val="24"/>
          <w:szCs w:val="24"/>
          <w:lang w:val="en-US"/>
        </w:rPr>
        <w:t xml:space="preserve"> Crores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FC5746">
        <w:rPr>
          <w:rFonts w:ascii="Arial" w:hAnsi="Arial" w:cs="Arial"/>
          <w:sz w:val="24"/>
          <w:szCs w:val="24"/>
          <w:lang w:val="en-US"/>
        </w:rPr>
        <w:t xml:space="preserve"> &amp; others Rs </w:t>
      </w:r>
      <w:r w:rsidR="00364CD5">
        <w:rPr>
          <w:rFonts w:ascii="Arial" w:hAnsi="Arial" w:cs="Arial"/>
          <w:sz w:val="24"/>
          <w:szCs w:val="24"/>
          <w:lang w:val="en-US"/>
        </w:rPr>
        <w:t>8</w:t>
      </w:r>
      <w:r w:rsidR="00FC5746">
        <w:rPr>
          <w:rFonts w:ascii="Arial" w:hAnsi="Arial" w:cs="Arial"/>
          <w:sz w:val="24"/>
          <w:szCs w:val="24"/>
          <w:lang w:val="en-US"/>
        </w:rPr>
        <w:t xml:space="preserve"> Crores</w:t>
      </w:r>
      <w:r>
        <w:rPr>
          <w:rFonts w:ascii="Arial" w:hAnsi="Arial" w:cs="Arial"/>
          <w:sz w:val="24"/>
          <w:szCs w:val="24"/>
          <w:lang w:val="en-US"/>
        </w:rPr>
        <w:t>.</w:t>
      </w:r>
    </w:p>
    <w:sectPr w:rsidR="00E67ECB" w:rsidRPr="00C43A8A" w:rsidSect="005A0954">
      <w:headerReference w:type="default" r:id="rId7"/>
      <w:footerReference w:type="default" r:id="rId8"/>
      <w:pgSz w:w="11900" w:h="16840"/>
      <w:pgMar w:top="284" w:right="849" w:bottom="1276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06E5" w14:textId="77777777" w:rsidR="00E04EE5" w:rsidRDefault="00E04EE5">
      <w:r>
        <w:separator/>
      </w:r>
    </w:p>
  </w:endnote>
  <w:endnote w:type="continuationSeparator" w:id="0">
    <w:p w14:paraId="3525385C" w14:textId="77777777" w:rsidR="00E04EE5" w:rsidRDefault="00E0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9E03" w14:textId="77777777" w:rsidR="008F1FCC" w:rsidRDefault="008F1FC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C912" w14:textId="77777777" w:rsidR="00E04EE5" w:rsidRDefault="00E04EE5">
      <w:r>
        <w:separator/>
      </w:r>
    </w:p>
  </w:footnote>
  <w:footnote w:type="continuationSeparator" w:id="0">
    <w:p w14:paraId="29ECDD91" w14:textId="77777777" w:rsidR="00E04EE5" w:rsidRDefault="00E0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59F3" w14:textId="77777777" w:rsidR="008F1FCC" w:rsidRDefault="008F1FC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77B"/>
    <w:multiLevelType w:val="hybridMultilevel"/>
    <w:tmpl w:val="FFFFFFFF"/>
    <w:lvl w:ilvl="0" w:tplc="128A785E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6AC476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54773C">
      <w:start w:val="1"/>
      <w:numFmt w:val="lowerLetter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8A819A">
      <w:start w:val="1"/>
      <w:numFmt w:val="lowerLetter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260D70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A8DF4">
      <w:start w:val="1"/>
      <w:numFmt w:val="lowerLetter"/>
      <w:lvlText w:val="%6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6892BA">
      <w:start w:val="1"/>
      <w:numFmt w:val="lowerLetter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965C04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5488DE">
      <w:start w:val="1"/>
      <w:numFmt w:val="lowerLetter"/>
      <w:lvlText w:val="%9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9335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CC"/>
    <w:rsid w:val="000247D4"/>
    <w:rsid w:val="000657C5"/>
    <w:rsid w:val="00085D8C"/>
    <w:rsid w:val="000E28EA"/>
    <w:rsid w:val="001303D8"/>
    <w:rsid w:val="00130602"/>
    <w:rsid w:val="001604AE"/>
    <w:rsid w:val="00163990"/>
    <w:rsid w:val="001663B6"/>
    <w:rsid w:val="00184EC5"/>
    <w:rsid w:val="001D79D9"/>
    <w:rsid w:val="00230498"/>
    <w:rsid w:val="002370A8"/>
    <w:rsid w:val="00242872"/>
    <w:rsid w:val="00250DEF"/>
    <w:rsid w:val="00251241"/>
    <w:rsid w:val="0026034A"/>
    <w:rsid w:val="002864D6"/>
    <w:rsid w:val="002C2F54"/>
    <w:rsid w:val="00301060"/>
    <w:rsid w:val="00305C1C"/>
    <w:rsid w:val="003571FE"/>
    <w:rsid w:val="00364CD5"/>
    <w:rsid w:val="00366A3F"/>
    <w:rsid w:val="003673E6"/>
    <w:rsid w:val="00377BAF"/>
    <w:rsid w:val="003B657C"/>
    <w:rsid w:val="003B6616"/>
    <w:rsid w:val="003D5A35"/>
    <w:rsid w:val="003E0481"/>
    <w:rsid w:val="003E71F5"/>
    <w:rsid w:val="004123BC"/>
    <w:rsid w:val="004467AA"/>
    <w:rsid w:val="00454125"/>
    <w:rsid w:val="004566D5"/>
    <w:rsid w:val="004E3E92"/>
    <w:rsid w:val="004F1E84"/>
    <w:rsid w:val="004F37CB"/>
    <w:rsid w:val="004F3D98"/>
    <w:rsid w:val="004F3DE5"/>
    <w:rsid w:val="00510D27"/>
    <w:rsid w:val="005304C0"/>
    <w:rsid w:val="00540D63"/>
    <w:rsid w:val="0055222E"/>
    <w:rsid w:val="0055248E"/>
    <w:rsid w:val="005603A6"/>
    <w:rsid w:val="00591565"/>
    <w:rsid w:val="00594A94"/>
    <w:rsid w:val="005A0954"/>
    <w:rsid w:val="005A11D3"/>
    <w:rsid w:val="005D3E86"/>
    <w:rsid w:val="005E4125"/>
    <w:rsid w:val="005E440E"/>
    <w:rsid w:val="00613FBD"/>
    <w:rsid w:val="00651FDB"/>
    <w:rsid w:val="00674A52"/>
    <w:rsid w:val="006B554A"/>
    <w:rsid w:val="006D2E00"/>
    <w:rsid w:val="006D59E8"/>
    <w:rsid w:val="006E54CB"/>
    <w:rsid w:val="006F3893"/>
    <w:rsid w:val="00753548"/>
    <w:rsid w:val="0075468A"/>
    <w:rsid w:val="00794FAF"/>
    <w:rsid w:val="007957C0"/>
    <w:rsid w:val="007B0DC6"/>
    <w:rsid w:val="007F7999"/>
    <w:rsid w:val="00800E24"/>
    <w:rsid w:val="00810C2B"/>
    <w:rsid w:val="00826C1A"/>
    <w:rsid w:val="008A2E25"/>
    <w:rsid w:val="008A60ED"/>
    <w:rsid w:val="008F1FCC"/>
    <w:rsid w:val="00902260"/>
    <w:rsid w:val="00910FB0"/>
    <w:rsid w:val="00930D58"/>
    <w:rsid w:val="0094375F"/>
    <w:rsid w:val="00946D55"/>
    <w:rsid w:val="00962078"/>
    <w:rsid w:val="00986B4F"/>
    <w:rsid w:val="009B10DE"/>
    <w:rsid w:val="009B2FA4"/>
    <w:rsid w:val="009C7F27"/>
    <w:rsid w:val="009F5FFF"/>
    <w:rsid w:val="00A274D5"/>
    <w:rsid w:val="00A55087"/>
    <w:rsid w:val="00A56618"/>
    <w:rsid w:val="00A934AA"/>
    <w:rsid w:val="00A9728F"/>
    <w:rsid w:val="00AB103E"/>
    <w:rsid w:val="00AF7040"/>
    <w:rsid w:val="00B01574"/>
    <w:rsid w:val="00B16764"/>
    <w:rsid w:val="00B36A6A"/>
    <w:rsid w:val="00B404DF"/>
    <w:rsid w:val="00B649FD"/>
    <w:rsid w:val="00B94865"/>
    <w:rsid w:val="00B964F1"/>
    <w:rsid w:val="00BA129C"/>
    <w:rsid w:val="00BD000A"/>
    <w:rsid w:val="00BD16A5"/>
    <w:rsid w:val="00C402BA"/>
    <w:rsid w:val="00C40FDC"/>
    <w:rsid w:val="00C43A8A"/>
    <w:rsid w:val="00C475DE"/>
    <w:rsid w:val="00C67F92"/>
    <w:rsid w:val="00C960C3"/>
    <w:rsid w:val="00CA2EF3"/>
    <w:rsid w:val="00CA793A"/>
    <w:rsid w:val="00CC0B0F"/>
    <w:rsid w:val="00CC5086"/>
    <w:rsid w:val="00CE0323"/>
    <w:rsid w:val="00CE13EF"/>
    <w:rsid w:val="00D34482"/>
    <w:rsid w:val="00D55631"/>
    <w:rsid w:val="00D567F8"/>
    <w:rsid w:val="00D7393F"/>
    <w:rsid w:val="00DC76EF"/>
    <w:rsid w:val="00E00D0B"/>
    <w:rsid w:val="00E04EE5"/>
    <w:rsid w:val="00E201D4"/>
    <w:rsid w:val="00E306C6"/>
    <w:rsid w:val="00E451A2"/>
    <w:rsid w:val="00E455D2"/>
    <w:rsid w:val="00E67ECB"/>
    <w:rsid w:val="00E728AA"/>
    <w:rsid w:val="00E81502"/>
    <w:rsid w:val="00E868D3"/>
    <w:rsid w:val="00E90F5E"/>
    <w:rsid w:val="00EA013C"/>
    <w:rsid w:val="00EA68A4"/>
    <w:rsid w:val="00EB2194"/>
    <w:rsid w:val="00EB5E5E"/>
    <w:rsid w:val="00EC2103"/>
    <w:rsid w:val="00EC285E"/>
    <w:rsid w:val="00EF7541"/>
    <w:rsid w:val="00F0131A"/>
    <w:rsid w:val="00F43CC8"/>
    <w:rsid w:val="00F74823"/>
    <w:rsid w:val="00FA115B"/>
    <w:rsid w:val="00FA1928"/>
    <w:rsid w:val="00FC5746"/>
    <w:rsid w:val="00F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85875"/>
  <w15:docId w15:val="{504532B0-8B6B-DA4C-9F5A-A712E7E1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Suresh Kumar</dc:creator>
  <cp:lastModifiedBy>Suresh Kumar R</cp:lastModifiedBy>
  <cp:revision>13</cp:revision>
  <dcterms:created xsi:type="dcterms:W3CDTF">2022-06-04T08:21:00Z</dcterms:created>
  <dcterms:modified xsi:type="dcterms:W3CDTF">2022-06-04T09:50:00Z</dcterms:modified>
</cp:coreProperties>
</file>