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E3B58" w14:textId="77777777" w:rsidR="002D792E" w:rsidRPr="002D792E" w:rsidRDefault="002D792E" w:rsidP="00053973">
      <w:pPr>
        <w:jc w:val="center"/>
        <w:rPr>
          <w:rFonts w:ascii="Arial" w:hAnsi="Arial" w:cs="Arial"/>
          <w:b/>
          <w:bCs/>
          <w:sz w:val="24"/>
          <w:szCs w:val="24"/>
          <w:u w:val="single"/>
        </w:rPr>
      </w:pPr>
      <w:r w:rsidRPr="002D792E">
        <w:rPr>
          <w:rFonts w:ascii="Arial" w:hAnsi="Arial" w:cs="Arial"/>
          <w:b/>
          <w:bCs/>
          <w:sz w:val="24"/>
          <w:szCs w:val="24"/>
          <w:u w:val="single"/>
        </w:rPr>
        <w:t>Kakinada – Plant and Machinery:</w:t>
      </w:r>
    </w:p>
    <w:p w14:paraId="4127500C" w14:textId="77777777" w:rsidR="002D792E" w:rsidRDefault="002D792E" w:rsidP="002D792E">
      <w:pPr>
        <w:rPr>
          <w:rFonts w:ascii="Arial" w:hAnsi="Arial" w:cs="Arial"/>
          <w:sz w:val="24"/>
          <w:szCs w:val="24"/>
        </w:rPr>
      </w:pPr>
    </w:p>
    <w:p w14:paraId="1C36B53A" w14:textId="4F954E88" w:rsidR="005D371E" w:rsidRDefault="004F47E8" w:rsidP="00843C03">
      <w:pPr>
        <w:spacing w:line="360" w:lineRule="auto"/>
        <w:jc w:val="both"/>
        <w:rPr>
          <w:rFonts w:ascii="Arial" w:hAnsi="Arial" w:cs="Arial"/>
          <w:sz w:val="24"/>
          <w:szCs w:val="24"/>
        </w:rPr>
      </w:pPr>
      <w:r w:rsidRPr="00442E83">
        <w:rPr>
          <w:rStyle w:val="s1"/>
          <w:rFonts w:ascii="Arial" w:eastAsia="Times New Roman" w:hAnsi="Arial" w:cs="Arial"/>
          <w:sz w:val="24"/>
          <w:szCs w:val="24"/>
        </w:rPr>
        <w:t xml:space="preserve">NFCL’s Plant </w:t>
      </w:r>
      <w:r>
        <w:rPr>
          <w:rStyle w:val="s1"/>
          <w:rFonts w:ascii="Arial" w:eastAsia="Times New Roman" w:hAnsi="Arial" w:cs="Arial"/>
          <w:sz w:val="24"/>
          <w:szCs w:val="24"/>
        </w:rPr>
        <w:t>I</w:t>
      </w:r>
      <w:r w:rsidRPr="00442E83">
        <w:rPr>
          <w:rStyle w:val="s1"/>
          <w:rFonts w:ascii="Arial" w:eastAsia="Times New Roman" w:hAnsi="Arial" w:cs="Arial"/>
          <w:sz w:val="24"/>
          <w:szCs w:val="24"/>
        </w:rPr>
        <w:t xml:space="preserve"> is </w:t>
      </w:r>
      <w:r>
        <w:rPr>
          <w:rStyle w:val="s1"/>
          <w:rFonts w:ascii="Arial" w:eastAsia="Times New Roman" w:hAnsi="Arial" w:cs="Arial"/>
          <w:sz w:val="24"/>
          <w:szCs w:val="24"/>
        </w:rPr>
        <w:t>30</w:t>
      </w:r>
      <w:r w:rsidRPr="00442E83">
        <w:rPr>
          <w:rStyle w:val="s1"/>
          <w:rFonts w:ascii="Arial" w:eastAsia="Times New Roman" w:hAnsi="Arial" w:cs="Arial"/>
          <w:sz w:val="24"/>
          <w:szCs w:val="24"/>
        </w:rPr>
        <w:t xml:space="preserve"> years </w:t>
      </w:r>
      <w:r w:rsidR="005A61D2" w:rsidRPr="00442E83">
        <w:rPr>
          <w:rStyle w:val="s1"/>
          <w:rFonts w:ascii="Arial" w:eastAsia="Times New Roman" w:hAnsi="Arial" w:cs="Arial"/>
          <w:sz w:val="24"/>
          <w:szCs w:val="24"/>
        </w:rPr>
        <w:t>old,</w:t>
      </w:r>
      <w:r w:rsidRPr="00442E83">
        <w:rPr>
          <w:rStyle w:val="s1"/>
          <w:rFonts w:ascii="Arial" w:eastAsia="Times New Roman" w:hAnsi="Arial" w:cs="Arial"/>
          <w:sz w:val="24"/>
          <w:szCs w:val="24"/>
        </w:rPr>
        <w:t xml:space="preserve"> and Plant </w:t>
      </w:r>
      <w:r>
        <w:rPr>
          <w:rStyle w:val="s1"/>
          <w:rFonts w:ascii="Arial" w:eastAsia="Times New Roman" w:hAnsi="Arial" w:cs="Arial"/>
          <w:sz w:val="24"/>
          <w:szCs w:val="24"/>
        </w:rPr>
        <w:t>II</w:t>
      </w:r>
      <w:r w:rsidRPr="00442E83">
        <w:rPr>
          <w:rStyle w:val="s1"/>
          <w:rFonts w:ascii="Arial" w:eastAsia="Times New Roman" w:hAnsi="Arial" w:cs="Arial"/>
          <w:sz w:val="24"/>
          <w:szCs w:val="24"/>
        </w:rPr>
        <w:t xml:space="preserve"> is 24 years old</w:t>
      </w:r>
      <w:r>
        <w:rPr>
          <w:rStyle w:val="s1"/>
          <w:rFonts w:ascii="Arial" w:eastAsia="Times New Roman" w:hAnsi="Arial" w:cs="Arial"/>
          <w:sz w:val="24"/>
          <w:szCs w:val="24"/>
        </w:rPr>
        <w:t>,</w:t>
      </w:r>
      <w:r w:rsidR="00DB0F7D">
        <w:rPr>
          <w:rStyle w:val="s1"/>
          <w:rFonts w:ascii="Arial" w:eastAsia="Times New Roman" w:hAnsi="Arial" w:cs="Arial"/>
          <w:sz w:val="24"/>
          <w:szCs w:val="24"/>
        </w:rPr>
        <w:t xml:space="preserve"> </w:t>
      </w:r>
      <w:r>
        <w:rPr>
          <w:rStyle w:val="s1"/>
          <w:rFonts w:ascii="Arial" w:eastAsia="Times New Roman" w:hAnsi="Arial" w:cs="Arial"/>
          <w:sz w:val="24"/>
          <w:szCs w:val="24"/>
        </w:rPr>
        <w:t>t</w:t>
      </w:r>
      <w:r w:rsidR="005D371E" w:rsidRPr="00442E83">
        <w:rPr>
          <w:rStyle w:val="s1"/>
          <w:rFonts w:ascii="Arial" w:eastAsia="Times New Roman" w:hAnsi="Arial" w:cs="Arial"/>
          <w:sz w:val="24"/>
          <w:szCs w:val="24"/>
        </w:rPr>
        <w:t xml:space="preserve">he plants are fully </w:t>
      </w:r>
      <w:r w:rsidR="00E71C37" w:rsidRPr="00442E83">
        <w:rPr>
          <w:rStyle w:val="s1"/>
          <w:rFonts w:ascii="Arial" w:eastAsia="Times New Roman" w:hAnsi="Arial" w:cs="Arial"/>
          <w:sz w:val="24"/>
          <w:szCs w:val="24"/>
        </w:rPr>
        <w:t>depreciated</w:t>
      </w:r>
      <w:r w:rsidR="00DB0F7D">
        <w:rPr>
          <w:rStyle w:val="s1"/>
          <w:rFonts w:ascii="Arial" w:eastAsia="Times New Roman" w:hAnsi="Arial" w:cs="Arial"/>
          <w:sz w:val="24"/>
          <w:szCs w:val="24"/>
        </w:rPr>
        <w:t xml:space="preserve">. </w:t>
      </w:r>
      <w:r w:rsidR="0096394C">
        <w:rPr>
          <w:rFonts w:ascii="Arial" w:hAnsi="Arial" w:cs="Arial"/>
          <w:sz w:val="24"/>
          <w:szCs w:val="24"/>
        </w:rPr>
        <w:t xml:space="preserve">During the CDR </w:t>
      </w:r>
      <w:r w:rsidR="00DA262F">
        <w:rPr>
          <w:rFonts w:ascii="Arial" w:hAnsi="Arial" w:cs="Arial"/>
          <w:sz w:val="24"/>
          <w:szCs w:val="24"/>
        </w:rPr>
        <w:t>period, as</w:t>
      </w:r>
      <w:r>
        <w:rPr>
          <w:rFonts w:ascii="Arial" w:hAnsi="Arial" w:cs="Arial"/>
          <w:sz w:val="24"/>
          <w:szCs w:val="24"/>
        </w:rPr>
        <w:t xml:space="preserve"> the priority was given for </w:t>
      </w:r>
      <w:r w:rsidR="00DB0F7D">
        <w:rPr>
          <w:rFonts w:ascii="Arial" w:hAnsi="Arial" w:cs="Arial"/>
          <w:sz w:val="24"/>
          <w:szCs w:val="24"/>
        </w:rPr>
        <w:t xml:space="preserve">debt reduction, </w:t>
      </w:r>
      <w:r w:rsidR="0096394C">
        <w:rPr>
          <w:rFonts w:ascii="Arial" w:hAnsi="Arial" w:cs="Arial"/>
          <w:sz w:val="24"/>
          <w:szCs w:val="24"/>
        </w:rPr>
        <w:t xml:space="preserve">the Company could not </w:t>
      </w:r>
      <w:r w:rsidR="00DB0F7D">
        <w:rPr>
          <w:rFonts w:ascii="Arial" w:hAnsi="Arial" w:cs="Arial"/>
          <w:sz w:val="24"/>
          <w:szCs w:val="24"/>
        </w:rPr>
        <w:t xml:space="preserve">adequately </w:t>
      </w:r>
      <w:r w:rsidR="0096394C">
        <w:rPr>
          <w:rFonts w:ascii="Arial" w:hAnsi="Arial" w:cs="Arial"/>
          <w:sz w:val="24"/>
          <w:szCs w:val="24"/>
        </w:rPr>
        <w:t xml:space="preserve">spend on </w:t>
      </w:r>
      <w:r w:rsidR="00DB0F7D">
        <w:rPr>
          <w:rFonts w:ascii="Arial" w:hAnsi="Arial" w:cs="Arial"/>
          <w:sz w:val="24"/>
          <w:szCs w:val="24"/>
        </w:rPr>
        <w:t xml:space="preserve">the </w:t>
      </w:r>
      <w:r w:rsidR="0096394C">
        <w:rPr>
          <w:rFonts w:ascii="Arial" w:hAnsi="Arial" w:cs="Arial"/>
          <w:sz w:val="24"/>
          <w:szCs w:val="24"/>
        </w:rPr>
        <w:t xml:space="preserve">maintenance and replacement of plant and machinery. </w:t>
      </w:r>
      <w:r w:rsidR="00DB0F7D">
        <w:rPr>
          <w:rFonts w:ascii="Arial" w:hAnsi="Arial" w:cs="Arial"/>
          <w:sz w:val="24"/>
          <w:szCs w:val="24"/>
        </w:rPr>
        <w:t>Just after</w:t>
      </w:r>
      <w:r w:rsidR="0096394C">
        <w:rPr>
          <w:rFonts w:ascii="Arial" w:hAnsi="Arial" w:cs="Arial"/>
          <w:sz w:val="24"/>
          <w:szCs w:val="24"/>
        </w:rPr>
        <w:t xml:space="preserve"> exiting CDR, due to GAIL pipeline accident</w:t>
      </w:r>
      <w:r>
        <w:rPr>
          <w:rFonts w:ascii="Arial" w:hAnsi="Arial" w:cs="Arial"/>
          <w:sz w:val="24"/>
          <w:szCs w:val="24"/>
        </w:rPr>
        <w:t xml:space="preserve">, </w:t>
      </w:r>
      <w:r w:rsidR="00DB0F7D">
        <w:rPr>
          <w:rFonts w:ascii="Arial" w:hAnsi="Arial" w:cs="Arial"/>
          <w:sz w:val="24"/>
          <w:szCs w:val="24"/>
        </w:rPr>
        <w:t xml:space="preserve">due to </w:t>
      </w:r>
      <w:r w:rsidR="00512F85">
        <w:rPr>
          <w:rFonts w:ascii="Arial" w:hAnsi="Arial" w:cs="Arial"/>
          <w:sz w:val="24"/>
          <w:szCs w:val="24"/>
        </w:rPr>
        <w:t>non-release of funds assessed by the lenders for</w:t>
      </w:r>
      <w:r>
        <w:rPr>
          <w:rFonts w:ascii="Arial" w:hAnsi="Arial" w:cs="Arial"/>
          <w:sz w:val="24"/>
          <w:szCs w:val="24"/>
        </w:rPr>
        <w:t xml:space="preserve"> CAP</w:t>
      </w:r>
      <w:r w:rsidR="00DB0F7D">
        <w:rPr>
          <w:rFonts w:ascii="Arial" w:hAnsi="Arial" w:cs="Arial"/>
          <w:sz w:val="24"/>
          <w:szCs w:val="24"/>
        </w:rPr>
        <w:t xml:space="preserve"> led to </w:t>
      </w:r>
      <w:r w:rsidR="0096394C">
        <w:rPr>
          <w:rFonts w:ascii="Arial" w:hAnsi="Arial" w:cs="Arial"/>
          <w:sz w:val="24"/>
          <w:szCs w:val="24"/>
        </w:rPr>
        <w:t xml:space="preserve">financial </w:t>
      </w:r>
      <w:r w:rsidR="00DA262F">
        <w:rPr>
          <w:rFonts w:ascii="Arial" w:hAnsi="Arial" w:cs="Arial"/>
          <w:sz w:val="24"/>
          <w:szCs w:val="24"/>
        </w:rPr>
        <w:t>stress disabling the</w:t>
      </w:r>
      <w:r w:rsidR="0096394C">
        <w:rPr>
          <w:rFonts w:ascii="Arial" w:hAnsi="Arial" w:cs="Arial"/>
          <w:sz w:val="24"/>
          <w:szCs w:val="24"/>
        </w:rPr>
        <w:t xml:space="preserve"> Company </w:t>
      </w:r>
      <w:r w:rsidR="00DB0F7D">
        <w:rPr>
          <w:rFonts w:ascii="Arial" w:hAnsi="Arial" w:cs="Arial"/>
          <w:sz w:val="24"/>
          <w:szCs w:val="24"/>
        </w:rPr>
        <w:t xml:space="preserve">capability to </w:t>
      </w:r>
      <w:r w:rsidR="0096394C">
        <w:rPr>
          <w:rFonts w:ascii="Arial" w:hAnsi="Arial" w:cs="Arial"/>
          <w:sz w:val="24"/>
          <w:szCs w:val="24"/>
        </w:rPr>
        <w:t>spend on maintenance</w:t>
      </w:r>
      <w:r>
        <w:rPr>
          <w:rFonts w:ascii="Arial" w:hAnsi="Arial" w:cs="Arial"/>
          <w:sz w:val="24"/>
          <w:szCs w:val="24"/>
        </w:rPr>
        <w:t xml:space="preserve"> and replacements</w:t>
      </w:r>
      <w:r w:rsidR="006F70BB">
        <w:rPr>
          <w:rFonts w:ascii="Arial" w:hAnsi="Arial" w:cs="Arial"/>
          <w:sz w:val="24"/>
          <w:szCs w:val="24"/>
        </w:rPr>
        <w:t xml:space="preserve"> of plant and machinery</w:t>
      </w:r>
      <w:r w:rsidR="00DB0F7D">
        <w:rPr>
          <w:rFonts w:ascii="Arial" w:hAnsi="Arial" w:cs="Arial"/>
          <w:sz w:val="24"/>
          <w:szCs w:val="24"/>
        </w:rPr>
        <w:t xml:space="preserve"> which has led </w:t>
      </w:r>
      <w:r w:rsidR="00DA262F">
        <w:rPr>
          <w:rFonts w:ascii="Arial" w:hAnsi="Arial" w:cs="Arial"/>
          <w:sz w:val="24"/>
          <w:szCs w:val="24"/>
        </w:rPr>
        <w:t>to substantial</w:t>
      </w:r>
      <w:r w:rsidR="00DB0F7D">
        <w:rPr>
          <w:rFonts w:ascii="Arial" w:hAnsi="Arial" w:cs="Arial"/>
          <w:sz w:val="24"/>
          <w:szCs w:val="24"/>
        </w:rPr>
        <w:t xml:space="preserve"> impairment of </w:t>
      </w:r>
      <w:r w:rsidR="00053973">
        <w:rPr>
          <w:rFonts w:ascii="Arial" w:hAnsi="Arial" w:cs="Arial"/>
          <w:sz w:val="24"/>
          <w:szCs w:val="24"/>
        </w:rPr>
        <w:t xml:space="preserve">the life and value of the plants. </w:t>
      </w:r>
    </w:p>
    <w:p w14:paraId="79D335E1" w14:textId="0C0CF1F2" w:rsidR="00F57B2F" w:rsidRDefault="0096394C" w:rsidP="00843C03">
      <w:pPr>
        <w:spacing w:line="360" w:lineRule="auto"/>
        <w:jc w:val="both"/>
        <w:rPr>
          <w:rFonts w:ascii="Arial" w:hAnsi="Arial" w:cs="Arial"/>
          <w:sz w:val="24"/>
          <w:szCs w:val="24"/>
        </w:rPr>
      </w:pPr>
      <w:r>
        <w:rPr>
          <w:rFonts w:ascii="Arial" w:hAnsi="Arial" w:cs="Arial"/>
          <w:sz w:val="24"/>
          <w:szCs w:val="24"/>
        </w:rPr>
        <w:t xml:space="preserve">The Government revised the energy norm for </w:t>
      </w:r>
      <w:r w:rsidR="00053973">
        <w:rPr>
          <w:rFonts w:ascii="Arial" w:hAnsi="Arial" w:cs="Arial"/>
          <w:sz w:val="24"/>
          <w:szCs w:val="24"/>
        </w:rPr>
        <w:t xml:space="preserve">industry </w:t>
      </w:r>
      <w:r>
        <w:rPr>
          <w:rFonts w:ascii="Arial" w:hAnsi="Arial" w:cs="Arial"/>
          <w:sz w:val="24"/>
          <w:szCs w:val="24"/>
        </w:rPr>
        <w:t xml:space="preserve">necessitating investment </w:t>
      </w:r>
      <w:r w:rsidR="00DA262F">
        <w:rPr>
          <w:rFonts w:ascii="Arial" w:hAnsi="Arial" w:cs="Arial"/>
          <w:sz w:val="24"/>
          <w:szCs w:val="24"/>
        </w:rPr>
        <w:t>to reduce</w:t>
      </w:r>
      <w:r w:rsidR="00DB0F7D">
        <w:rPr>
          <w:rFonts w:ascii="Arial" w:hAnsi="Arial" w:cs="Arial"/>
          <w:sz w:val="24"/>
          <w:szCs w:val="24"/>
        </w:rPr>
        <w:t xml:space="preserve"> the energy. N</w:t>
      </w:r>
      <w:r w:rsidR="00053973">
        <w:rPr>
          <w:rFonts w:ascii="Arial" w:hAnsi="Arial" w:cs="Arial"/>
          <w:sz w:val="24"/>
          <w:szCs w:val="24"/>
        </w:rPr>
        <w:t xml:space="preserve">on-investment in maintenance (reliability measures) and investment in </w:t>
      </w:r>
      <w:r>
        <w:rPr>
          <w:rFonts w:ascii="Arial" w:hAnsi="Arial" w:cs="Arial"/>
          <w:sz w:val="24"/>
          <w:szCs w:val="24"/>
        </w:rPr>
        <w:t>energy saving project resulted in operating the plant at higher energy consumption than the norm</w:t>
      </w:r>
      <w:r w:rsidR="004F47E8">
        <w:rPr>
          <w:rFonts w:ascii="Arial" w:hAnsi="Arial" w:cs="Arial"/>
          <w:sz w:val="24"/>
          <w:szCs w:val="24"/>
        </w:rPr>
        <w:t>,</w:t>
      </w:r>
      <w:r w:rsidR="00F57B2F">
        <w:rPr>
          <w:rFonts w:ascii="Arial" w:hAnsi="Arial" w:cs="Arial"/>
          <w:sz w:val="24"/>
          <w:szCs w:val="24"/>
        </w:rPr>
        <w:t xml:space="preserve"> leading to cash losses</w:t>
      </w:r>
      <w:r w:rsidR="008C1465">
        <w:rPr>
          <w:rFonts w:ascii="Arial" w:hAnsi="Arial" w:cs="Arial"/>
          <w:sz w:val="24"/>
          <w:szCs w:val="24"/>
        </w:rPr>
        <w:t xml:space="preserve"> </w:t>
      </w:r>
      <w:proofErr w:type="gramStart"/>
      <w:r w:rsidR="00053973">
        <w:rPr>
          <w:rFonts w:ascii="Arial" w:hAnsi="Arial" w:cs="Arial"/>
          <w:sz w:val="24"/>
          <w:szCs w:val="24"/>
        </w:rPr>
        <w:t>in excess of</w:t>
      </w:r>
      <w:proofErr w:type="gramEnd"/>
      <w:r w:rsidR="00053973">
        <w:rPr>
          <w:rFonts w:ascii="Arial" w:hAnsi="Arial" w:cs="Arial"/>
          <w:sz w:val="24"/>
          <w:szCs w:val="24"/>
        </w:rPr>
        <w:t xml:space="preserve"> Rs 30 Crores per month with expenses higher than the revenues</w:t>
      </w:r>
      <w:r w:rsidR="00F57B2F">
        <w:rPr>
          <w:rFonts w:ascii="Arial" w:hAnsi="Arial" w:cs="Arial"/>
          <w:sz w:val="24"/>
          <w:szCs w:val="24"/>
        </w:rPr>
        <w:t>.</w:t>
      </w:r>
      <w:r w:rsidR="00053973">
        <w:rPr>
          <w:rFonts w:ascii="Arial" w:hAnsi="Arial" w:cs="Arial"/>
          <w:sz w:val="24"/>
          <w:szCs w:val="24"/>
        </w:rPr>
        <w:t xml:space="preserve"> The Company is unable to meet the production cost despite producing at full capacity.</w:t>
      </w:r>
    </w:p>
    <w:p w14:paraId="36C6E157" w14:textId="77777777" w:rsidR="0096394C" w:rsidRDefault="00F57B2F" w:rsidP="00843C03">
      <w:pPr>
        <w:spacing w:line="360" w:lineRule="auto"/>
        <w:jc w:val="both"/>
        <w:rPr>
          <w:rFonts w:ascii="Arial" w:hAnsi="Arial" w:cs="Arial"/>
          <w:sz w:val="24"/>
          <w:szCs w:val="24"/>
        </w:rPr>
      </w:pPr>
      <w:r>
        <w:rPr>
          <w:rFonts w:ascii="Arial" w:hAnsi="Arial" w:cs="Arial"/>
          <w:sz w:val="24"/>
          <w:szCs w:val="24"/>
        </w:rPr>
        <w:t xml:space="preserve">The requirement of investment for meeting the energy norm was estimated by M/s Saipem (technology supplier) during </w:t>
      </w:r>
      <w:r w:rsidR="00053973">
        <w:rPr>
          <w:rFonts w:ascii="Arial" w:hAnsi="Arial" w:cs="Arial"/>
          <w:sz w:val="24"/>
          <w:szCs w:val="24"/>
        </w:rPr>
        <w:t>2015-</w:t>
      </w:r>
      <w:r>
        <w:rPr>
          <w:rFonts w:ascii="Arial" w:hAnsi="Arial" w:cs="Arial"/>
          <w:sz w:val="24"/>
          <w:szCs w:val="24"/>
        </w:rPr>
        <w:t>16</w:t>
      </w:r>
      <w:r w:rsidR="00053973">
        <w:rPr>
          <w:rFonts w:ascii="Arial" w:hAnsi="Arial" w:cs="Arial"/>
          <w:sz w:val="24"/>
          <w:szCs w:val="24"/>
        </w:rPr>
        <w:t xml:space="preserve"> study</w:t>
      </w:r>
      <w:r>
        <w:rPr>
          <w:rFonts w:ascii="Arial" w:hAnsi="Arial" w:cs="Arial"/>
          <w:sz w:val="24"/>
          <w:szCs w:val="24"/>
        </w:rPr>
        <w:t xml:space="preserve">. </w:t>
      </w:r>
      <w:r w:rsidR="00CE3DEB">
        <w:rPr>
          <w:rFonts w:ascii="Arial" w:hAnsi="Arial" w:cs="Arial"/>
          <w:sz w:val="24"/>
          <w:szCs w:val="24"/>
        </w:rPr>
        <w:t>Since then, t</w:t>
      </w:r>
      <w:r>
        <w:rPr>
          <w:rFonts w:ascii="Arial" w:hAnsi="Arial" w:cs="Arial"/>
          <w:sz w:val="24"/>
          <w:szCs w:val="24"/>
        </w:rPr>
        <w:t>he</w:t>
      </w:r>
      <w:r w:rsidR="00CE3DEB">
        <w:rPr>
          <w:rFonts w:ascii="Arial" w:hAnsi="Arial" w:cs="Arial"/>
          <w:sz w:val="24"/>
          <w:szCs w:val="24"/>
        </w:rPr>
        <w:t xml:space="preserve"> plant has substantially </w:t>
      </w:r>
      <w:r w:rsidR="005A61D2">
        <w:rPr>
          <w:rFonts w:ascii="Arial" w:hAnsi="Arial" w:cs="Arial"/>
          <w:sz w:val="24"/>
          <w:szCs w:val="24"/>
        </w:rPr>
        <w:t>deteriorated,</w:t>
      </w:r>
      <w:r w:rsidR="00CE3DEB">
        <w:rPr>
          <w:rFonts w:ascii="Arial" w:hAnsi="Arial" w:cs="Arial"/>
          <w:sz w:val="24"/>
          <w:szCs w:val="24"/>
        </w:rPr>
        <w:t xml:space="preserve"> and </w:t>
      </w:r>
      <w:r w:rsidR="00DB0F7D">
        <w:rPr>
          <w:rFonts w:ascii="Arial" w:hAnsi="Arial" w:cs="Arial"/>
          <w:sz w:val="24"/>
          <w:szCs w:val="24"/>
        </w:rPr>
        <w:t xml:space="preserve">project </w:t>
      </w:r>
      <w:r w:rsidR="00CE3DEB">
        <w:rPr>
          <w:rFonts w:ascii="Arial" w:hAnsi="Arial" w:cs="Arial"/>
          <w:sz w:val="24"/>
          <w:szCs w:val="24"/>
        </w:rPr>
        <w:t>costs have increased. The</w:t>
      </w:r>
      <w:r>
        <w:rPr>
          <w:rFonts w:ascii="Arial" w:hAnsi="Arial" w:cs="Arial"/>
          <w:sz w:val="24"/>
          <w:szCs w:val="24"/>
        </w:rPr>
        <w:t xml:space="preserve"> requirement</w:t>
      </w:r>
      <w:r w:rsidR="00CE3DEB">
        <w:rPr>
          <w:rFonts w:ascii="Arial" w:hAnsi="Arial" w:cs="Arial"/>
          <w:sz w:val="24"/>
          <w:szCs w:val="24"/>
        </w:rPr>
        <w:t xml:space="preserve">s now </w:t>
      </w:r>
      <w:r>
        <w:rPr>
          <w:rFonts w:ascii="Arial" w:hAnsi="Arial" w:cs="Arial"/>
          <w:sz w:val="24"/>
          <w:szCs w:val="24"/>
        </w:rPr>
        <w:t>for replacements to avoid breakdowns and to improve the reliability, based on equipment life, present health conditions</w:t>
      </w:r>
      <w:r w:rsidR="00CE3DEB">
        <w:rPr>
          <w:rFonts w:ascii="Arial" w:hAnsi="Arial" w:cs="Arial"/>
          <w:sz w:val="24"/>
          <w:szCs w:val="24"/>
        </w:rPr>
        <w:t xml:space="preserve"> and energy saving project</w:t>
      </w:r>
      <w:r>
        <w:rPr>
          <w:rFonts w:ascii="Arial" w:hAnsi="Arial" w:cs="Arial"/>
          <w:sz w:val="24"/>
          <w:szCs w:val="24"/>
        </w:rPr>
        <w:t xml:space="preserve"> was estimated by M/s Mott Macdonald</w:t>
      </w:r>
      <w:r w:rsidR="004931CF">
        <w:rPr>
          <w:rFonts w:ascii="Arial" w:hAnsi="Arial" w:cs="Arial"/>
          <w:sz w:val="24"/>
          <w:szCs w:val="24"/>
        </w:rPr>
        <w:t xml:space="preserve"> in 2020-21</w:t>
      </w:r>
      <w:r w:rsidR="008B1AD1">
        <w:rPr>
          <w:rFonts w:ascii="Arial" w:hAnsi="Arial" w:cs="Arial"/>
          <w:sz w:val="24"/>
          <w:szCs w:val="24"/>
        </w:rPr>
        <w:t>(</w:t>
      </w:r>
      <w:r w:rsidR="004F47E8">
        <w:rPr>
          <w:rFonts w:ascii="Arial" w:hAnsi="Arial" w:cs="Arial"/>
          <w:sz w:val="24"/>
          <w:szCs w:val="24"/>
        </w:rPr>
        <w:t>Banker’s</w:t>
      </w:r>
      <w:r>
        <w:rPr>
          <w:rFonts w:ascii="Arial" w:hAnsi="Arial" w:cs="Arial"/>
          <w:sz w:val="24"/>
          <w:szCs w:val="24"/>
        </w:rPr>
        <w:t xml:space="preserve"> consultant</w:t>
      </w:r>
      <w:r w:rsidR="004931CF">
        <w:rPr>
          <w:rFonts w:ascii="Arial" w:hAnsi="Arial" w:cs="Arial"/>
          <w:sz w:val="24"/>
          <w:szCs w:val="24"/>
        </w:rPr>
        <w:t>)</w:t>
      </w:r>
      <w:r>
        <w:rPr>
          <w:rFonts w:ascii="Arial" w:hAnsi="Arial" w:cs="Arial"/>
          <w:sz w:val="24"/>
          <w:szCs w:val="24"/>
        </w:rPr>
        <w:t>.</w:t>
      </w:r>
    </w:p>
    <w:p w14:paraId="06BF8FF7" w14:textId="77777777" w:rsidR="005D371E" w:rsidRDefault="005D371E" w:rsidP="00843C03">
      <w:pPr>
        <w:spacing w:line="360" w:lineRule="auto"/>
        <w:jc w:val="both"/>
        <w:rPr>
          <w:rFonts w:ascii="Arial" w:hAnsi="Arial" w:cs="Arial"/>
          <w:sz w:val="24"/>
          <w:szCs w:val="24"/>
        </w:rPr>
      </w:pPr>
      <w:r>
        <w:rPr>
          <w:rStyle w:val="s1"/>
          <w:rFonts w:ascii="Arial" w:eastAsia="Times New Roman" w:hAnsi="Arial" w:cs="Arial"/>
          <w:sz w:val="24"/>
          <w:szCs w:val="24"/>
        </w:rPr>
        <w:t>T</w:t>
      </w:r>
      <w:r w:rsidRPr="00442E83">
        <w:rPr>
          <w:rStyle w:val="s1"/>
          <w:rFonts w:ascii="Arial" w:eastAsia="Times New Roman" w:hAnsi="Arial" w:cs="Arial"/>
          <w:sz w:val="24"/>
          <w:szCs w:val="24"/>
        </w:rPr>
        <w:t xml:space="preserve">he Written </w:t>
      </w:r>
      <w:r w:rsidRPr="00DB0F7D">
        <w:rPr>
          <w:rStyle w:val="s1"/>
          <w:rFonts w:ascii="Arial" w:eastAsia="Times New Roman" w:hAnsi="Arial" w:cs="Arial"/>
          <w:sz w:val="24"/>
          <w:szCs w:val="24"/>
        </w:rPr>
        <w:t>Down</w:t>
      </w:r>
      <w:r w:rsidRPr="00442E83">
        <w:rPr>
          <w:rStyle w:val="s1"/>
          <w:rFonts w:ascii="Arial" w:eastAsia="Times New Roman" w:hAnsi="Arial" w:cs="Arial"/>
          <w:sz w:val="24"/>
          <w:szCs w:val="24"/>
        </w:rPr>
        <w:t xml:space="preserve"> Value of plant and machinery as on 31 March 2021 is Rs 79.58 </w:t>
      </w:r>
      <w:proofErr w:type="spellStart"/>
      <w:r w:rsidRPr="00442E83">
        <w:rPr>
          <w:rStyle w:val="s1"/>
          <w:rFonts w:ascii="Arial" w:eastAsia="Times New Roman" w:hAnsi="Arial" w:cs="Arial"/>
          <w:sz w:val="24"/>
          <w:szCs w:val="24"/>
        </w:rPr>
        <w:t>Crs</w:t>
      </w:r>
      <w:proofErr w:type="spellEnd"/>
      <w:r w:rsidRPr="00442E83">
        <w:rPr>
          <w:rStyle w:val="s1"/>
          <w:rFonts w:ascii="Arial" w:eastAsia="Times New Roman" w:hAnsi="Arial" w:cs="Arial"/>
          <w:sz w:val="24"/>
          <w:szCs w:val="24"/>
        </w:rPr>
        <w:t xml:space="preserve"> as per Income Tax Act 1963 (calculated based on actual acquisition cost of plant and machinery).</w:t>
      </w:r>
    </w:p>
    <w:p w14:paraId="7E02A389" w14:textId="77777777" w:rsidR="002D792E" w:rsidRPr="002D792E" w:rsidRDefault="002D792E" w:rsidP="00843C03">
      <w:pPr>
        <w:spacing w:line="360" w:lineRule="auto"/>
        <w:jc w:val="both"/>
        <w:rPr>
          <w:rFonts w:ascii="Arial" w:hAnsi="Arial" w:cs="Arial"/>
          <w:sz w:val="24"/>
          <w:szCs w:val="24"/>
        </w:rPr>
      </w:pPr>
      <w:r w:rsidRPr="002D792E">
        <w:rPr>
          <w:rFonts w:ascii="Arial" w:hAnsi="Arial" w:cs="Arial"/>
          <w:sz w:val="24"/>
          <w:szCs w:val="24"/>
        </w:rPr>
        <w:t>Due to continued cash losses from the operations</w:t>
      </w:r>
      <w:r w:rsidR="00D06A0A">
        <w:rPr>
          <w:rFonts w:ascii="Arial" w:hAnsi="Arial" w:cs="Arial"/>
          <w:sz w:val="24"/>
          <w:szCs w:val="24"/>
        </w:rPr>
        <w:t>,</w:t>
      </w:r>
      <w:r w:rsidRPr="002D792E">
        <w:rPr>
          <w:rFonts w:ascii="Arial" w:hAnsi="Arial" w:cs="Arial"/>
          <w:sz w:val="24"/>
          <w:szCs w:val="24"/>
        </w:rPr>
        <w:t xml:space="preserve"> the company has engaged a valuer as per Ind-</w:t>
      </w:r>
      <w:r w:rsidRPr="00843C03">
        <w:t>AS</w:t>
      </w:r>
      <w:r w:rsidRPr="002D792E">
        <w:rPr>
          <w:rFonts w:ascii="Arial" w:hAnsi="Arial" w:cs="Arial"/>
          <w:sz w:val="24"/>
          <w:szCs w:val="24"/>
        </w:rPr>
        <w:t xml:space="preserve"> to test impairment of cash generating assets.  </w:t>
      </w:r>
      <w:r w:rsidRPr="00977189">
        <w:rPr>
          <w:rFonts w:ascii="Arial" w:hAnsi="Arial" w:cs="Arial"/>
          <w:color w:val="000000" w:themeColor="text1"/>
          <w:sz w:val="24"/>
          <w:szCs w:val="24"/>
        </w:rPr>
        <w:t>The details will be shared upon closure of accounts.</w:t>
      </w:r>
    </w:p>
    <w:p w14:paraId="4648B070" w14:textId="77777777" w:rsidR="002D792E" w:rsidRPr="002D792E" w:rsidRDefault="002D792E" w:rsidP="002D792E">
      <w:pPr>
        <w:rPr>
          <w:rFonts w:ascii="Arial" w:hAnsi="Arial" w:cs="Arial"/>
          <w:sz w:val="24"/>
          <w:szCs w:val="24"/>
        </w:rPr>
      </w:pPr>
      <w:r w:rsidRPr="002D792E">
        <w:rPr>
          <w:rFonts w:ascii="Arial" w:hAnsi="Arial" w:cs="Arial"/>
          <w:sz w:val="24"/>
          <w:szCs w:val="24"/>
        </w:rPr>
        <w:t xml:space="preserve">Methodology used by valuer is produced below for ready reference. </w:t>
      </w:r>
    </w:p>
    <w:p w14:paraId="6DA5814A" w14:textId="77777777" w:rsidR="002D792E" w:rsidRPr="002D792E" w:rsidRDefault="002D792E" w:rsidP="00843C03">
      <w:pPr>
        <w:spacing w:line="360" w:lineRule="auto"/>
        <w:jc w:val="both"/>
        <w:rPr>
          <w:rFonts w:ascii="Arial" w:hAnsi="Arial" w:cs="Arial"/>
          <w:sz w:val="24"/>
          <w:szCs w:val="24"/>
        </w:rPr>
      </w:pPr>
      <w:r w:rsidRPr="002D792E">
        <w:rPr>
          <w:rFonts w:ascii="Arial" w:hAnsi="Arial" w:cs="Arial"/>
          <w:sz w:val="24"/>
          <w:szCs w:val="24"/>
        </w:rPr>
        <w:t>The investment for the recently commissioned urea plant was considered for replacement value after the following adjustments.</w:t>
      </w:r>
    </w:p>
    <w:p w14:paraId="015DF477" w14:textId="77777777" w:rsidR="002D792E" w:rsidRPr="002D792E" w:rsidRDefault="002D792E" w:rsidP="002D792E">
      <w:pPr>
        <w:numPr>
          <w:ilvl w:val="1"/>
          <w:numId w:val="1"/>
        </w:numPr>
        <w:rPr>
          <w:rFonts w:ascii="Arial" w:hAnsi="Arial" w:cs="Arial"/>
          <w:sz w:val="24"/>
          <w:szCs w:val="24"/>
        </w:rPr>
      </w:pPr>
      <w:r w:rsidRPr="002D792E">
        <w:rPr>
          <w:rFonts w:ascii="Arial" w:hAnsi="Arial" w:cs="Arial"/>
          <w:sz w:val="24"/>
          <w:szCs w:val="24"/>
        </w:rPr>
        <w:t>Capacity difference</w:t>
      </w:r>
    </w:p>
    <w:p w14:paraId="0C782105" w14:textId="77777777" w:rsidR="002D792E" w:rsidRPr="002D792E" w:rsidRDefault="002D792E" w:rsidP="002D792E">
      <w:pPr>
        <w:numPr>
          <w:ilvl w:val="1"/>
          <w:numId w:val="1"/>
        </w:numPr>
        <w:rPr>
          <w:rFonts w:ascii="Arial" w:hAnsi="Arial" w:cs="Arial"/>
          <w:sz w:val="24"/>
          <w:szCs w:val="24"/>
        </w:rPr>
      </w:pPr>
      <w:r w:rsidRPr="002D792E">
        <w:rPr>
          <w:rFonts w:ascii="Arial" w:hAnsi="Arial" w:cs="Arial"/>
          <w:sz w:val="24"/>
          <w:szCs w:val="24"/>
        </w:rPr>
        <w:t>Energy efficiency difference</w:t>
      </w:r>
      <w:r w:rsidR="004931CF">
        <w:rPr>
          <w:rFonts w:ascii="Arial" w:hAnsi="Arial" w:cs="Arial"/>
          <w:sz w:val="24"/>
          <w:szCs w:val="24"/>
        </w:rPr>
        <w:t xml:space="preserve"> (technology </w:t>
      </w:r>
      <w:r w:rsidR="004931CF" w:rsidRPr="002D792E">
        <w:rPr>
          <w:rFonts w:ascii="Arial" w:hAnsi="Arial" w:cs="Arial"/>
          <w:sz w:val="24"/>
          <w:szCs w:val="24"/>
        </w:rPr>
        <w:t>obsolescence</w:t>
      </w:r>
      <w:r w:rsidR="004931CF">
        <w:rPr>
          <w:rFonts w:ascii="Arial" w:hAnsi="Arial" w:cs="Arial"/>
          <w:sz w:val="24"/>
          <w:szCs w:val="24"/>
        </w:rPr>
        <w:t>)</w:t>
      </w:r>
    </w:p>
    <w:p w14:paraId="77978199" w14:textId="77777777" w:rsidR="002D792E" w:rsidRPr="002D792E" w:rsidRDefault="002D792E" w:rsidP="002D792E">
      <w:pPr>
        <w:numPr>
          <w:ilvl w:val="1"/>
          <w:numId w:val="1"/>
        </w:numPr>
        <w:rPr>
          <w:rFonts w:ascii="Arial" w:hAnsi="Arial" w:cs="Arial"/>
          <w:sz w:val="24"/>
          <w:szCs w:val="24"/>
        </w:rPr>
      </w:pPr>
      <w:r w:rsidRPr="002D792E">
        <w:rPr>
          <w:rFonts w:ascii="Arial" w:hAnsi="Arial" w:cs="Arial"/>
          <w:sz w:val="24"/>
          <w:szCs w:val="24"/>
        </w:rPr>
        <w:t>Incurable obsolescence (depreciation)</w:t>
      </w:r>
    </w:p>
    <w:p w14:paraId="0A53CC8C" w14:textId="77777777" w:rsidR="002D792E" w:rsidRPr="002D792E" w:rsidRDefault="002D792E" w:rsidP="002D792E">
      <w:pPr>
        <w:numPr>
          <w:ilvl w:val="1"/>
          <w:numId w:val="1"/>
        </w:numPr>
        <w:rPr>
          <w:rFonts w:ascii="Arial" w:hAnsi="Arial" w:cs="Arial"/>
          <w:sz w:val="24"/>
          <w:szCs w:val="24"/>
        </w:rPr>
      </w:pPr>
      <w:r w:rsidRPr="002D792E">
        <w:rPr>
          <w:rFonts w:ascii="Arial" w:hAnsi="Arial" w:cs="Arial"/>
          <w:sz w:val="24"/>
          <w:szCs w:val="24"/>
        </w:rPr>
        <w:t>Curable obsolescence (cost of replacement required for continuing safe and economical operations assessed by M/s Mott Macdonald)</w:t>
      </w:r>
    </w:p>
    <w:p w14:paraId="4BDADFC4" w14:textId="77777777" w:rsidR="002D792E" w:rsidRDefault="002D792E" w:rsidP="002D792E">
      <w:pPr>
        <w:rPr>
          <w:rFonts w:ascii="Arial" w:hAnsi="Arial" w:cs="Arial"/>
          <w:sz w:val="24"/>
          <w:szCs w:val="24"/>
        </w:rPr>
      </w:pPr>
      <w:r w:rsidRPr="002D792E">
        <w:rPr>
          <w:rFonts w:ascii="Arial" w:hAnsi="Arial" w:cs="Arial"/>
          <w:sz w:val="24"/>
          <w:szCs w:val="24"/>
        </w:rPr>
        <w:lastRenderedPageBreak/>
        <w:t xml:space="preserve">Value as per above steps or realisable salvage value </w:t>
      </w:r>
      <w:r w:rsidR="004F47E8" w:rsidRPr="002D792E">
        <w:rPr>
          <w:rFonts w:ascii="Arial" w:hAnsi="Arial" w:cs="Arial"/>
          <w:sz w:val="24"/>
          <w:szCs w:val="24"/>
        </w:rPr>
        <w:t>whichever</w:t>
      </w:r>
      <w:r w:rsidRPr="002D792E">
        <w:rPr>
          <w:rFonts w:ascii="Arial" w:hAnsi="Arial" w:cs="Arial"/>
          <w:sz w:val="24"/>
          <w:szCs w:val="24"/>
        </w:rPr>
        <w:t xml:space="preserve"> is higher is considered.</w:t>
      </w:r>
    </w:p>
    <w:p w14:paraId="26C731EE" w14:textId="77777777" w:rsidR="00B019B9" w:rsidRDefault="00B019B9" w:rsidP="00B019B9">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jc w:val="both"/>
        <w:rPr>
          <w:rFonts w:ascii="Arial" w:hAnsi="Arial"/>
          <w:b/>
          <w:bCs/>
        </w:rPr>
      </w:pPr>
      <w:r>
        <w:rPr>
          <w:rFonts w:ascii="Arial" w:hAnsi="Arial"/>
          <w:b/>
          <w:bCs/>
          <w:u w:val="single"/>
        </w:rPr>
        <w:t>Plant and Machinery Liquidation Value</w:t>
      </w:r>
      <w:r>
        <w:rPr>
          <w:rFonts w:ascii="Arial" w:hAnsi="Arial"/>
          <w:b/>
          <w:bCs/>
        </w:rPr>
        <w:t>:</w:t>
      </w:r>
    </w:p>
    <w:p w14:paraId="42D33521" w14:textId="77777777" w:rsidR="00133413" w:rsidRDefault="00133413" w:rsidP="00B019B9">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jc w:val="both"/>
        <w:rPr>
          <w:rFonts w:ascii="Arial" w:hAnsi="Arial"/>
          <w:b/>
          <w:bCs/>
        </w:rPr>
      </w:pPr>
    </w:p>
    <w:p w14:paraId="3BA9F946" w14:textId="77777777" w:rsidR="004F47E8" w:rsidRDefault="00B019B9" w:rsidP="00843C03">
      <w:pPr>
        <w:spacing w:line="360" w:lineRule="auto"/>
        <w:jc w:val="both"/>
        <w:rPr>
          <w:rFonts w:ascii="Arial" w:hAnsi="Arial"/>
        </w:rPr>
      </w:pPr>
      <w:r w:rsidRPr="00133413">
        <w:rPr>
          <w:rFonts w:ascii="Arial" w:hAnsi="Arial"/>
        </w:rPr>
        <w:t xml:space="preserve">Based on </w:t>
      </w:r>
      <w:r w:rsidR="00133413" w:rsidRPr="00133413">
        <w:rPr>
          <w:rFonts w:ascii="Arial" w:hAnsi="Arial"/>
        </w:rPr>
        <w:t>the above</w:t>
      </w:r>
      <w:r w:rsidRPr="00133413">
        <w:rPr>
          <w:rFonts w:ascii="Arial" w:hAnsi="Arial"/>
        </w:rPr>
        <w:t xml:space="preserve"> methodology, the re</w:t>
      </w:r>
      <w:r w:rsidR="004931CF">
        <w:rPr>
          <w:rFonts w:ascii="Arial" w:hAnsi="Arial"/>
        </w:rPr>
        <w:t>placement</w:t>
      </w:r>
      <w:r w:rsidRPr="00133413">
        <w:rPr>
          <w:rFonts w:ascii="Arial" w:hAnsi="Arial"/>
        </w:rPr>
        <w:t xml:space="preserve"> value is coming negative, </w:t>
      </w:r>
      <w:r w:rsidR="004931CF">
        <w:rPr>
          <w:rFonts w:ascii="Arial" w:hAnsi="Arial"/>
        </w:rPr>
        <w:t xml:space="preserve">therefore </w:t>
      </w:r>
      <w:r w:rsidR="004F47E8">
        <w:rPr>
          <w:rFonts w:ascii="Arial" w:hAnsi="Arial"/>
        </w:rPr>
        <w:t>salvage</w:t>
      </w:r>
      <w:r w:rsidRPr="00133413">
        <w:rPr>
          <w:rFonts w:ascii="Arial" w:hAnsi="Arial"/>
        </w:rPr>
        <w:t xml:space="preserve"> value of the </w:t>
      </w:r>
      <w:r w:rsidRPr="00843C03">
        <w:rPr>
          <w:rStyle w:val="s1"/>
          <w:rFonts w:ascii="Arial" w:eastAsia="Times New Roman" w:hAnsi="Arial" w:cs="Arial"/>
          <w:sz w:val="24"/>
          <w:szCs w:val="24"/>
        </w:rPr>
        <w:t>asset</w:t>
      </w:r>
      <w:r w:rsidRPr="00133413">
        <w:rPr>
          <w:rFonts w:ascii="Arial" w:hAnsi="Arial"/>
        </w:rPr>
        <w:t xml:space="preserve"> was considered. While considering the </w:t>
      </w:r>
      <w:r w:rsidR="004F47E8">
        <w:rPr>
          <w:rFonts w:ascii="Arial" w:hAnsi="Arial"/>
        </w:rPr>
        <w:t>salvage</w:t>
      </w:r>
      <w:r w:rsidR="00133413" w:rsidRPr="00133413">
        <w:rPr>
          <w:rFonts w:ascii="Arial" w:hAnsi="Arial"/>
        </w:rPr>
        <w:t>value, being</w:t>
      </w:r>
      <w:r w:rsidRPr="00133413">
        <w:rPr>
          <w:rFonts w:ascii="Arial" w:hAnsi="Arial"/>
        </w:rPr>
        <w:t xml:space="preserve"> a hazardous</w:t>
      </w:r>
      <w:r w:rsidR="00133413" w:rsidRPr="00133413">
        <w:rPr>
          <w:rFonts w:ascii="Arial" w:hAnsi="Arial"/>
        </w:rPr>
        <w:t>, chemical plant with</w:t>
      </w:r>
      <w:r w:rsidR="00133413">
        <w:rPr>
          <w:rFonts w:ascii="Arial" w:hAnsi="Arial"/>
        </w:rPr>
        <w:t xml:space="preserve"> very heavy equipment,</w:t>
      </w:r>
      <w:r w:rsidR="00133413" w:rsidRPr="00133413">
        <w:rPr>
          <w:rFonts w:ascii="Arial" w:hAnsi="Arial"/>
        </w:rPr>
        <w:t xml:space="preserve"> catalysts and other hazardous materials, the cost involved in dismantling, disposing off the hazardous materials </w:t>
      </w:r>
      <w:r w:rsidR="004931CF">
        <w:rPr>
          <w:rFonts w:ascii="Arial" w:hAnsi="Arial"/>
        </w:rPr>
        <w:t xml:space="preserve">were partially </w:t>
      </w:r>
      <w:r w:rsidR="00133413" w:rsidRPr="00133413">
        <w:rPr>
          <w:rFonts w:ascii="Arial" w:hAnsi="Arial"/>
        </w:rPr>
        <w:t>considered while arriving at the realizable value.</w:t>
      </w:r>
    </w:p>
    <w:p w14:paraId="02CCB472" w14:textId="77777777" w:rsidR="00AE1610" w:rsidRPr="007D6657" w:rsidRDefault="00AE1610" w:rsidP="00AE161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jc w:val="both"/>
        <w:rPr>
          <w:rFonts w:ascii="Arial" w:hAnsi="Arial"/>
          <w:b/>
          <w:bCs/>
        </w:rPr>
      </w:pPr>
      <w:r w:rsidRPr="007D6657">
        <w:rPr>
          <w:rFonts w:ascii="Arial" w:hAnsi="Arial"/>
          <w:b/>
          <w:bCs/>
        </w:rPr>
        <w:t>Excerpts from the impairment testing report (draft) on Kakinada plant and machinery are produced below:</w:t>
      </w:r>
    </w:p>
    <w:p w14:paraId="02332DDE" w14:textId="77777777" w:rsidR="00AE1610" w:rsidRDefault="00AE1610" w:rsidP="00AE161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jc w:val="both"/>
        <w:rPr>
          <w:rFonts w:ascii="Arial" w:hAnsi="Arial"/>
          <w:b/>
          <w:bCs/>
          <w:u w:val="single"/>
        </w:rPr>
      </w:pPr>
    </w:p>
    <w:p w14:paraId="007356D3" w14:textId="77777777" w:rsidR="00501304" w:rsidRDefault="00B0012E" w:rsidP="00AE161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jc w:val="both"/>
        <w:rPr>
          <w:rFonts w:ascii="Arial" w:hAnsi="Arial" w:cs="Arial"/>
          <w:b/>
          <w:bCs/>
          <w:u w:val="single"/>
        </w:rPr>
      </w:pPr>
      <w:r w:rsidRPr="00AE1610">
        <w:rPr>
          <w:rFonts w:ascii="Arial" w:hAnsi="Arial" w:cs="Arial"/>
          <w:b/>
          <w:bCs/>
          <w:u w:val="single"/>
        </w:rPr>
        <w:t xml:space="preserve">Computation of Replacement Cost </w:t>
      </w:r>
    </w:p>
    <w:p w14:paraId="63D69777" w14:textId="77777777" w:rsidR="00B0012E" w:rsidRDefault="00AE1610" w:rsidP="00AE161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jc w:val="both"/>
        <w:rPr>
          <w:rFonts w:hint="eastAsia"/>
        </w:rPr>
      </w:pPr>
      <w:r>
        <w:t>PLANT &amp; MACHINERY (From Balance sheet of RFCL)</w:t>
      </w:r>
    </w:p>
    <w:p w14:paraId="3A7D98FF" w14:textId="77777777" w:rsidR="00501304" w:rsidRPr="00AE1610" w:rsidRDefault="00501304" w:rsidP="00AE161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jc w:val="both"/>
        <w:rPr>
          <w:rFonts w:ascii="Arial" w:hAnsi="Arial" w:cs="Arial"/>
          <w:b/>
          <w:bCs/>
          <w:u w:val="single"/>
        </w:rPr>
      </w:pPr>
    </w:p>
    <w:tbl>
      <w:tblPr>
        <w:tblStyle w:val="TableGrid"/>
        <w:tblW w:w="0" w:type="auto"/>
        <w:tblLook w:val="04A0" w:firstRow="1" w:lastRow="0" w:firstColumn="1" w:lastColumn="0" w:noHBand="0" w:noVBand="1"/>
      </w:tblPr>
      <w:tblGrid>
        <w:gridCol w:w="4732"/>
        <w:gridCol w:w="1926"/>
      </w:tblGrid>
      <w:tr w:rsidR="00B0012E" w:rsidRPr="00AD61B7" w14:paraId="22628A41" w14:textId="77777777" w:rsidTr="00AD61B7">
        <w:tc>
          <w:tcPr>
            <w:tcW w:w="4732" w:type="dxa"/>
          </w:tcPr>
          <w:p w14:paraId="7F6341F4" w14:textId="77777777" w:rsidR="00B0012E" w:rsidRPr="00AD61B7" w:rsidRDefault="00B0012E" w:rsidP="00AD61B7">
            <w:pPr>
              <w:jc w:val="center"/>
              <w:rPr>
                <w:rFonts w:ascii="Arial" w:hAnsi="Arial" w:cs="Arial"/>
                <w:b/>
                <w:bCs/>
                <w:sz w:val="24"/>
                <w:szCs w:val="24"/>
              </w:rPr>
            </w:pPr>
            <w:r w:rsidRPr="00AD61B7">
              <w:rPr>
                <w:rFonts w:ascii="Arial" w:hAnsi="Arial" w:cs="Arial"/>
                <w:b/>
                <w:bCs/>
                <w:sz w:val="24"/>
                <w:szCs w:val="24"/>
              </w:rPr>
              <w:t>DESCRIPTION</w:t>
            </w:r>
          </w:p>
        </w:tc>
        <w:tc>
          <w:tcPr>
            <w:tcW w:w="1926" w:type="dxa"/>
          </w:tcPr>
          <w:p w14:paraId="1DE62D3F" w14:textId="77777777" w:rsidR="00B0012E" w:rsidRPr="00AD61B7" w:rsidRDefault="00B0012E" w:rsidP="00AD61B7">
            <w:pPr>
              <w:jc w:val="center"/>
              <w:rPr>
                <w:rFonts w:ascii="Arial" w:hAnsi="Arial" w:cs="Arial"/>
                <w:b/>
                <w:bCs/>
                <w:sz w:val="24"/>
                <w:szCs w:val="24"/>
              </w:rPr>
            </w:pPr>
            <w:r w:rsidRPr="00AD61B7">
              <w:rPr>
                <w:rFonts w:ascii="Arial" w:hAnsi="Arial" w:cs="Arial"/>
                <w:b/>
                <w:bCs/>
                <w:sz w:val="24"/>
                <w:szCs w:val="24"/>
              </w:rPr>
              <w:t>AMOUNT (in Cr.)</w:t>
            </w:r>
          </w:p>
        </w:tc>
      </w:tr>
      <w:tr w:rsidR="00B0012E" w:rsidRPr="00AD61B7" w14:paraId="5AF7394B" w14:textId="77777777" w:rsidTr="00AD61B7">
        <w:tc>
          <w:tcPr>
            <w:tcW w:w="4732" w:type="dxa"/>
          </w:tcPr>
          <w:p w14:paraId="395E9437" w14:textId="77777777" w:rsidR="00B0012E" w:rsidRPr="00AD61B7" w:rsidRDefault="00B0012E">
            <w:pPr>
              <w:rPr>
                <w:rFonts w:ascii="Arial" w:hAnsi="Arial" w:cs="Arial"/>
                <w:sz w:val="24"/>
                <w:szCs w:val="24"/>
              </w:rPr>
            </w:pPr>
            <w:r w:rsidRPr="00AD61B7">
              <w:rPr>
                <w:rFonts w:ascii="Arial" w:hAnsi="Arial" w:cs="Arial"/>
                <w:sz w:val="24"/>
                <w:szCs w:val="24"/>
              </w:rPr>
              <w:t>Gross Book Value as on 31/3/2021</w:t>
            </w:r>
          </w:p>
        </w:tc>
        <w:tc>
          <w:tcPr>
            <w:tcW w:w="1926" w:type="dxa"/>
          </w:tcPr>
          <w:p w14:paraId="7C68C916" w14:textId="77777777" w:rsidR="00B0012E" w:rsidRPr="00AD61B7" w:rsidRDefault="00B0012E" w:rsidP="00AD61B7">
            <w:pPr>
              <w:jc w:val="center"/>
              <w:rPr>
                <w:rFonts w:ascii="Arial" w:hAnsi="Arial" w:cs="Arial"/>
                <w:sz w:val="24"/>
                <w:szCs w:val="24"/>
              </w:rPr>
            </w:pPr>
            <w:r w:rsidRPr="00AD61B7">
              <w:rPr>
                <w:rFonts w:ascii="Arial" w:hAnsi="Arial" w:cs="Arial"/>
                <w:sz w:val="24"/>
                <w:szCs w:val="24"/>
              </w:rPr>
              <w:t>4459.9</w:t>
            </w:r>
          </w:p>
        </w:tc>
      </w:tr>
      <w:tr w:rsidR="00B0012E" w:rsidRPr="00AD61B7" w14:paraId="7C8EF0E4" w14:textId="77777777" w:rsidTr="00AD61B7">
        <w:tc>
          <w:tcPr>
            <w:tcW w:w="4732" w:type="dxa"/>
          </w:tcPr>
          <w:p w14:paraId="595DC617" w14:textId="77777777" w:rsidR="00B0012E" w:rsidRPr="00AD61B7" w:rsidRDefault="00B0012E">
            <w:pPr>
              <w:rPr>
                <w:rFonts w:ascii="Arial" w:hAnsi="Arial" w:cs="Arial"/>
                <w:sz w:val="24"/>
                <w:szCs w:val="24"/>
              </w:rPr>
            </w:pPr>
            <w:r w:rsidRPr="00AD61B7">
              <w:rPr>
                <w:rFonts w:ascii="Arial" w:hAnsi="Arial" w:cs="Arial"/>
                <w:sz w:val="24"/>
                <w:szCs w:val="24"/>
              </w:rPr>
              <w:t>Capital Work in Progress</w:t>
            </w:r>
          </w:p>
        </w:tc>
        <w:tc>
          <w:tcPr>
            <w:tcW w:w="1926" w:type="dxa"/>
          </w:tcPr>
          <w:p w14:paraId="7D854402" w14:textId="77777777" w:rsidR="00B0012E" w:rsidRPr="00AD61B7" w:rsidRDefault="00B0012E" w:rsidP="00AD61B7">
            <w:pPr>
              <w:jc w:val="center"/>
              <w:rPr>
                <w:rFonts w:ascii="Arial" w:hAnsi="Arial" w:cs="Arial"/>
                <w:sz w:val="24"/>
                <w:szCs w:val="24"/>
              </w:rPr>
            </w:pPr>
            <w:r w:rsidRPr="00AD61B7">
              <w:rPr>
                <w:rFonts w:ascii="Arial" w:hAnsi="Arial" w:cs="Arial"/>
                <w:sz w:val="24"/>
                <w:szCs w:val="24"/>
              </w:rPr>
              <w:t>179.7</w:t>
            </w:r>
          </w:p>
        </w:tc>
      </w:tr>
      <w:tr w:rsidR="00B0012E" w:rsidRPr="00AD61B7" w14:paraId="165A6E9F" w14:textId="77777777" w:rsidTr="00AD61B7">
        <w:tc>
          <w:tcPr>
            <w:tcW w:w="4732" w:type="dxa"/>
          </w:tcPr>
          <w:p w14:paraId="12BC57E3" w14:textId="77777777" w:rsidR="00B0012E" w:rsidRPr="00AD61B7" w:rsidRDefault="00B0012E">
            <w:pPr>
              <w:rPr>
                <w:rFonts w:ascii="Arial" w:hAnsi="Arial" w:cs="Arial"/>
                <w:sz w:val="24"/>
                <w:szCs w:val="24"/>
              </w:rPr>
            </w:pPr>
            <w:r w:rsidRPr="00AD61B7">
              <w:rPr>
                <w:rFonts w:ascii="Arial" w:hAnsi="Arial" w:cs="Arial"/>
                <w:sz w:val="24"/>
                <w:szCs w:val="24"/>
              </w:rPr>
              <w:t>Other Equipment</w:t>
            </w:r>
          </w:p>
        </w:tc>
        <w:tc>
          <w:tcPr>
            <w:tcW w:w="1926" w:type="dxa"/>
          </w:tcPr>
          <w:p w14:paraId="5E845915" w14:textId="77777777" w:rsidR="00B0012E" w:rsidRPr="00AD61B7" w:rsidRDefault="00B0012E" w:rsidP="00AD61B7">
            <w:pPr>
              <w:jc w:val="center"/>
              <w:rPr>
                <w:rFonts w:ascii="Arial" w:hAnsi="Arial" w:cs="Arial"/>
                <w:sz w:val="24"/>
                <w:szCs w:val="24"/>
              </w:rPr>
            </w:pPr>
            <w:r w:rsidRPr="00AD61B7">
              <w:rPr>
                <w:rFonts w:ascii="Arial" w:hAnsi="Arial" w:cs="Arial"/>
                <w:sz w:val="24"/>
                <w:szCs w:val="24"/>
              </w:rPr>
              <w:t>159.81</w:t>
            </w:r>
          </w:p>
        </w:tc>
      </w:tr>
      <w:tr w:rsidR="00B0012E" w:rsidRPr="00AD61B7" w14:paraId="15DFF8B6" w14:textId="77777777" w:rsidTr="00AD61B7">
        <w:tc>
          <w:tcPr>
            <w:tcW w:w="4732" w:type="dxa"/>
          </w:tcPr>
          <w:p w14:paraId="26528422" w14:textId="77777777" w:rsidR="00B0012E" w:rsidRPr="00AD61B7" w:rsidRDefault="00B0012E">
            <w:pPr>
              <w:rPr>
                <w:rFonts w:ascii="Arial" w:hAnsi="Arial" w:cs="Arial"/>
                <w:sz w:val="24"/>
                <w:szCs w:val="24"/>
              </w:rPr>
            </w:pPr>
            <w:r w:rsidRPr="00AD61B7">
              <w:rPr>
                <w:rFonts w:ascii="Arial" w:hAnsi="Arial" w:cs="Arial"/>
                <w:sz w:val="24"/>
                <w:szCs w:val="24"/>
              </w:rPr>
              <w:t>SUB TOTAL</w:t>
            </w:r>
          </w:p>
        </w:tc>
        <w:tc>
          <w:tcPr>
            <w:tcW w:w="1926" w:type="dxa"/>
          </w:tcPr>
          <w:p w14:paraId="46A3D2EF" w14:textId="77777777" w:rsidR="00B0012E" w:rsidRPr="00AD61B7" w:rsidRDefault="00B0012E" w:rsidP="00AD61B7">
            <w:pPr>
              <w:jc w:val="center"/>
              <w:rPr>
                <w:rFonts w:ascii="Arial" w:hAnsi="Arial" w:cs="Arial"/>
                <w:sz w:val="24"/>
                <w:szCs w:val="24"/>
              </w:rPr>
            </w:pPr>
            <w:r w:rsidRPr="00AD61B7">
              <w:rPr>
                <w:rFonts w:ascii="Arial" w:hAnsi="Arial" w:cs="Arial"/>
                <w:sz w:val="24"/>
                <w:szCs w:val="24"/>
              </w:rPr>
              <w:t>4799.41</w:t>
            </w:r>
          </w:p>
        </w:tc>
      </w:tr>
      <w:tr w:rsidR="00B0012E" w:rsidRPr="00AD61B7" w14:paraId="0CE8BDE0" w14:textId="77777777" w:rsidTr="00AD61B7">
        <w:tc>
          <w:tcPr>
            <w:tcW w:w="4732" w:type="dxa"/>
          </w:tcPr>
          <w:p w14:paraId="4C552872" w14:textId="77777777" w:rsidR="00B0012E" w:rsidRPr="00AD61B7" w:rsidRDefault="00B0012E">
            <w:pPr>
              <w:rPr>
                <w:rFonts w:ascii="Arial" w:hAnsi="Arial" w:cs="Arial"/>
                <w:sz w:val="24"/>
                <w:szCs w:val="24"/>
              </w:rPr>
            </w:pPr>
            <w:r w:rsidRPr="00AD61B7">
              <w:rPr>
                <w:rFonts w:ascii="Arial" w:hAnsi="Arial" w:cs="Arial"/>
                <w:sz w:val="24"/>
                <w:szCs w:val="24"/>
              </w:rPr>
              <w:t>Adjustment factors:</w:t>
            </w:r>
          </w:p>
        </w:tc>
        <w:tc>
          <w:tcPr>
            <w:tcW w:w="1926" w:type="dxa"/>
          </w:tcPr>
          <w:p w14:paraId="79FD7E71" w14:textId="77777777" w:rsidR="00B0012E" w:rsidRPr="00AD61B7" w:rsidRDefault="00B0012E" w:rsidP="00AD61B7">
            <w:pPr>
              <w:jc w:val="center"/>
              <w:rPr>
                <w:rFonts w:ascii="Arial" w:hAnsi="Arial" w:cs="Arial"/>
                <w:sz w:val="24"/>
                <w:szCs w:val="24"/>
              </w:rPr>
            </w:pPr>
          </w:p>
        </w:tc>
      </w:tr>
      <w:tr w:rsidR="00501304" w:rsidRPr="00AD61B7" w14:paraId="2CBB68F8" w14:textId="77777777" w:rsidTr="00AD61B7">
        <w:tc>
          <w:tcPr>
            <w:tcW w:w="4732" w:type="dxa"/>
          </w:tcPr>
          <w:p w14:paraId="57C8E190" w14:textId="77777777" w:rsidR="00501304" w:rsidRPr="00AD61B7" w:rsidRDefault="00501304">
            <w:pPr>
              <w:rPr>
                <w:rFonts w:ascii="Arial" w:hAnsi="Arial" w:cs="Arial"/>
                <w:sz w:val="24"/>
                <w:szCs w:val="24"/>
              </w:rPr>
            </w:pPr>
            <w:r w:rsidRPr="00AD61B7">
              <w:rPr>
                <w:rFonts w:ascii="Arial" w:hAnsi="Arial" w:cs="Arial"/>
                <w:sz w:val="24"/>
                <w:szCs w:val="24"/>
              </w:rPr>
              <w:t>(</w:t>
            </w:r>
            <w:proofErr w:type="spellStart"/>
            <w:r w:rsidRPr="00AD61B7">
              <w:rPr>
                <w:rFonts w:ascii="Arial" w:hAnsi="Arial" w:cs="Arial"/>
                <w:sz w:val="24"/>
                <w:szCs w:val="24"/>
              </w:rPr>
              <w:t>i</w:t>
            </w:r>
            <w:proofErr w:type="spellEnd"/>
            <w:r w:rsidRPr="00AD61B7">
              <w:rPr>
                <w:rFonts w:ascii="Arial" w:hAnsi="Arial" w:cs="Arial"/>
                <w:sz w:val="24"/>
                <w:szCs w:val="24"/>
              </w:rPr>
              <w:t>) @6% for capacity difference</w:t>
            </w:r>
          </w:p>
        </w:tc>
        <w:tc>
          <w:tcPr>
            <w:tcW w:w="1926" w:type="dxa"/>
            <w:vMerge w:val="restart"/>
          </w:tcPr>
          <w:p w14:paraId="50822B13" w14:textId="77777777" w:rsidR="00501304" w:rsidRPr="00AD61B7" w:rsidRDefault="00501304" w:rsidP="00AD61B7">
            <w:pPr>
              <w:jc w:val="center"/>
              <w:rPr>
                <w:rFonts w:ascii="Arial" w:hAnsi="Arial" w:cs="Arial"/>
                <w:sz w:val="24"/>
                <w:szCs w:val="24"/>
              </w:rPr>
            </w:pPr>
            <w:r w:rsidRPr="00AD61B7">
              <w:rPr>
                <w:rFonts w:ascii="Arial" w:hAnsi="Arial" w:cs="Arial"/>
                <w:sz w:val="24"/>
                <w:szCs w:val="24"/>
              </w:rPr>
              <w:t>4031.50</w:t>
            </w:r>
          </w:p>
        </w:tc>
      </w:tr>
      <w:tr w:rsidR="00501304" w:rsidRPr="00AD61B7" w14:paraId="53B5632B" w14:textId="77777777" w:rsidTr="00AD61B7">
        <w:tc>
          <w:tcPr>
            <w:tcW w:w="4732" w:type="dxa"/>
          </w:tcPr>
          <w:p w14:paraId="2CB6CF9B" w14:textId="77777777" w:rsidR="00501304" w:rsidRPr="00AD61B7" w:rsidRDefault="00501304">
            <w:pPr>
              <w:rPr>
                <w:rFonts w:ascii="Arial" w:hAnsi="Arial" w:cs="Arial"/>
                <w:sz w:val="24"/>
                <w:szCs w:val="24"/>
              </w:rPr>
            </w:pPr>
            <w:r w:rsidRPr="00AD61B7">
              <w:rPr>
                <w:rFonts w:ascii="Arial" w:hAnsi="Arial" w:cs="Arial"/>
                <w:sz w:val="24"/>
                <w:szCs w:val="24"/>
              </w:rPr>
              <w:t>ii) @ 10% for energy consumption</w:t>
            </w:r>
          </w:p>
        </w:tc>
        <w:tc>
          <w:tcPr>
            <w:tcW w:w="1926" w:type="dxa"/>
            <w:vMerge/>
          </w:tcPr>
          <w:p w14:paraId="7C473B28" w14:textId="77777777" w:rsidR="00501304" w:rsidRPr="00AD61B7" w:rsidRDefault="00501304" w:rsidP="00AD61B7">
            <w:pPr>
              <w:jc w:val="center"/>
              <w:rPr>
                <w:rFonts w:ascii="Arial" w:hAnsi="Arial" w:cs="Arial"/>
                <w:sz w:val="24"/>
                <w:szCs w:val="24"/>
              </w:rPr>
            </w:pPr>
          </w:p>
        </w:tc>
      </w:tr>
      <w:tr w:rsidR="00AD61B7" w:rsidRPr="00AD61B7" w14:paraId="03EBE79E" w14:textId="77777777" w:rsidTr="00AD61B7">
        <w:tc>
          <w:tcPr>
            <w:tcW w:w="4732" w:type="dxa"/>
          </w:tcPr>
          <w:p w14:paraId="70AA495A" w14:textId="77777777" w:rsidR="00AD61B7" w:rsidRPr="00AD61B7" w:rsidRDefault="00AD61B7">
            <w:pPr>
              <w:rPr>
                <w:rFonts w:ascii="Arial" w:hAnsi="Arial" w:cs="Arial"/>
                <w:sz w:val="24"/>
                <w:szCs w:val="24"/>
              </w:rPr>
            </w:pPr>
            <w:r w:rsidRPr="00AD61B7">
              <w:rPr>
                <w:rFonts w:ascii="Arial" w:hAnsi="Arial" w:cs="Arial"/>
                <w:sz w:val="24"/>
                <w:szCs w:val="24"/>
              </w:rPr>
              <w:t>Electricals</w:t>
            </w:r>
          </w:p>
        </w:tc>
        <w:tc>
          <w:tcPr>
            <w:tcW w:w="1926" w:type="dxa"/>
          </w:tcPr>
          <w:p w14:paraId="4FCCEEA4" w14:textId="77777777" w:rsidR="00AD61B7" w:rsidRPr="00AD61B7" w:rsidRDefault="00AD61B7" w:rsidP="00AD61B7">
            <w:pPr>
              <w:jc w:val="center"/>
              <w:rPr>
                <w:rFonts w:ascii="Arial" w:hAnsi="Arial" w:cs="Arial"/>
                <w:sz w:val="24"/>
                <w:szCs w:val="24"/>
              </w:rPr>
            </w:pPr>
            <w:r w:rsidRPr="00AE1610">
              <w:rPr>
                <w:rFonts w:ascii="Arial" w:hAnsi="Arial" w:cs="Arial"/>
                <w:sz w:val="24"/>
                <w:szCs w:val="24"/>
              </w:rPr>
              <w:t>84.4</w:t>
            </w:r>
          </w:p>
        </w:tc>
      </w:tr>
      <w:tr w:rsidR="00AD61B7" w:rsidRPr="00AD61B7" w14:paraId="6156D00B" w14:textId="77777777" w:rsidTr="00AD61B7">
        <w:tc>
          <w:tcPr>
            <w:tcW w:w="4732" w:type="dxa"/>
          </w:tcPr>
          <w:p w14:paraId="0C214A4E" w14:textId="77777777" w:rsidR="00AD61B7" w:rsidRPr="00AD61B7" w:rsidRDefault="00AD61B7">
            <w:pPr>
              <w:rPr>
                <w:rFonts w:ascii="Arial" w:hAnsi="Arial" w:cs="Arial"/>
                <w:sz w:val="24"/>
                <w:szCs w:val="24"/>
              </w:rPr>
            </w:pPr>
            <w:r w:rsidRPr="00AD61B7">
              <w:rPr>
                <w:rFonts w:ascii="Arial" w:hAnsi="Arial" w:cs="Arial"/>
                <w:sz w:val="24"/>
                <w:szCs w:val="24"/>
              </w:rPr>
              <w:t>TOTAL</w:t>
            </w:r>
          </w:p>
        </w:tc>
        <w:tc>
          <w:tcPr>
            <w:tcW w:w="1926" w:type="dxa"/>
          </w:tcPr>
          <w:p w14:paraId="742C44C3" w14:textId="77777777" w:rsidR="00AD61B7" w:rsidRPr="00AD61B7" w:rsidRDefault="00AD61B7" w:rsidP="00AD61B7">
            <w:pPr>
              <w:jc w:val="center"/>
              <w:rPr>
                <w:rFonts w:ascii="Arial" w:hAnsi="Arial" w:cs="Arial"/>
                <w:sz w:val="24"/>
                <w:szCs w:val="24"/>
              </w:rPr>
            </w:pPr>
            <w:r w:rsidRPr="00AE1610">
              <w:rPr>
                <w:rFonts w:ascii="Arial" w:hAnsi="Arial" w:cs="Arial"/>
                <w:sz w:val="24"/>
                <w:szCs w:val="24"/>
              </w:rPr>
              <w:t>4115.90</w:t>
            </w:r>
          </w:p>
        </w:tc>
      </w:tr>
      <w:tr w:rsidR="00AD61B7" w:rsidRPr="00AD61B7" w14:paraId="0DC43659" w14:textId="77777777" w:rsidTr="00AD61B7">
        <w:tc>
          <w:tcPr>
            <w:tcW w:w="4732" w:type="dxa"/>
          </w:tcPr>
          <w:p w14:paraId="5A7822B7" w14:textId="77777777" w:rsidR="00AD61B7" w:rsidRPr="00501304" w:rsidRDefault="00AD61B7">
            <w:pPr>
              <w:rPr>
                <w:rFonts w:ascii="Arial" w:hAnsi="Arial" w:cs="Arial"/>
                <w:b/>
                <w:bCs/>
                <w:sz w:val="24"/>
                <w:szCs w:val="24"/>
              </w:rPr>
            </w:pPr>
            <w:r w:rsidRPr="00501304">
              <w:rPr>
                <w:rFonts w:ascii="Arial" w:hAnsi="Arial" w:cs="Arial"/>
                <w:b/>
                <w:bCs/>
                <w:sz w:val="24"/>
                <w:szCs w:val="24"/>
              </w:rPr>
              <w:t>REPLACMENT COST NEW (rounded off)</w:t>
            </w:r>
          </w:p>
        </w:tc>
        <w:tc>
          <w:tcPr>
            <w:tcW w:w="1926" w:type="dxa"/>
          </w:tcPr>
          <w:p w14:paraId="4DD8B5D3" w14:textId="77777777" w:rsidR="00AD61B7" w:rsidRPr="00501304" w:rsidRDefault="00AD61B7" w:rsidP="00AD61B7">
            <w:pPr>
              <w:jc w:val="center"/>
              <w:rPr>
                <w:rFonts w:ascii="Arial" w:hAnsi="Arial" w:cs="Arial"/>
                <w:b/>
                <w:bCs/>
                <w:sz w:val="24"/>
                <w:szCs w:val="24"/>
              </w:rPr>
            </w:pPr>
            <w:r w:rsidRPr="00501304">
              <w:rPr>
                <w:rFonts w:ascii="Arial" w:hAnsi="Arial" w:cs="Arial"/>
                <w:b/>
                <w:bCs/>
                <w:sz w:val="24"/>
                <w:szCs w:val="24"/>
              </w:rPr>
              <w:t>4116.00</w:t>
            </w:r>
          </w:p>
        </w:tc>
      </w:tr>
    </w:tbl>
    <w:p w14:paraId="3B65ADE1" w14:textId="77777777" w:rsidR="0022591D" w:rsidRDefault="0022591D">
      <w:pPr>
        <w:rPr>
          <w:rFonts w:ascii="Arial" w:hAnsi="Arial" w:cs="Arial"/>
          <w:sz w:val="24"/>
          <w:szCs w:val="24"/>
        </w:rPr>
      </w:pPr>
    </w:p>
    <w:tbl>
      <w:tblPr>
        <w:tblStyle w:val="TableGrid"/>
        <w:tblW w:w="0" w:type="auto"/>
        <w:tblLook w:val="04A0" w:firstRow="1" w:lastRow="0" w:firstColumn="1" w:lastColumn="0" w:noHBand="0" w:noVBand="1"/>
      </w:tblPr>
      <w:tblGrid>
        <w:gridCol w:w="1613"/>
        <w:gridCol w:w="2033"/>
        <w:gridCol w:w="2078"/>
        <w:gridCol w:w="2127"/>
        <w:gridCol w:w="2331"/>
      </w:tblGrid>
      <w:tr w:rsidR="0022591D" w14:paraId="253467F9" w14:textId="77777777" w:rsidTr="0022591D">
        <w:tc>
          <w:tcPr>
            <w:tcW w:w="1613" w:type="dxa"/>
          </w:tcPr>
          <w:p w14:paraId="46CC5765" w14:textId="77777777" w:rsidR="0022591D" w:rsidRPr="0022591D" w:rsidRDefault="0022591D" w:rsidP="0022591D">
            <w:pPr>
              <w:jc w:val="center"/>
              <w:rPr>
                <w:rFonts w:ascii="Arial" w:hAnsi="Arial" w:cs="Arial"/>
                <w:b/>
                <w:bCs/>
              </w:rPr>
            </w:pPr>
            <w:proofErr w:type="spellStart"/>
            <w:r w:rsidRPr="0022591D">
              <w:rPr>
                <w:rFonts w:ascii="Arial" w:hAnsi="Arial" w:cs="Arial"/>
                <w:b/>
                <w:bCs/>
              </w:rPr>
              <w:t>S.No</w:t>
            </w:r>
            <w:proofErr w:type="spellEnd"/>
          </w:p>
        </w:tc>
        <w:tc>
          <w:tcPr>
            <w:tcW w:w="2033" w:type="dxa"/>
          </w:tcPr>
          <w:p w14:paraId="2841A28C" w14:textId="77777777" w:rsidR="0022591D" w:rsidRPr="0022591D" w:rsidRDefault="0022591D" w:rsidP="0022591D">
            <w:pPr>
              <w:jc w:val="center"/>
              <w:rPr>
                <w:rFonts w:ascii="Arial" w:hAnsi="Arial" w:cs="Arial"/>
                <w:b/>
                <w:bCs/>
              </w:rPr>
            </w:pPr>
            <w:r w:rsidRPr="0022591D">
              <w:rPr>
                <w:rFonts w:ascii="Arial" w:hAnsi="Arial" w:cs="Arial"/>
                <w:b/>
                <w:bCs/>
              </w:rPr>
              <w:t>DESCRIPTION</w:t>
            </w:r>
          </w:p>
        </w:tc>
        <w:tc>
          <w:tcPr>
            <w:tcW w:w="2078" w:type="dxa"/>
          </w:tcPr>
          <w:p w14:paraId="79059B10" w14:textId="77777777" w:rsidR="0022591D" w:rsidRPr="0022591D" w:rsidRDefault="0022591D" w:rsidP="0022591D">
            <w:pPr>
              <w:jc w:val="center"/>
              <w:rPr>
                <w:rFonts w:ascii="Arial" w:hAnsi="Arial" w:cs="Arial"/>
                <w:b/>
                <w:bCs/>
              </w:rPr>
            </w:pPr>
            <w:r w:rsidRPr="0022591D">
              <w:rPr>
                <w:rFonts w:ascii="Arial" w:hAnsi="Arial" w:cs="Arial"/>
                <w:b/>
                <w:bCs/>
              </w:rPr>
              <w:t>REPLACEMENT COST NEW- (RCN)</w:t>
            </w:r>
          </w:p>
        </w:tc>
        <w:tc>
          <w:tcPr>
            <w:tcW w:w="2127" w:type="dxa"/>
          </w:tcPr>
          <w:p w14:paraId="671ABC95" w14:textId="77777777" w:rsidR="0022591D" w:rsidRPr="0022591D" w:rsidRDefault="0022591D" w:rsidP="0022591D">
            <w:pPr>
              <w:jc w:val="center"/>
              <w:rPr>
                <w:rFonts w:ascii="Arial" w:hAnsi="Arial" w:cs="Arial"/>
                <w:b/>
                <w:bCs/>
              </w:rPr>
            </w:pPr>
            <w:r w:rsidRPr="0022591D">
              <w:rPr>
                <w:rFonts w:ascii="Arial" w:hAnsi="Arial" w:cs="Arial"/>
                <w:b/>
                <w:bCs/>
              </w:rPr>
              <w:t>INCURABLE OBSOLESCENCE (DEPRECIATION) RATE</w:t>
            </w:r>
          </w:p>
        </w:tc>
        <w:tc>
          <w:tcPr>
            <w:tcW w:w="1614" w:type="dxa"/>
          </w:tcPr>
          <w:p w14:paraId="07C17F11" w14:textId="77777777" w:rsidR="0022591D" w:rsidRPr="0022591D" w:rsidRDefault="0022591D" w:rsidP="0022591D">
            <w:pPr>
              <w:jc w:val="center"/>
              <w:rPr>
                <w:rFonts w:ascii="Arial" w:hAnsi="Arial" w:cs="Arial"/>
                <w:b/>
                <w:bCs/>
              </w:rPr>
            </w:pPr>
            <w:r w:rsidRPr="0022591D">
              <w:rPr>
                <w:rFonts w:ascii="Arial" w:hAnsi="Arial" w:cs="Arial"/>
                <w:b/>
                <w:bCs/>
              </w:rPr>
              <w:t>RCN less INCURABLE OBSOLESCENCE</w:t>
            </w:r>
            <w:r w:rsidR="00E71C37">
              <w:rPr>
                <w:rFonts w:ascii="Arial" w:hAnsi="Arial" w:cs="Arial"/>
                <w:b/>
                <w:bCs/>
              </w:rPr>
              <w:t>(1)</w:t>
            </w:r>
          </w:p>
        </w:tc>
      </w:tr>
      <w:tr w:rsidR="0022591D" w14:paraId="559CA585" w14:textId="77777777" w:rsidTr="0022591D">
        <w:tc>
          <w:tcPr>
            <w:tcW w:w="1613" w:type="dxa"/>
          </w:tcPr>
          <w:p w14:paraId="66858928" w14:textId="77777777" w:rsidR="0022591D" w:rsidRPr="0022591D" w:rsidRDefault="0022591D" w:rsidP="0022591D">
            <w:pPr>
              <w:jc w:val="center"/>
              <w:rPr>
                <w:rFonts w:ascii="Arial" w:hAnsi="Arial" w:cs="Arial"/>
              </w:rPr>
            </w:pPr>
            <w:r w:rsidRPr="0022591D">
              <w:rPr>
                <w:rFonts w:ascii="Arial" w:hAnsi="Arial" w:cs="Arial"/>
              </w:rPr>
              <w:t>1</w:t>
            </w:r>
          </w:p>
        </w:tc>
        <w:tc>
          <w:tcPr>
            <w:tcW w:w="2033" w:type="dxa"/>
          </w:tcPr>
          <w:p w14:paraId="2BEBAB3C" w14:textId="77777777" w:rsidR="0022591D" w:rsidRPr="0022591D" w:rsidRDefault="0022591D" w:rsidP="0022591D">
            <w:pPr>
              <w:jc w:val="center"/>
              <w:rPr>
                <w:rFonts w:ascii="Arial" w:hAnsi="Arial" w:cs="Arial"/>
              </w:rPr>
            </w:pPr>
            <w:r w:rsidRPr="0022591D">
              <w:rPr>
                <w:rFonts w:ascii="Arial" w:hAnsi="Arial" w:cs="Arial"/>
              </w:rPr>
              <w:t>PROCESS PLANTS &amp; ACCESSORIES</w:t>
            </w:r>
          </w:p>
        </w:tc>
        <w:tc>
          <w:tcPr>
            <w:tcW w:w="2078" w:type="dxa"/>
          </w:tcPr>
          <w:p w14:paraId="0B14DF43" w14:textId="77777777" w:rsidR="0022591D" w:rsidRPr="0022591D" w:rsidRDefault="0022591D" w:rsidP="0022591D">
            <w:pPr>
              <w:jc w:val="center"/>
              <w:rPr>
                <w:rFonts w:ascii="Arial" w:hAnsi="Arial" w:cs="Arial"/>
              </w:rPr>
            </w:pPr>
            <w:r w:rsidRPr="0022591D">
              <w:rPr>
                <w:rFonts w:ascii="Arial" w:hAnsi="Arial" w:cs="Arial"/>
              </w:rPr>
              <w:t>2863.63</w:t>
            </w:r>
          </w:p>
        </w:tc>
        <w:tc>
          <w:tcPr>
            <w:tcW w:w="2127" w:type="dxa"/>
          </w:tcPr>
          <w:p w14:paraId="3AC5C53D" w14:textId="77777777" w:rsidR="0022591D" w:rsidRPr="0022591D" w:rsidRDefault="0022591D" w:rsidP="0022591D">
            <w:pPr>
              <w:jc w:val="center"/>
              <w:rPr>
                <w:rFonts w:ascii="Arial" w:hAnsi="Arial" w:cs="Arial"/>
              </w:rPr>
            </w:pPr>
            <w:r w:rsidRPr="0022591D">
              <w:rPr>
                <w:rFonts w:ascii="Arial" w:hAnsi="Arial" w:cs="Arial"/>
              </w:rPr>
              <w:t>82.8%</w:t>
            </w:r>
          </w:p>
        </w:tc>
        <w:tc>
          <w:tcPr>
            <w:tcW w:w="1614" w:type="dxa"/>
          </w:tcPr>
          <w:p w14:paraId="502C7BF7" w14:textId="77777777" w:rsidR="0022591D" w:rsidRPr="0022591D" w:rsidRDefault="0022591D" w:rsidP="0022591D">
            <w:pPr>
              <w:jc w:val="center"/>
              <w:rPr>
                <w:rFonts w:ascii="Arial" w:hAnsi="Arial" w:cs="Arial"/>
              </w:rPr>
            </w:pPr>
            <w:r w:rsidRPr="0022591D">
              <w:rPr>
                <w:rFonts w:ascii="Arial" w:hAnsi="Arial" w:cs="Arial"/>
              </w:rPr>
              <w:t>493.69</w:t>
            </w:r>
          </w:p>
        </w:tc>
      </w:tr>
      <w:tr w:rsidR="0022591D" w14:paraId="3AC3F658" w14:textId="77777777" w:rsidTr="0022591D">
        <w:tc>
          <w:tcPr>
            <w:tcW w:w="1613" w:type="dxa"/>
          </w:tcPr>
          <w:p w14:paraId="7586C3A4" w14:textId="77777777" w:rsidR="0022591D" w:rsidRPr="0022591D" w:rsidRDefault="0022591D" w:rsidP="0022591D">
            <w:pPr>
              <w:jc w:val="center"/>
              <w:rPr>
                <w:rFonts w:ascii="Arial" w:hAnsi="Arial" w:cs="Arial"/>
              </w:rPr>
            </w:pPr>
            <w:r w:rsidRPr="0022591D">
              <w:rPr>
                <w:rFonts w:ascii="Arial" w:hAnsi="Arial" w:cs="Arial"/>
              </w:rPr>
              <w:t>2</w:t>
            </w:r>
          </w:p>
        </w:tc>
        <w:tc>
          <w:tcPr>
            <w:tcW w:w="2033" w:type="dxa"/>
          </w:tcPr>
          <w:p w14:paraId="4E0C7319" w14:textId="77777777" w:rsidR="0022591D" w:rsidRPr="0022591D" w:rsidRDefault="0022591D" w:rsidP="0022591D">
            <w:pPr>
              <w:jc w:val="center"/>
              <w:rPr>
                <w:rFonts w:ascii="Arial" w:hAnsi="Arial" w:cs="Arial"/>
              </w:rPr>
            </w:pPr>
            <w:r w:rsidRPr="0022591D">
              <w:rPr>
                <w:rFonts w:ascii="Arial" w:hAnsi="Arial" w:cs="Arial"/>
              </w:rPr>
              <w:t>OFFSITE FACILITIES &amp; UTILITIES</w:t>
            </w:r>
          </w:p>
        </w:tc>
        <w:tc>
          <w:tcPr>
            <w:tcW w:w="2078" w:type="dxa"/>
          </w:tcPr>
          <w:p w14:paraId="4EA85E1F" w14:textId="77777777" w:rsidR="0022591D" w:rsidRPr="0022591D" w:rsidRDefault="0022591D" w:rsidP="0022591D">
            <w:pPr>
              <w:jc w:val="center"/>
              <w:rPr>
                <w:rFonts w:ascii="Arial" w:hAnsi="Arial" w:cs="Arial"/>
              </w:rPr>
            </w:pPr>
            <w:r w:rsidRPr="0022591D">
              <w:rPr>
                <w:rFonts w:ascii="Arial" w:hAnsi="Arial" w:cs="Arial"/>
              </w:rPr>
              <w:t>1167.87</w:t>
            </w:r>
          </w:p>
        </w:tc>
        <w:tc>
          <w:tcPr>
            <w:tcW w:w="2127" w:type="dxa"/>
          </w:tcPr>
          <w:p w14:paraId="2C2FB583" w14:textId="77777777" w:rsidR="0022591D" w:rsidRPr="0022591D" w:rsidRDefault="0022591D" w:rsidP="0022591D">
            <w:pPr>
              <w:jc w:val="center"/>
              <w:rPr>
                <w:rFonts w:ascii="Arial" w:hAnsi="Arial" w:cs="Arial"/>
              </w:rPr>
            </w:pPr>
            <w:r w:rsidRPr="0022591D">
              <w:rPr>
                <w:rFonts w:ascii="Arial" w:hAnsi="Arial" w:cs="Arial"/>
              </w:rPr>
              <w:t>81.7%</w:t>
            </w:r>
          </w:p>
        </w:tc>
        <w:tc>
          <w:tcPr>
            <w:tcW w:w="1614" w:type="dxa"/>
          </w:tcPr>
          <w:p w14:paraId="3D532BCC" w14:textId="77777777" w:rsidR="0022591D" w:rsidRPr="0022591D" w:rsidRDefault="0022591D" w:rsidP="0022591D">
            <w:pPr>
              <w:jc w:val="center"/>
              <w:rPr>
                <w:rFonts w:ascii="Arial" w:hAnsi="Arial" w:cs="Arial"/>
              </w:rPr>
            </w:pPr>
            <w:r w:rsidRPr="0022591D">
              <w:rPr>
                <w:rFonts w:ascii="Arial" w:hAnsi="Arial" w:cs="Arial"/>
              </w:rPr>
              <w:t>213.72</w:t>
            </w:r>
          </w:p>
        </w:tc>
      </w:tr>
      <w:tr w:rsidR="0022591D" w14:paraId="4ED21F93" w14:textId="77777777" w:rsidTr="0022591D">
        <w:tc>
          <w:tcPr>
            <w:tcW w:w="1613" w:type="dxa"/>
          </w:tcPr>
          <w:p w14:paraId="0ACE6184" w14:textId="77777777" w:rsidR="0022591D" w:rsidRPr="0022591D" w:rsidRDefault="0022591D" w:rsidP="0022591D">
            <w:pPr>
              <w:jc w:val="center"/>
              <w:rPr>
                <w:rFonts w:ascii="Arial" w:hAnsi="Arial" w:cs="Arial"/>
              </w:rPr>
            </w:pPr>
            <w:r w:rsidRPr="0022591D">
              <w:rPr>
                <w:rFonts w:ascii="Arial" w:hAnsi="Arial" w:cs="Arial"/>
              </w:rPr>
              <w:t>3</w:t>
            </w:r>
          </w:p>
        </w:tc>
        <w:tc>
          <w:tcPr>
            <w:tcW w:w="2033" w:type="dxa"/>
          </w:tcPr>
          <w:p w14:paraId="2A7FCCBC" w14:textId="77777777" w:rsidR="0022591D" w:rsidRPr="0022591D" w:rsidRDefault="0022591D" w:rsidP="0022591D">
            <w:pPr>
              <w:jc w:val="center"/>
              <w:rPr>
                <w:rFonts w:ascii="Arial" w:hAnsi="Arial" w:cs="Arial"/>
              </w:rPr>
            </w:pPr>
            <w:r w:rsidRPr="0022591D">
              <w:rPr>
                <w:rFonts w:ascii="Arial" w:hAnsi="Arial" w:cs="Arial"/>
              </w:rPr>
              <w:t>ELECTRICALS</w:t>
            </w:r>
          </w:p>
        </w:tc>
        <w:tc>
          <w:tcPr>
            <w:tcW w:w="2078" w:type="dxa"/>
          </w:tcPr>
          <w:p w14:paraId="03DE2297" w14:textId="77777777" w:rsidR="0022591D" w:rsidRPr="0022591D" w:rsidRDefault="0022591D" w:rsidP="0022591D">
            <w:pPr>
              <w:jc w:val="center"/>
              <w:rPr>
                <w:rFonts w:ascii="Arial" w:hAnsi="Arial" w:cs="Arial"/>
              </w:rPr>
            </w:pPr>
            <w:r w:rsidRPr="0022591D">
              <w:rPr>
                <w:rFonts w:ascii="Arial" w:hAnsi="Arial" w:cs="Arial"/>
              </w:rPr>
              <w:t>84.36</w:t>
            </w:r>
          </w:p>
        </w:tc>
        <w:tc>
          <w:tcPr>
            <w:tcW w:w="2127" w:type="dxa"/>
          </w:tcPr>
          <w:p w14:paraId="7BE1A99B" w14:textId="77777777" w:rsidR="0022591D" w:rsidRPr="0022591D" w:rsidRDefault="0022591D" w:rsidP="0022591D">
            <w:pPr>
              <w:jc w:val="center"/>
              <w:rPr>
                <w:rFonts w:ascii="Arial" w:hAnsi="Arial" w:cs="Arial"/>
              </w:rPr>
            </w:pPr>
            <w:r w:rsidRPr="0022591D">
              <w:rPr>
                <w:rFonts w:ascii="Arial" w:hAnsi="Arial" w:cs="Arial"/>
              </w:rPr>
              <w:t>85.7%</w:t>
            </w:r>
          </w:p>
        </w:tc>
        <w:tc>
          <w:tcPr>
            <w:tcW w:w="1614" w:type="dxa"/>
          </w:tcPr>
          <w:p w14:paraId="1B34ACB3" w14:textId="77777777" w:rsidR="0022591D" w:rsidRPr="0022591D" w:rsidRDefault="0022591D" w:rsidP="0022591D">
            <w:pPr>
              <w:jc w:val="center"/>
              <w:rPr>
                <w:rFonts w:ascii="Arial" w:hAnsi="Arial" w:cs="Arial"/>
              </w:rPr>
            </w:pPr>
            <w:r w:rsidRPr="0022591D">
              <w:rPr>
                <w:rFonts w:ascii="Arial" w:hAnsi="Arial" w:cs="Arial"/>
              </w:rPr>
              <w:t>12.06</w:t>
            </w:r>
          </w:p>
        </w:tc>
      </w:tr>
      <w:tr w:rsidR="0022591D" w14:paraId="2822A2FA" w14:textId="77777777" w:rsidTr="0022591D">
        <w:tc>
          <w:tcPr>
            <w:tcW w:w="1613" w:type="dxa"/>
          </w:tcPr>
          <w:p w14:paraId="6E122E5B" w14:textId="77777777" w:rsidR="0022591D" w:rsidRPr="0022591D" w:rsidRDefault="0022591D" w:rsidP="0022591D">
            <w:pPr>
              <w:jc w:val="center"/>
              <w:rPr>
                <w:rFonts w:ascii="Arial" w:hAnsi="Arial" w:cs="Arial"/>
                <w:b/>
                <w:bCs/>
              </w:rPr>
            </w:pPr>
          </w:p>
        </w:tc>
        <w:tc>
          <w:tcPr>
            <w:tcW w:w="2033" w:type="dxa"/>
          </w:tcPr>
          <w:p w14:paraId="4A893EBC" w14:textId="77777777" w:rsidR="0022591D" w:rsidRPr="0022591D" w:rsidRDefault="0022591D" w:rsidP="0022591D">
            <w:pPr>
              <w:jc w:val="center"/>
              <w:rPr>
                <w:rFonts w:ascii="Arial" w:hAnsi="Arial" w:cs="Arial"/>
                <w:b/>
                <w:bCs/>
              </w:rPr>
            </w:pPr>
            <w:r w:rsidRPr="0022591D">
              <w:rPr>
                <w:rFonts w:ascii="Arial" w:hAnsi="Arial" w:cs="Arial"/>
                <w:b/>
                <w:bCs/>
              </w:rPr>
              <w:t>TOTAL</w:t>
            </w:r>
          </w:p>
        </w:tc>
        <w:tc>
          <w:tcPr>
            <w:tcW w:w="2078" w:type="dxa"/>
          </w:tcPr>
          <w:p w14:paraId="0E389EDF" w14:textId="77777777" w:rsidR="0022591D" w:rsidRPr="0022591D" w:rsidRDefault="0022591D" w:rsidP="0022591D">
            <w:pPr>
              <w:jc w:val="center"/>
              <w:rPr>
                <w:rFonts w:ascii="Arial" w:hAnsi="Arial" w:cs="Arial"/>
                <w:b/>
                <w:bCs/>
              </w:rPr>
            </w:pPr>
            <w:r w:rsidRPr="0022591D">
              <w:rPr>
                <w:rFonts w:ascii="Arial" w:hAnsi="Arial" w:cs="Arial"/>
                <w:b/>
                <w:bCs/>
              </w:rPr>
              <w:t>4115.86</w:t>
            </w:r>
          </w:p>
        </w:tc>
        <w:tc>
          <w:tcPr>
            <w:tcW w:w="2127" w:type="dxa"/>
          </w:tcPr>
          <w:p w14:paraId="2D338C0F" w14:textId="77777777" w:rsidR="0022591D" w:rsidRPr="0022591D" w:rsidRDefault="0022591D" w:rsidP="0022591D">
            <w:pPr>
              <w:jc w:val="center"/>
              <w:rPr>
                <w:rFonts w:ascii="Arial" w:hAnsi="Arial" w:cs="Arial"/>
                <w:b/>
                <w:bCs/>
              </w:rPr>
            </w:pPr>
          </w:p>
        </w:tc>
        <w:tc>
          <w:tcPr>
            <w:tcW w:w="1614" w:type="dxa"/>
          </w:tcPr>
          <w:p w14:paraId="2D90D406" w14:textId="77777777" w:rsidR="0022591D" w:rsidRPr="0022591D" w:rsidRDefault="0022591D" w:rsidP="0022591D">
            <w:pPr>
              <w:jc w:val="center"/>
              <w:rPr>
                <w:rFonts w:ascii="Arial" w:hAnsi="Arial" w:cs="Arial"/>
                <w:b/>
                <w:bCs/>
              </w:rPr>
            </w:pPr>
            <w:r w:rsidRPr="0022591D">
              <w:rPr>
                <w:rFonts w:ascii="Arial" w:hAnsi="Arial" w:cs="Arial"/>
                <w:b/>
                <w:bCs/>
              </w:rPr>
              <w:t>719.47</w:t>
            </w:r>
          </w:p>
        </w:tc>
      </w:tr>
    </w:tbl>
    <w:p w14:paraId="53D31E85" w14:textId="77777777" w:rsidR="005A61D2" w:rsidRDefault="0022591D" w:rsidP="00843C03">
      <w:pPr>
        <w:spacing w:line="360" w:lineRule="auto"/>
        <w:jc w:val="both"/>
        <w:rPr>
          <w:rFonts w:ascii="Arial" w:hAnsi="Arial" w:cs="Arial"/>
          <w:sz w:val="24"/>
          <w:szCs w:val="24"/>
        </w:rPr>
      </w:pPr>
      <w:r w:rsidRPr="005C685B">
        <w:rPr>
          <w:rFonts w:ascii="Arial" w:hAnsi="Arial" w:cs="Arial"/>
          <w:sz w:val="24"/>
          <w:szCs w:val="24"/>
        </w:rPr>
        <w:t>The total capital expenditure estimated to be about INR 760 Cr includes reliability improvement measures This amount is deducted as curable deterioration from (1) above. However, after the depreciation factors are applied to RCN, the resultant total asset value less depreciation amounts to 719 Cr. As per the sequence outlined in above table, the deduction of curable obsolescence amount of 760 Cr will result in a negative asset value. As this is not logical, the conclusion is that the assets have only salvage value at best</w:t>
      </w:r>
      <w:r w:rsidR="00E71C37">
        <w:rPr>
          <w:rFonts w:ascii="Arial" w:hAnsi="Arial" w:cs="Arial"/>
          <w:sz w:val="24"/>
          <w:szCs w:val="24"/>
        </w:rPr>
        <w:t>.</w:t>
      </w:r>
    </w:p>
    <w:p w14:paraId="6546BC04" w14:textId="77777777" w:rsidR="0022591D" w:rsidRPr="005C685B" w:rsidRDefault="005A61D2">
      <w:pPr>
        <w:rPr>
          <w:rFonts w:ascii="Arial" w:hAnsi="Arial" w:cs="Arial"/>
          <w:sz w:val="24"/>
          <w:szCs w:val="24"/>
        </w:rPr>
      </w:pPr>
      <w:r>
        <w:rPr>
          <w:rFonts w:ascii="Arial" w:hAnsi="Arial" w:cs="Arial"/>
          <w:sz w:val="24"/>
          <w:szCs w:val="24"/>
        </w:rPr>
        <w:br w:type="page"/>
      </w:r>
      <w:r w:rsidR="005C685B" w:rsidRPr="005C685B">
        <w:rPr>
          <w:rFonts w:ascii="Arial" w:hAnsi="Arial" w:cs="Arial"/>
          <w:sz w:val="24"/>
          <w:szCs w:val="24"/>
        </w:rPr>
        <w:lastRenderedPageBreak/>
        <w:t>Computation of Fair Value</w:t>
      </w:r>
    </w:p>
    <w:tbl>
      <w:tblPr>
        <w:tblStyle w:val="TableGrid"/>
        <w:tblW w:w="0" w:type="auto"/>
        <w:tblLook w:val="04A0" w:firstRow="1" w:lastRow="0" w:firstColumn="1" w:lastColumn="0" w:noHBand="0" w:noVBand="1"/>
      </w:tblPr>
      <w:tblGrid>
        <w:gridCol w:w="4732"/>
        <w:gridCol w:w="1359"/>
      </w:tblGrid>
      <w:tr w:rsidR="0022591D" w:rsidRPr="005C685B" w14:paraId="55BBD7E4" w14:textId="77777777" w:rsidTr="005C685B">
        <w:tc>
          <w:tcPr>
            <w:tcW w:w="4732" w:type="dxa"/>
          </w:tcPr>
          <w:p w14:paraId="65A7CE47" w14:textId="77777777" w:rsidR="0022591D" w:rsidRPr="005C685B" w:rsidRDefault="005C685B" w:rsidP="005C685B">
            <w:pPr>
              <w:jc w:val="center"/>
              <w:rPr>
                <w:rFonts w:ascii="Arial" w:hAnsi="Arial" w:cs="Arial"/>
                <w:b/>
                <w:bCs/>
                <w:sz w:val="24"/>
                <w:szCs w:val="24"/>
              </w:rPr>
            </w:pPr>
            <w:r w:rsidRPr="005C685B">
              <w:rPr>
                <w:rFonts w:ascii="Arial" w:hAnsi="Arial" w:cs="Arial"/>
                <w:b/>
                <w:bCs/>
                <w:sz w:val="24"/>
                <w:szCs w:val="24"/>
              </w:rPr>
              <w:t>DESCRIPTION</w:t>
            </w:r>
          </w:p>
        </w:tc>
        <w:tc>
          <w:tcPr>
            <w:tcW w:w="1359" w:type="dxa"/>
          </w:tcPr>
          <w:p w14:paraId="71A1580D" w14:textId="77777777" w:rsidR="0022591D" w:rsidRPr="005C685B" w:rsidRDefault="005C685B" w:rsidP="005C685B">
            <w:pPr>
              <w:jc w:val="center"/>
              <w:rPr>
                <w:rFonts w:ascii="Arial" w:hAnsi="Arial" w:cs="Arial"/>
                <w:b/>
                <w:bCs/>
                <w:sz w:val="24"/>
                <w:szCs w:val="24"/>
              </w:rPr>
            </w:pPr>
            <w:r w:rsidRPr="005C685B">
              <w:rPr>
                <w:rFonts w:ascii="Arial" w:hAnsi="Arial" w:cs="Arial"/>
                <w:b/>
                <w:bCs/>
                <w:sz w:val="24"/>
                <w:szCs w:val="24"/>
              </w:rPr>
              <w:t>AMOUNT (in Cr.)</w:t>
            </w:r>
          </w:p>
        </w:tc>
      </w:tr>
      <w:tr w:rsidR="0022591D" w:rsidRPr="005C685B" w14:paraId="3847D09E" w14:textId="77777777" w:rsidTr="005C685B">
        <w:tc>
          <w:tcPr>
            <w:tcW w:w="4732" w:type="dxa"/>
          </w:tcPr>
          <w:p w14:paraId="225638B2" w14:textId="77777777" w:rsidR="0022591D" w:rsidRPr="005C685B" w:rsidRDefault="005C685B">
            <w:pPr>
              <w:rPr>
                <w:rFonts w:ascii="Arial" w:hAnsi="Arial" w:cs="Arial"/>
                <w:sz w:val="24"/>
                <w:szCs w:val="24"/>
              </w:rPr>
            </w:pPr>
            <w:r w:rsidRPr="005C685B">
              <w:rPr>
                <w:rFonts w:ascii="Arial" w:hAnsi="Arial" w:cs="Arial"/>
                <w:sz w:val="24"/>
                <w:szCs w:val="24"/>
              </w:rPr>
              <w:t>REPLACMENT COST NEW</w:t>
            </w:r>
          </w:p>
        </w:tc>
        <w:tc>
          <w:tcPr>
            <w:tcW w:w="1359" w:type="dxa"/>
          </w:tcPr>
          <w:p w14:paraId="60C9C999" w14:textId="77777777" w:rsidR="0022591D" w:rsidRPr="005C685B" w:rsidRDefault="005C685B" w:rsidP="005C685B">
            <w:pPr>
              <w:jc w:val="center"/>
              <w:rPr>
                <w:rFonts w:ascii="Arial" w:hAnsi="Arial" w:cs="Arial"/>
                <w:sz w:val="24"/>
                <w:szCs w:val="24"/>
              </w:rPr>
            </w:pPr>
            <w:r w:rsidRPr="005C685B">
              <w:rPr>
                <w:rFonts w:ascii="Arial" w:hAnsi="Arial" w:cs="Arial"/>
                <w:sz w:val="24"/>
                <w:szCs w:val="24"/>
              </w:rPr>
              <w:t>4115.86</w:t>
            </w:r>
          </w:p>
        </w:tc>
      </w:tr>
      <w:tr w:rsidR="0022591D" w:rsidRPr="005C685B" w14:paraId="4CFE2510" w14:textId="77777777" w:rsidTr="005C685B">
        <w:tc>
          <w:tcPr>
            <w:tcW w:w="4732" w:type="dxa"/>
          </w:tcPr>
          <w:p w14:paraId="361B15AA" w14:textId="77777777" w:rsidR="0022591D" w:rsidRPr="005C685B" w:rsidRDefault="005C685B">
            <w:pPr>
              <w:rPr>
                <w:rFonts w:ascii="Arial" w:hAnsi="Arial" w:cs="Arial"/>
                <w:sz w:val="24"/>
                <w:szCs w:val="24"/>
              </w:rPr>
            </w:pPr>
            <w:r w:rsidRPr="005C685B">
              <w:rPr>
                <w:rFonts w:ascii="Arial" w:hAnsi="Arial" w:cs="Arial"/>
                <w:sz w:val="24"/>
                <w:szCs w:val="24"/>
              </w:rPr>
              <w:t>SALVAGE VALUE @ 5%</w:t>
            </w:r>
          </w:p>
        </w:tc>
        <w:tc>
          <w:tcPr>
            <w:tcW w:w="1359" w:type="dxa"/>
          </w:tcPr>
          <w:p w14:paraId="481AF38C" w14:textId="77777777" w:rsidR="0022591D" w:rsidRPr="005C685B" w:rsidRDefault="005C685B" w:rsidP="005C685B">
            <w:pPr>
              <w:jc w:val="center"/>
              <w:rPr>
                <w:rFonts w:ascii="Arial" w:hAnsi="Arial" w:cs="Arial"/>
                <w:sz w:val="24"/>
                <w:szCs w:val="24"/>
              </w:rPr>
            </w:pPr>
            <w:r w:rsidRPr="005C685B">
              <w:rPr>
                <w:rFonts w:ascii="Arial" w:hAnsi="Arial" w:cs="Arial"/>
                <w:sz w:val="24"/>
                <w:szCs w:val="24"/>
              </w:rPr>
              <w:t>205.79</w:t>
            </w:r>
          </w:p>
        </w:tc>
      </w:tr>
      <w:tr w:rsidR="0022591D" w:rsidRPr="005C685B" w14:paraId="3193C771" w14:textId="77777777" w:rsidTr="005C685B">
        <w:tc>
          <w:tcPr>
            <w:tcW w:w="4732" w:type="dxa"/>
          </w:tcPr>
          <w:p w14:paraId="4CE0C388" w14:textId="77777777" w:rsidR="0022591D" w:rsidRPr="005C685B" w:rsidRDefault="005C685B">
            <w:pPr>
              <w:rPr>
                <w:rFonts w:ascii="Arial" w:hAnsi="Arial" w:cs="Arial"/>
                <w:sz w:val="24"/>
                <w:szCs w:val="24"/>
              </w:rPr>
            </w:pPr>
            <w:r w:rsidRPr="005C685B">
              <w:rPr>
                <w:rFonts w:ascii="Arial" w:hAnsi="Arial" w:cs="Arial"/>
                <w:sz w:val="24"/>
                <w:szCs w:val="24"/>
              </w:rPr>
              <w:t>Less COST TO SELL @ 15%</w:t>
            </w:r>
          </w:p>
        </w:tc>
        <w:tc>
          <w:tcPr>
            <w:tcW w:w="1359" w:type="dxa"/>
          </w:tcPr>
          <w:p w14:paraId="65BA27BF" w14:textId="77777777" w:rsidR="0022591D" w:rsidRPr="005C685B" w:rsidRDefault="005C685B" w:rsidP="005C685B">
            <w:pPr>
              <w:jc w:val="center"/>
              <w:rPr>
                <w:rFonts w:ascii="Arial" w:hAnsi="Arial" w:cs="Arial"/>
                <w:sz w:val="24"/>
                <w:szCs w:val="24"/>
              </w:rPr>
            </w:pPr>
            <w:r w:rsidRPr="005C685B">
              <w:rPr>
                <w:rFonts w:ascii="Arial" w:hAnsi="Arial" w:cs="Arial"/>
                <w:sz w:val="24"/>
                <w:szCs w:val="24"/>
              </w:rPr>
              <w:t>30.87</w:t>
            </w:r>
          </w:p>
        </w:tc>
      </w:tr>
      <w:tr w:rsidR="0022591D" w:rsidRPr="005C685B" w14:paraId="48460008" w14:textId="77777777" w:rsidTr="005C685B">
        <w:tc>
          <w:tcPr>
            <w:tcW w:w="4732" w:type="dxa"/>
          </w:tcPr>
          <w:p w14:paraId="0D5719F6" w14:textId="77777777" w:rsidR="0022591D" w:rsidRPr="005C685B" w:rsidRDefault="005C685B">
            <w:pPr>
              <w:rPr>
                <w:rFonts w:ascii="Arial" w:hAnsi="Arial" w:cs="Arial"/>
                <w:sz w:val="24"/>
                <w:szCs w:val="24"/>
              </w:rPr>
            </w:pPr>
            <w:r w:rsidRPr="005C685B">
              <w:rPr>
                <w:rFonts w:ascii="Arial" w:hAnsi="Arial" w:cs="Arial"/>
                <w:sz w:val="24"/>
                <w:szCs w:val="24"/>
              </w:rPr>
              <w:t>FAIR VALUE LESS COSTS TO SELL</w:t>
            </w:r>
          </w:p>
        </w:tc>
        <w:tc>
          <w:tcPr>
            <w:tcW w:w="1359" w:type="dxa"/>
          </w:tcPr>
          <w:p w14:paraId="618BB906" w14:textId="77777777" w:rsidR="0022591D" w:rsidRPr="005C685B" w:rsidRDefault="005C685B" w:rsidP="005C685B">
            <w:pPr>
              <w:jc w:val="center"/>
              <w:rPr>
                <w:rFonts w:ascii="Arial" w:hAnsi="Arial" w:cs="Arial"/>
                <w:sz w:val="24"/>
                <w:szCs w:val="24"/>
              </w:rPr>
            </w:pPr>
            <w:r w:rsidRPr="005C685B">
              <w:rPr>
                <w:rFonts w:ascii="Arial" w:hAnsi="Arial" w:cs="Arial"/>
                <w:sz w:val="24"/>
                <w:szCs w:val="24"/>
              </w:rPr>
              <w:t>174.92</w:t>
            </w:r>
          </w:p>
        </w:tc>
      </w:tr>
    </w:tbl>
    <w:p w14:paraId="407C1F7A" w14:textId="77777777" w:rsidR="00FD46E3" w:rsidRDefault="00FD46E3" w:rsidP="00E16255">
      <w:pPr>
        <w:rPr>
          <w:rFonts w:ascii="Arial" w:hAnsi="Arial" w:cs="Arial"/>
          <w:b/>
          <w:bCs/>
          <w:sz w:val="24"/>
          <w:szCs w:val="24"/>
          <w:u w:val="single"/>
        </w:rPr>
      </w:pPr>
    </w:p>
    <w:p w14:paraId="74D06CB9" w14:textId="77777777" w:rsidR="00E16255" w:rsidRDefault="00E16255" w:rsidP="00E16255">
      <w:pPr>
        <w:rPr>
          <w:rFonts w:ascii="Arial" w:hAnsi="Arial" w:cs="Arial"/>
          <w:b/>
          <w:bCs/>
          <w:sz w:val="24"/>
          <w:szCs w:val="24"/>
          <w:u w:val="single"/>
        </w:rPr>
      </w:pPr>
      <w:r w:rsidRPr="002D792E">
        <w:rPr>
          <w:rFonts w:ascii="Arial" w:hAnsi="Arial" w:cs="Arial"/>
          <w:b/>
          <w:bCs/>
          <w:sz w:val="24"/>
          <w:szCs w:val="24"/>
          <w:u w:val="single"/>
        </w:rPr>
        <w:t xml:space="preserve">Kakinada – </w:t>
      </w:r>
      <w:r>
        <w:rPr>
          <w:rFonts w:ascii="Arial" w:hAnsi="Arial" w:cs="Arial"/>
          <w:b/>
          <w:bCs/>
          <w:sz w:val="24"/>
          <w:szCs w:val="24"/>
          <w:u w:val="single"/>
        </w:rPr>
        <w:t>Buildings</w:t>
      </w:r>
      <w:r w:rsidRPr="002D792E">
        <w:rPr>
          <w:rFonts w:ascii="Arial" w:hAnsi="Arial" w:cs="Arial"/>
          <w:b/>
          <w:bCs/>
          <w:sz w:val="24"/>
          <w:szCs w:val="24"/>
          <w:u w:val="single"/>
        </w:rPr>
        <w:t>:</w:t>
      </w:r>
    </w:p>
    <w:p w14:paraId="7AE7FA80" w14:textId="77777777" w:rsidR="00E16255" w:rsidRDefault="00E16255" w:rsidP="00843C03">
      <w:pPr>
        <w:spacing w:line="360" w:lineRule="auto"/>
        <w:jc w:val="both"/>
        <w:rPr>
          <w:rFonts w:ascii="Arial" w:hAnsi="Arial" w:cs="Arial"/>
          <w:sz w:val="24"/>
          <w:szCs w:val="24"/>
        </w:rPr>
      </w:pPr>
      <w:r w:rsidRPr="00E16255">
        <w:rPr>
          <w:rFonts w:ascii="Arial" w:hAnsi="Arial" w:cs="Arial"/>
          <w:sz w:val="24"/>
          <w:szCs w:val="24"/>
        </w:rPr>
        <w:t xml:space="preserve">Plant buildings are fully depreciated. Owing to inadequate spend on maintenance of civil structures, there has been severe deterioration of integrity of various civil structures across the complex.  Due to proximity to </w:t>
      </w:r>
      <w:r w:rsidR="00D06A0A" w:rsidRPr="00E16255">
        <w:rPr>
          <w:rFonts w:ascii="Arial" w:hAnsi="Arial" w:cs="Arial"/>
          <w:sz w:val="24"/>
          <w:szCs w:val="24"/>
        </w:rPr>
        <w:t>seashore</w:t>
      </w:r>
      <w:r w:rsidRPr="00E16255">
        <w:rPr>
          <w:rFonts w:ascii="Arial" w:hAnsi="Arial" w:cs="Arial"/>
          <w:sz w:val="24"/>
          <w:szCs w:val="24"/>
        </w:rPr>
        <w:t xml:space="preserve"> and corrosive atmosphere of chemical plant many concrete structures like pipe rack are showing damages and needs repair. The estimated cost (by M/s. Mott Macdonald) of the above repairs is Rs 87.5 Cr.</w:t>
      </w:r>
    </w:p>
    <w:p w14:paraId="30820619" w14:textId="77777777" w:rsidR="00CF6009" w:rsidRDefault="00CF6009" w:rsidP="00CF6009">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jc w:val="both"/>
        <w:rPr>
          <w:rFonts w:ascii="Arial" w:hAnsi="Arial"/>
        </w:rPr>
      </w:pPr>
    </w:p>
    <w:p w14:paraId="0730C1D4" w14:textId="77777777" w:rsidR="00CF6009" w:rsidRPr="00FD46E3" w:rsidRDefault="00CF6009" w:rsidP="00CF6009">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jc w:val="both"/>
        <w:rPr>
          <w:rFonts w:ascii="Arial" w:hAnsi="Arial"/>
          <w:b/>
          <w:bCs/>
        </w:rPr>
      </w:pPr>
      <w:r w:rsidRPr="00FD46E3">
        <w:rPr>
          <w:rFonts w:ascii="Arial" w:hAnsi="Arial"/>
          <w:b/>
          <w:bCs/>
        </w:rPr>
        <w:t>Excerpts from the impairment testing report (draft) on Kakinada buildings are produced below:</w:t>
      </w:r>
    </w:p>
    <w:p w14:paraId="7488A633" w14:textId="77777777" w:rsidR="00E71C37" w:rsidRDefault="00E71C37" w:rsidP="00E16255">
      <w:pPr>
        <w:jc w:val="both"/>
        <w:rPr>
          <w:rFonts w:ascii="Arial" w:hAnsi="Arial" w:cs="Arial"/>
          <w:sz w:val="24"/>
          <w:szCs w:val="24"/>
        </w:rPr>
      </w:pPr>
    </w:p>
    <w:p w14:paraId="395CD79B" w14:textId="77777777" w:rsidR="00E71C37" w:rsidRDefault="00E71C37" w:rsidP="00843C03">
      <w:pPr>
        <w:spacing w:line="360" w:lineRule="auto"/>
        <w:jc w:val="both"/>
        <w:rPr>
          <w:rFonts w:ascii="Arial" w:hAnsi="Arial" w:cs="Arial"/>
          <w:sz w:val="24"/>
          <w:szCs w:val="24"/>
        </w:rPr>
      </w:pPr>
      <w:r w:rsidRPr="00E71C37">
        <w:rPr>
          <w:rFonts w:ascii="Arial" w:hAnsi="Arial" w:cs="Arial"/>
          <w:sz w:val="24"/>
          <w:szCs w:val="24"/>
        </w:rPr>
        <w:t>It has to be noted that the immovable assets of buildings &amp; other civil structures have been built for the express purpose of housing the plants, equipment and/or providing the administrative/support, enabling movement of material, personnel etc. Any diminution in the value of plant will result in a similar impact on the value of the fixed assets too. Without the plant, the civil structures/immovable assets are also of salvage value.</w:t>
      </w:r>
    </w:p>
    <w:p w14:paraId="39C8307F" w14:textId="77777777" w:rsidR="00E71C37" w:rsidRDefault="00E71C37" w:rsidP="00E16255">
      <w:pPr>
        <w:jc w:val="both"/>
        <w:rPr>
          <w:rFonts w:ascii="Arial" w:hAnsi="Arial" w:cs="Arial"/>
          <w:sz w:val="24"/>
          <w:szCs w:val="24"/>
        </w:rPr>
      </w:pPr>
    </w:p>
    <w:tbl>
      <w:tblPr>
        <w:tblStyle w:val="TableGrid"/>
        <w:tblW w:w="0" w:type="auto"/>
        <w:tblLook w:val="04A0" w:firstRow="1" w:lastRow="0" w:firstColumn="1" w:lastColumn="0" w:noHBand="0" w:noVBand="1"/>
      </w:tblPr>
      <w:tblGrid>
        <w:gridCol w:w="5098"/>
        <w:gridCol w:w="1276"/>
      </w:tblGrid>
      <w:tr w:rsidR="00E71C37" w14:paraId="3B9B7AFE" w14:textId="77777777" w:rsidTr="00CF6009">
        <w:tc>
          <w:tcPr>
            <w:tcW w:w="5098" w:type="dxa"/>
          </w:tcPr>
          <w:p w14:paraId="4FF95426" w14:textId="77777777" w:rsidR="00E71C37" w:rsidRPr="00CF6009" w:rsidRDefault="00E71C37" w:rsidP="00CF6009">
            <w:pPr>
              <w:jc w:val="center"/>
              <w:rPr>
                <w:rFonts w:ascii="Arial" w:hAnsi="Arial" w:cs="Arial"/>
                <w:b/>
                <w:bCs/>
                <w:sz w:val="24"/>
                <w:szCs w:val="24"/>
              </w:rPr>
            </w:pPr>
            <w:r w:rsidRPr="00CF6009">
              <w:rPr>
                <w:rFonts w:ascii="Arial" w:hAnsi="Arial" w:cs="Arial"/>
                <w:b/>
                <w:bCs/>
                <w:sz w:val="24"/>
                <w:szCs w:val="24"/>
              </w:rPr>
              <w:t>DESCRIPTION</w:t>
            </w:r>
          </w:p>
        </w:tc>
        <w:tc>
          <w:tcPr>
            <w:tcW w:w="1276" w:type="dxa"/>
          </w:tcPr>
          <w:p w14:paraId="2B1E11BE" w14:textId="77777777" w:rsidR="00E71C37" w:rsidRPr="00CF6009" w:rsidRDefault="00E71C37" w:rsidP="00CF6009">
            <w:pPr>
              <w:jc w:val="center"/>
              <w:rPr>
                <w:rFonts w:ascii="Arial" w:hAnsi="Arial" w:cs="Arial"/>
                <w:b/>
                <w:bCs/>
                <w:sz w:val="24"/>
                <w:szCs w:val="24"/>
              </w:rPr>
            </w:pPr>
            <w:r w:rsidRPr="00CF6009">
              <w:rPr>
                <w:rFonts w:ascii="Arial" w:hAnsi="Arial" w:cs="Arial"/>
                <w:b/>
                <w:bCs/>
                <w:sz w:val="24"/>
                <w:szCs w:val="24"/>
              </w:rPr>
              <w:t>AMOUNT (in Cr.)</w:t>
            </w:r>
          </w:p>
        </w:tc>
      </w:tr>
      <w:tr w:rsidR="00E71C37" w14:paraId="64E205BC" w14:textId="77777777" w:rsidTr="00CF6009">
        <w:tc>
          <w:tcPr>
            <w:tcW w:w="5098" w:type="dxa"/>
          </w:tcPr>
          <w:p w14:paraId="56CA3B5D" w14:textId="77777777" w:rsidR="00E71C37" w:rsidRPr="00CF6009" w:rsidRDefault="00E71C37" w:rsidP="00CF6009">
            <w:pPr>
              <w:rPr>
                <w:rFonts w:ascii="Arial" w:hAnsi="Arial" w:cs="Arial"/>
                <w:sz w:val="24"/>
                <w:szCs w:val="24"/>
              </w:rPr>
            </w:pPr>
            <w:r w:rsidRPr="00CF6009">
              <w:rPr>
                <w:rFonts w:ascii="Arial" w:hAnsi="Arial" w:cs="Arial"/>
                <w:sz w:val="24"/>
                <w:szCs w:val="24"/>
              </w:rPr>
              <w:t>REPLACMENT COST NEW</w:t>
            </w:r>
          </w:p>
        </w:tc>
        <w:tc>
          <w:tcPr>
            <w:tcW w:w="1276" w:type="dxa"/>
          </w:tcPr>
          <w:p w14:paraId="27543781" w14:textId="77777777" w:rsidR="00E71C37" w:rsidRPr="00CF6009" w:rsidRDefault="00E71C37" w:rsidP="00CF6009">
            <w:pPr>
              <w:jc w:val="center"/>
              <w:rPr>
                <w:rFonts w:ascii="Arial" w:hAnsi="Arial" w:cs="Arial"/>
                <w:sz w:val="24"/>
                <w:szCs w:val="24"/>
              </w:rPr>
            </w:pPr>
            <w:r w:rsidRPr="00CF6009">
              <w:rPr>
                <w:rFonts w:ascii="Arial" w:hAnsi="Arial" w:cs="Arial"/>
                <w:sz w:val="24"/>
                <w:szCs w:val="24"/>
              </w:rPr>
              <w:t>339.46</w:t>
            </w:r>
          </w:p>
        </w:tc>
      </w:tr>
      <w:tr w:rsidR="00E71C37" w14:paraId="1F724ACA" w14:textId="77777777" w:rsidTr="00CF6009">
        <w:tc>
          <w:tcPr>
            <w:tcW w:w="5098" w:type="dxa"/>
          </w:tcPr>
          <w:p w14:paraId="4E02EE23" w14:textId="77777777" w:rsidR="00E71C37" w:rsidRPr="00CF6009" w:rsidRDefault="00E71C37" w:rsidP="00CF6009">
            <w:pPr>
              <w:rPr>
                <w:rFonts w:ascii="Arial" w:hAnsi="Arial" w:cs="Arial"/>
                <w:sz w:val="24"/>
                <w:szCs w:val="24"/>
              </w:rPr>
            </w:pPr>
            <w:r w:rsidRPr="00CF6009">
              <w:rPr>
                <w:rFonts w:ascii="Arial" w:hAnsi="Arial" w:cs="Arial"/>
                <w:sz w:val="24"/>
                <w:szCs w:val="24"/>
              </w:rPr>
              <w:t>SALVAGE VALUE @ 5%</w:t>
            </w:r>
          </w:p>
        </w:tc>
        <w:tc>
          <w:tcPr>
            <w:tcW w:w="1276" w:type="dxa"/>
          </w:tcPr>
          <w:p w14:paraId="6176A3AF" w14:textId="77777777" w:rsidR="00E71C37" w:rsidRPr="00CF6009" w:rsidRDefault="00CF6009" w:rsidP="00CF6009">
            <w:pPr>
              <w:jc w:val="center"/>
              <w:rPr>
                <w:rFonts w:ascii="Arial" w:hAnsi="Arial" w:cs="Arial"/>
                <w:sz w:val="24"/>
                <w:szCs w:val="24"/>
              </w:rPr>
            </w:pPr>
            <w:r w:rsidRPr="00CF6009">
              <w:rPr>
                <w:rFonts w:ascii="Arial" w:hAnsi="Arial" w:cs="Arial"/>
                <w:sz w:val="24"/>
                <w:szCs w:val="24"/>
              </w:rPr>
              <w:t>16.97</w:t>
            </w:r>
          </w:p>
        </w:tc>
      </w:tr>
      <w:tr w:rsidR="00E71C37" w14:paraId="1B6710D6" w14:textId="77777777" w:rsidTr="00CF6009">
        <w:tc>
          <w:tcPr>
            <w:tcW w:w="5098" w:type="dxa"/>
          </w:tcPr>
          <w:p w14:paraId="7EABF588" w14:textId="77777777" w:rsidR="00E71C37" w:rsidRPr="00CF6009" w:rsidRDefault="00CF6009" w:rsidP="00CF6009">
            <w:pPr>
              <w:rPr>
                <w:rFonts w:ascii="Arial" w:hAnsi="Arial" w:cs="Arial"/>
                <w:sz w:val="24"/>
                <w:szCs w:val="24"/>
              </w:rPr>
            </w:pPr>
            <w:r w:rsidRPr="00CF6009">
              <w:rPr>
                <w:rFonts w:ascii="Arial" w:hAnsi="Arial" w:cs="Arial"/>
                <w:sz w:val="24"/>
                <w:szCs w:val="24"/>
              </w:rPr>
              <w:t>Less COST TO SELL @ 15%</w:t>
            </w:r>
          </w:p>
        </w:tc>
        <w:tc>
          <w:tcPr>
            <w:tcW w:w="1276" w:type="dxa"/>
          </w:tcPr>
          <w:p w14:paraId="25F74D8E" w14:textId="77777777" w:rsidR="00E71C37" w:rsidRPr="00CF6009" w:rsidRDefault="00CF6009" w:rsidP="00CF6009">
            <w:pPr>
              <w:jc w:val="center"/>
              <w:rPr>
                <w:rFonts w:ascii="Arial" w:hAnsi="Arial" w:cs="Arial"/>
                <w:sz w:val="24"/>
                <w:szCs w:val="24"/>
              </w:rPr>
            </w:pPr>
            <w:r w:rsidRPr="00CF6009">
              <w:rPr>
                <w:rFonts w:ascii="Arial" w:hAnsi="Arial" w:cs="Arial"/>
                <w:sz w:val="24"/>
                <w:szCs w:val="24"/>
              </w:rPr>
              <w:t>2.55</w:t>
            </w:r>
          </w:p>
        </w:tc>
      </w:tr>
      <w:tr w:rsidR="00E71C37" w14:paraId="2984CDC7" w14:textId="77777777" w:rsidTr="00CF6009">
        <w:tc>
          <w:tcPr>
            <w:tcW w:w="5098" w:type="dxa"/>
          </w:tcPr>
          <w:p w14:paraId="5BFDA9D2" w14:textId="77777777" w:rsidR="00E71C37" w:rsidRPr="00CF6009" w:rsidRDefault="00CF6009" w:rsidP="00CF6009">
            <w:pPr>
              <w:rPr>
                <w:rFonts w:ascii="Arial" w:hAnsi="Arial" w:cs="Arial"/>
                <w:b/>
                <w:bCs/>
                <w:sz w:val="24"/>
                <w:szCs w:val="24"/>
              </w:rPr>
            </w:pPr>
            <w:r w:rsidRPr="00CF6009">
              <w:rPr>
                <w:rFonts w:ascii="Arial" w:hAnsi="Arial" w:cs="Arial"/>
                <w:b/>
                <w:bCs/>
                <w:sz w:val="24"/>
                <w:szCs w:val="24"/>
              </w:rPr>
              <w:t>FAIR VALUE LESS COSTS TO SELL</w:t>
            </w:r>
          </w:p>
        </w:tc>
        <w:tc>
          <w:tcPr>
            <w:tcW w:w="1276" w:type="dxa"/>
          </w:tcPr>
          <w:p w14:paraId="2D68D374" w14:textId="77777777" w:rsidR="00E71C37" w:rsidRPr="00CF6009" w:rsidRDefault="00CF6009" w:rsidP="00CF6009">
            <w:pPr>
              <w:jc w:val="center"/>
              <w:rPr>
                <w:rFonts w:ascii="Arial" w:hAnsi="Arial" w:cs="Arial"/>
                <w:b/>
                <w:bCs/>
                <w:sz w:val="24"/>
                <w:szCs w:val="24"/>
              </w:rPr>
            </w:pPr>
            <w:r w:rsidRPr="00CF6009">
              <w:rPr>
                <w:rFonts w:ascii="Arial" w:hAnsi="Arial" w:cs="Arial"/>
                <w:b/>
                <w:bCs/>
                <w:sz w:val="24"/>
                <w:szCs w:val="24"/>
              </w:rPr>
              <w:t>14.43</w:t>
            </w:r>
            <w:r w:rsidR="004A4D2D">
              <w:rPr>
                <w:rFonts w:ascii="Arial" w:hAnsi="Arial" w:cs="Arial"/>
                <w:b/>
                <w:bCs/>
                <w:sz w:val="24"/>
                <w:szCs w:val="24"/>
              </w:rPr>
              <w:t>**</w:t>
            </w:r>
          </w:p>
        </w:tc>
      </w:tr>
    </w:tbl>
    <w:p w14:paraId="66D70D74" w14:textId="77777777" w:rsidR="00E71C37" w:rsidRDefault="00E71C37" w:rsidP="00E16255">
      <w:pPr>
        <w:jc w:val="both"/>
        <w:rPr>
          <w:rFonts w:ascii="Arial" w:hAnsi="Arial" w:cs="Arial"/>
          <w:sz w:val="24"/>
          <w:szCs w:val="24"/>
        </w:rPr>
      </w:pPr>
    </w:p>
    <w:p w14:paraId="632C03E3" w14:textId="77777777" w:rsidR="00601432" w:rsidRDefault="00601432" w:rsidP="00E16255">
      <w:pPr>
        <w:jc w:val="both"/>
        <w:rPr>
          <w:rFonts w:ascii="Arial" w:hAnsi="Arial" w:cs="Arial"/>
          <w:sz w:val="24"/>
          <w:szCs w:val="24"/>
        </w:rPr>
      </w:pPr>
    </w:p>
    <w:p w14:paraId="2A9E191F" w14:textId="77777777" w:rsidR="00601432" w:rsidRPr="00710786" w:rsidRDefault="004A4D2D" w:rsidP="00843C03">
      <w:pPr>
        <w:spacing w:line="360" w:lineRule="auto"/>
        <w:jc w:val="both"/>
        <w:rPr>
          <w:rFonts w:ascii="Arial" w:hAnsi="Arial" w:cs="Arial"/>
          <w:sz w:val="24"/>
          <w:szCs w:val="24"/>
        </w:rPr>
      </w:pPr>
      <w:r>
        <w:rPr>
          <w:rFonts w:ascii="Arial" w:hAnsi="Arial" w:cs="Arial"/>
          <w:sz w:val="28"/>
          <w:szCs w:val="28"/>
        </w:rPr>
        <w:t>*</w:t>
      </w:r>
      <w:r w:rsidR="00710786" w:rsidRPr="004A4D2D">
        <w:rPr>
          <w:rFonts w:ascii="Arial" w:hAnsi="Arial" w:cs="Arial"/>
          <w:sz w:val="28"/>
          <w:szCs w:val="28"/>
        </w:rPr>
        <w:t>*</w:t>
      </w:r>
      <w:r w:rsidR="00ED2635" w:rsidRPr="00710786">
        <w:rPr>
          <w:rFonts w:ascii="Arial" w:hAnsi="Arial" w:cs="Arial"/>
          <w:sz w:val="24"/>
          <w:szCs w:val="24"/>
        </w:rPr>
        <w:t>This valuation does not consider the land contract</w:t>
      </w:r>
      <w:r w:rsidR="00710786">
        <w:rPr>
          <w:rFonts w:ascii="Arial" w:hAnsi="Arial" w:cs="Arial"/>
          <w:sz w:val="24"/>
          <w:szCs w:val="24"/>
        </w:rPr>
        <w:t xml:space="preserve"> terms</w:t>
      </w:r>
      <w:r w:rsidR="00ED2635" w:rsidRPr="00710786">
        <w:rPr>
          <w:rFonts w:ascii="Arial" w:hAnsi="Arial" w:cs="Arial"/>
          <w:sz w:val="24"/>
          <w:szCs w:val="24"/>
        </w:rPr>
        <w:t xml:space="preserve"> which states that if the plant is not operational (plant and buildings), the Government of Andhra </w:t>
      </w:r>
      <w:r w:rsidR="00710786" w:rsidRPr="00710786">
        <w:rPr>
          <w:rFonts w:ascii="Arial" w:hAnsi="Arial" w:cs="Arial"/>
          <w:sz w:val="24"/>
          <w:szCs w:val="24"/>
        </w:rPr>
        <w:t>Pradesh</w:t>
      </w:r>
      <w:r w:rsidR="00ED2635" w:rsidRPr="00710786">
        <w:rPr>
          <w:rFonts w:ascii="Arial" w:hAnsi="Arial" w:cs="Arial"/>
          <w:sz w:val="24"/>
          <w:szCs w:val="24"/>
        </w:rPr>
        <w:t xml:space="preserve"> can resume the land and ask</w:t>
      </w:r>
      <w:r w:rsidR="00710786" w:rsidRPr="00710786">
        <w:rPr>
          <w:rFonts w:ascii="Arial" w:hAnsi="Arial" w:cs="Arial"/>
          <w:sz w:val="24"/>
          <w:szCs w:val="24"/>
        </w:rPr>
        <w:t xml:space="preserve"> the Company </w:t>
      </w:r>
      <w:r w:rsidR="00ED2635" w:rsidRPr="00710786">
        <w:rPr>
          <w:rFonts w:ascii="Arial" w:hAnsi="Arial" w:cs="Arial"/>
          <w:sz w:val="24"/>
          <w:szCs w:val="24"/>
        </w:rPr>
        <w:t>for removal of the plant and machinery and the buildings</w:t>
      </w:r>
      <w:r w:rsidR="00710786" w:rsidRPr="00710786">
        <w:rPr>
          <w:rFonts w:ascii="Arial" w:hAnsi="Arial" w:cs="Arial"/>
          <w:sz w:val="24"/>
          <w:szCs w:val="24"/>
        </w:rPr>
        <w:t xml:space="preserve"> at its own cost</w:t>
      </w:r>
    </w:p>
    <w:sectPr w:rsidR="00601432" w:rsidRPr="00710786" w:rsidSect="005A61D2">
      <w:pgSz w:w="11906" w:h="16838"/>
      <w:pgMar w:top="1440" w:right="849" w:bottom="993"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SFUI-Regular">
    <w:altName w:val="Cambria"/>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A4560E"/>
    <w:multiLevelType w:val="hybridMultilevel"/>
    <w:tmpl w:val="192E43AC"/>
    <w:numStyleLink w:val="Numbered"/>
  </w:abstractNum>
  <w:abstractNum w:abstractNumId="1" w15:restartNumberingAfterBreak="0">
    <w:nsid w:val="2FA454F0"/>
    <w:multiLevelType w:val="hybridMultilevel"/>
    <w:tmpl w:val="A21A4206"/>
    <w:lvl w:ilvl="0" w:tplc="675CD598">
      <w:start w:val="1"/>
      <w:numFmt w:val="lowerLetter"/>
      <w:lvlText w:val="%1)"/>
      <w:lvlJc w:val="left"/>
      <w:pPr>
        <w:tabs>
          <w:tab w:val="num" w:pos="720"/>
        </w:tabs>
        <w:ind w:left="720" w:hanging="360"/>
      </w:pPr>
    </w:lvl>
    <w:lvl w:ilvl="1" w:tplc="C3F2D258">
      <w:start w:val="1"/>
      <w:numFmt w:val="lowerLetter"/>
      <w:lvlText w:val="%2)"/>
      <w:lvlJc w:val="left"/>
      <w:pPr>
        <w:tabs>
          <w:tab w:val="num" w:pos="1440"/>
        </w:tabs>
        <w:ind w:left="1440" w:hanging="360"/>
      </w:pPr>
    </w:lvl>
    <w:lvl w:ilvl="2" w:tplc="0CA67E34" w:tentative="1">
      <w:start w:val="1"/>
      <w:numFmt w:val="lowerLetter"/>
      <w:lvlText w:val="%3)"/>
      <w:lvlJc w:val="left"/>
      <w:pPr>
        <w:tabs>
          <w:tab w:val="num" w:pos="2160"/>
        </w:tabs>
        <w:ind w:left="2160" w:hanging="360"/>
      </w:pPr>
    </w:lvl>
    <w:lvl w:ilvl="3" w:tplc="FAFE9A06" w:tentative="1">
      <w:start w:val="1"/>
      <w:numFmt w:val="lowerLetter"/>
      <w:lvlText w:val="%4)"/>
      <w:lvlJc w:val="left"/>
      <w:pPr>
        <w:tabs>
          <w:tab w:val="num" w:pos="2880"/>
        </w:tabs>
        <w:ind w:left="2880" w:hanging="360"/>
      </w:pPr>
    </w:lvl>
    <w:lvl w:ilvl="4" w:tplc="88C0C11E" w:tentative="1">
      <w:start w:val="1"/>
      <w:numFmt w:val="lowerLetter"/>
      <w:lvlText w:val="%5)"/>
      <w:lvlJc w:val="left"/>
      <w:pPr>
        <w:tabs>
          <w:tab w:val="num" w:pos="3600"/>
        </w:tabs>
        <w:ind w:left="3600" w:hanging="360"/>
      </w:pPr>
    </w:lvl>
    <w:lvl w:ilvl="5" w:tplc="49D8352C" w:tentative="1">
      <w:start w:val="1"/>
      <w:numFmt w:val="lowerLetter"/>
      <w:lvlText w:val="%6)"/>
      <w:lvlJc w:val="left"/>
      <w:pPr>
        <w:tabs>
          <w:tab w:val="num" w:pos="4320"/>
        </w:tabs>
        <w:ind w:left="4320" w:hanging="360"/>
      </w:pPr>
    </w:lvl>
    <w:lvl w:ilvl="6" w:tplc="469C2EC4" w:tentative="1">
      <w:start w:val="1"/>
      <w:numFmt w:val="lowerLetter"/>
      <w:lvlText w:val="%7)"/>
      <w:lvlJc w:val="left"/>
      <w:pPr>
        <w:tabs>
          <w:tab w:val="num" w:pos="5040"/>
        </w:tabs>
        <w:ind w:left="5040" w:hanging="360"/>
      </w:pPr>
    </w:lvl>
    <w:lvl w:ilvl="7" w:tplc="5FFA6D22" w:tentative="1">
      <w:start w:val="1"/>
      <w:numFmt w:val="lowerLetter"/>
      <w:lvlText w:val="%8)"/>
      <w:lvlJc w:val="left"/>
      <w:pPr>
        <w:tabs>
          <w:tab w:val="num" w:pos="5760"/>
        </w:tabs>
        <w:ind w:left="5760" w:hanging="360"/>
      </w:pPr>
    </w:lvl>
    <w:lvl w:ilvl="8" w:tplc="47840E5E" w:tentative="1">
      <w:start w:val="1"/>
      <w:numFmt w:val="lowerLetter"/>
      <w:lvlText w:val="%9)"/>
      <w:lvlJc w:val="left"/>
      <w:pPr>
        <w:tabs>
          <w:tab w:val="num" w:pos="6480"/>
        </w:tabs>
        <w:ind w:left="6480" w:hanging="360"/>
      </w:pPr>
    </w:lvl>
  </w:abstractNum>
  <w:abstractNum w:abstractNumId="2" w15:restartNumberingAfterBreak="0">
    <w:nsid w:val="356514B9"/>
    <w:multiLevelType w:val="hybridMultilevel"/>
    <w:tmpl w:val="678CDF2E"/>
    <w:numStyleLink w:val="NoteTaking"/>
  </w:abstractNum>
  <w:abstractNum w:abstractNumId="3" w15:restartNumberingAfterBreak="0">
    <w:nsid w:val="4F257BE2"/>
    <w:multiLevelType w:val="hybridMultilevel"/>
    <w:tmpl w:val="A2147FB0"/>
    <w:lvl w:ilvl="0" w:tplc="19900EAE">
      <w:start w:val="14"/>
      <w:numFmt w:val="bullet"/>
      <w:lvlText w:val=""/>
      <w:lvlJc w:val="left"/>
      <w:pPr>
        <w:ind w:left="720" w:hanging="360"/>
      </w:pPr>
      <w:rPr>
        <w:rFonts w:ascii="Symbol" w:eastAsiaTheme="minorHAnsi" w:hAnsi="Symbo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6A48164D"/>
    <w:multiLevelType w:val="hybridMultilevel"/>
    <w:tmpl w:val="94B43FBC"/>
    <w:lvl w:ilvl="0" w:tplc="8E6A204C">
      <w:start w:val="1"/>
      <w:numFmt w:val="bullet"/>
      <w:lvlText w:val="•"/>
      <w:lvlJc w:val="left"/>
      <w:pPr>
        <w:tabs>
          <w:tab w:val="num" w:pos="720"/>
        </w:tabs>
        <w:ind w:left="720" w:hanging="360"/>
      </w:pPr>
      <w:rPr>
        <w:rFonts w:ascii="Arial" w:hAnsi="Arial" w:hint="default"/>
      </w:rPr>
    </w:lvl>
    <w:lvl w:ilvl="1" w:tplc="889437A2" w:tentative="1">
      <w:start w:val="1"/>
      <w:numFmt w:val="bullet"/>
      <w:lvlText w:val="•"/>
      <w:lvlJc w:val="left"/>
      <w:pPr>
        <w:tabs>
          <w:tab w:val="num" w:pos="1440"/>
        </w:tabs>
        <w:ind w:left="1440" w:hanging="360"/>
      </w:pPr>
      <w:rPr>
        <w:rFonts w:ascii="Arial" w:hAnsi="Arial" w:hint="default"/>
      </w:rPr>
    </w:lvl>
    <w:lvl w:ilvl="2" w:tplc="CF78C5B6" w:tentative="1">
      <w:start w:val="1"/>
      <w:numFmt w:val="bullet"/>
      <w:lvlText w:val="•"/>
      <w:lvlJc w:val="left"/>
      <w:pPr>
        <w:tabs>
          <w:tab w:val="num" w:pos="2160"/>
        </w:tabs>
        <w:ind w:left="2160" w:hanging="360"/>
      </w:pPr>
      <w:rPr>
        <w:rFonts w:ascii="Arial" w:hAnsi="Arial" w:hint="default"/>
      </w:rPr>
    </w:lvl>
    <w:lvl w:ilvl="3" w:tplc="7CE6282E" w:tentative="1">
      <w:start w:val="1"/>
      <w:numFmt w:val="bullet"/>
      <w:lvlText w:val="•"/>
      <w:lvlJc w:val="left"/>
      <w:pPr>
        <w:tabs>
          <w:tab w:val="num" w:pos="2880"/>
        </w:tabs>
        <w:ind w:left="2880" w:hanging="360"/>
      </w:pPr>
      <w:rPr>
        <w:rFonts w:ascii="Arial" w:hAnsi="Arial" w:hint="default"/>
      </w:rPr>
    </w:lvl>
    <w:lvl w:ilvl="4" w:tplc="C1623DBA" w:tentative="1">
      <w:start w:val="1"/>
      <w:numFmt w:val="bullet"/>
      <w:lvlText w:val="•"/>
      <w:lvlJc w:val="left"/>
      <w:pPr>
        <w:tabs>
          <w:tab w:val="num" w:pos="3600"/>
        </w:tabs>
        <w:ind w:left="3600" w:hanging="360"/>
      </w:pPr>
      <w:rPr>
        <w:rFonts w:ascii="Arial" w:hAnsi="Arial" w:hint="default"/>
      </w:rPr>
    </w:lvl>
    <w:lvl w:ilvl="5" w:tplc="6BF63B4E" w:tentative="1">
      <w:start w:val="1"/>
      <w:numFmt w:val="bullet"/>
      <w:lvlText w:val="•"/>
      <w:lvlJc w:val="left"/>
      <w:pPr>
        <w:tabs>
          <w:tab w:val="num" w:pos="4320"/>
        </w:tabs>
        <w:ind w:left="4320" w:hanging="360"/>
      </w:pPr>
      <w:rPr>
        <w:rFonts w:ascii="Arial" w:hAnsi="Arial" w:hint="default"/>
      </w:rPr>
    </w:lvl>
    <w:lvl w:ilvl="6" w:tplc="68F612A6" w:tentative="1">
      <w:start w:val="1"/>
      <w:numFmt w:val="bullet"/>
      <w:lvlText w:val="•"/>
      <w:lvlJc w:val="left"/>
      <w:pPr>
        <w:tabs>
          <w:tab w:val="num" w:pos="5040"/>
        </w:tabs>
        <w:ind w:left="5040" w:hanging="360"/>
      </w:pPr>
      <w:rPr>
        <w:rFonts w:ascii="Arial" w:hAnsi="Arial" w:hint="default"/>
      </w:rPr>
    </w:lvl>
    <w:lvl w:ilvl="7" w:tplc="D8BAF85E" w:tentative="1">
      <w:start w:val="1"/>
      <w:numFmt w:val="bullet"/>
      <w:lvlText w:val="•"/>
      <w:lvlJc w:val="left"/>
      <w:pPr>
        <w:tabs>
          <w:tab w:val="num" w:pos="5760"/>
        </w:tabs>
        <w:ind w:left="5760" w:hanging="360"/>
      </w:pPr>
      <w:rPr>
        <w:rFonts w:ascii="Arial" w:hAnsi="Arial" w:hint="default"/>
      </w:rPr>
    </w:lvl>
    <w:lvl w:ilvl="8" w:tplc="F508FEB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725877F8"/>
    <w:multiLevelType w:val="hybridMultilevel"/>
    <w:tmpl w:val="678CDF2E"/>
    <w:styleLink w:val="NoteTaking"/>
    <w:lvl w:ilvl="0" w:tplc="AD5425C8">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left="240" w:hanging="240"/>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1" w:tplc="CB8AFD5A">
      <w:start w:val="1"/>
      <w:numFmt w:val="bullet"/>
      <w:lvlText w:val="⁃"/>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left="575" w:hanging="39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2" w:tplc="FA5E8812">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left="755" w:hanging="39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4"/>
        <w:sz w:val="29"/>
        <w:szCs w:val="29"/>
        <w:highlight w:val="none"/>
        <w:vertAlign w:val="baseline"/>
      </w:rPr>
    </w:lvl>
    <w:lvl w:ilvl="3" w:tplc="984AEFFA">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left="935" w:hanging="39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4" w:tplc="FAE256A8">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left="1115" w:hanging="39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4"/>
        <w:sz w:val="29"/>
        <w:szCs w:val="29"/>
        <w:highlight w:val="none"/>
        <w:vertAlign w:val="baseline"/>
      </w:rPr>
    </w:lvl>
    <w:lvl w:ilvl="5" w:tplc="E5A4883E">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left="1295" w:hanging="39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6" w:tplc="55F88D5E">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left="1475" w:hanging="39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4"/>
        <w:sz w:val="29"/>
        <w:szCs w:val="29"/>
        <w:highlight w:val="none"/>
        <w:vertAlign w:val="baseline"/>
      </w:rPr>
    </w:lvl>
    <w:lvl w:ilvl="7" w:tplc="C7E65B2C">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left="1655" w:hanging="39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8" w:tplc="114C1460">
      <w:start w:val="1"/>
      <w:numFmt w:val="bullet"/>
      <w:lvlText w:val="⁃"/>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left="1835" w:hanging="39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4"/>
        <w:sz w:val="29"/>
        <w:szCs w:val="29"/>
        <w:highlight w:val="none"/>
        <w:vertAlign w:val="baseline"/>
      </w:rPr>
    </w:lvl>
  </w:abstractNum>
  <w:abstractNum w:abstractNumId="6" w15:restartNumberingAfterBreak="0">
    <w:nsid w:val="7EB529A0"/>
    <w:multiLevelType w:val="hybridMultilevel"/>
    <w:tmpl w:val="192E43AC"/>
    <w:styleLink w:val="Numbered"/>
    <w:lvl w:ilvl="0" w:tplc="92CE8564">
      <w:start w:val="1"/>
      <w:numFmt w:val="decimal"/>
      <w:lvlText w:val="%1."/>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left="395" w:hanging="39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E7761F5E">
      <w:start w:val="1"/>
      <w:numFmt w:val="decimal"/>
      <w:lvlText w:val="%2."/>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left="575" w:hanging="39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C39E1BEC">
      <w:start w:val="1"/>
      <w:numFmt w:val="decimal"/>
      <w:lvlText w:val="%3."/>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left="755" w:hanging="39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B546D240">
      <w:start w:val="1"/>
      <w:numFmt w:val="decimal"/>
      <w:lvlText w:val="%4."/>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left="935" w:hanging="39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8E68C34A">
      <w:start w:val="1"/>
      <w:numFmt w:val="decimal"/>
      <w:lvlText w:val="%5."/>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left="1115" w:hanging="39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95709104">
      <w:start w:val="1"/>
      <w:numFmt w:val="decimal"/>
      <w:lvlText w:val="%6."/>
      <w:lvlJc w:val="left"/>
      <w:pPr>
        <w:tabs>
          <w:tab w:val="left" w:pos="56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left="1295" w:hanging="39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E8DA8578">
      <w:start w:val="1"/>
      <w:numFmt w:val="decimal"/>
      <w:lvlText w:val="%7."/>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left="1475" w:hanging="39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BF780DCA">
      <w:start w:val="1"/>
      <w:numFmt w:val="decimal"/>
      <w:lvlText w:val="%8."/>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left="1655" w:hanging="39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7750D26E">
      <w:start w:val="1"/>
      <w:numFmt w:val="decimal"/>
      <w:lvlText w:val="%9."/>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left="1835" w:hanging="39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1872956181">
    <w:abstractNumId w:val="1"/>
  </w:num>
  <w:num w:numId="2" w16cid:durableId="2057661891">
    <w:abstractNumId w:val="6"/>
  </w:num>
  <w:num w:numId="3" w16cid:durableId="600918575">
    <w:abstractNumId w:val="5"/>
  </w:num>
  <w:num w:numId="4" w16cid:durableId="1793935104">
    <w:abstractNumId w:val="2"/>
  </w:num>
  <w:num w:numId="5" w16cid:durableId="431778788">
    <w:abstractNumId w:val="0"/>
    <w:lvlOverride w:ilvl="0">
      <w:startOverride w:val="3"/>
    </w:lvlOverride>
  </w:num>
  <w:num w:numId="6" w16cid:durableId="1436443543">
    <w:abstractNumId w:val="0"/>
  </w:num>
  <w:num w:numId="7" w16cid:durableId="1103845084">
    <w:abstractNumId w:val="4"/>
  </w:num>
  <w:num w:numId="8" w16cid:durableId="8247109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D792E"/>
    <w:rsid w:val="00053973"/>
    <w:rsid w:val="00133413"/>
    <w:rsid w:val="00157D0F"/>
    <w:rsid w:val="001B3C00"/>
    <w:rsid w:val="0022591D"/>
    <w:rsid w:val="002D792E"/>
    <w:rsid w:val="004931CF"/>
    <w:rsid w:val="004A4D2D"/>
    <w:rsid w:val="004F47E8"/>
    <w:rsid w:val="00501304"/>
    <w:rsid w:val="00512F85"/>
    <w:rsid w:val="00524F45"/>
    <w:rsid w:val="005A61D2"/>
    <w:rsid w:val="005C685B"/>
    <w:rsid w:val="005D371E"/>
    <w:rsid w:val="00601432"/>
    <w:rsid w:val="006949D4"/>
    <w:rsid w:val="006F70BB"/>
    <w:rsid w:val="00710786"/>
    <w:rsid w:val="007D6657"/>
    <w:rsid w:val="00843C03"/>
    <w:rsid w:val="00897F34"/>
    <w:rsid w:val="008B1AD1"/>
    <w:rsid w:val="008C1465"/>
    <w:rsid w:val="0096394C"/>
    <w:rsid w:val="00977189"/>
    <w:rsid w:val="00A30D2F"/>
    <w:rsid w:val="00AD61B7"/>
    <w:rsid w:val="00AE1610"/>
    <w:rsid w:val="00B0012E"/>
    <w:rsid w:val="00B019B9"/>
    <w:rsid w:val="00B075F3"/>
    <w:rsid w:val="00CA1E56"/>
    <w:rsid w:val="00CE3DEB"/>
    <w:rsid w:val="00CF6009"/>
    <w:rsid w:val="00D06A0A"/>
    <w:rsid w:val="00D56872"/>
    <w:rsid w:val="00DA262F"/>
    <w:rsid w:val="00DB0F7D"/>
    <w:rsid w:val="00DC5437"/>
    <w:rsid w:val="00E16255"/>
    <w:rsid w:val="00E71C37"/>
    <w:rsid w:val="00ED2635"/>
    <w:rsid w:val="00F14154"/>
    <w:rsid w:val="00F57B2F"/>
    <w:rsid w:val="00F62ECE"/>
    <w:rsid w:val="00FD46E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074DA"/>
  <w15:docId w15:val="{EF2A459D-E075-45C8-86CA-0DC6D3842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7D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019B9"/>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val="en-US" w:eastAsia="en-IN"/>
    </w:rPr>
  </w:style>
  <w:style w:type="numbering" w:customStyle="1" w:styleId="Numbered">
    <w:name w:val="Numbered"/>
    <w:rsid w:val="00B019B9"/>
    <w:pPr>
      <w:numPr>
        <w:numId w:val="2"/>
      </w:numPr>
    </w:pPr>
  </w:style>
  <w:style w:type="numbering" w:customStyle="1" w:styleId="NoteTaking">
    <w:name w:val="Note Taking"/>
    <w:rsid w:val="00B019B9"/>
    <w:pPr>
      <w:numPr>
        <w:numId w:val="3"/>
      </w:numPr>
    </w:pPr>
  </w:style>
  <w:style w:type="character" w:customStyle="1" w:styleId="s1">
    <w:name w:val="s1"/>
    <w:basedOn w:val="DefaultParagraphFont"/>
    <w:rsid w:val="005D371E"/>
    <w:rPr>
      <w:rFonts w:ascii=".SFUI-Regular" w:hAnsi=".SFUI-Regular" w:hint="default"/>
      <w:b w:val="0"/>
      <w:bCs w:val="0"/>
      <w:i w:val="0"/>
      <w:iCs w:val="0"/>
      <w:sz w:val="29"/>
      <w:szCs w:val="29"/>
    </w:rPr>
  </w:style>
  <w:style w:type="table" w:styleId="TableGrid">
    <w:name w:val="Table Grid"/>
    <w:basedOn w:val="TableNormal"/>
    <w:uiPriority w:val="39"/>
    <w:rsid w:val="00B001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26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8993116">
      <w:bodyDiv w:val="1"/>
      <w:marLeft w:val="0"/>
      <w:marRight w:val="0"/>
      <w:marTop w:val="0"/>
      <w:marBottom w:val="0"/>
      <w:divBdr>
        <w:top w:val="none" w:sz="0" w:space="0" w:color="auto"/>
        <w:left w:val="none" w:sz="0" w:space="0" w:color="auto"/>
        <w:bottom w:val="none" w:sz="0" w:space="0" w:color="auto"/>
        <w:right w:val="none" w:sz="0" w:space="0" w:color="auto"/>
      </w:divBdr>
      <w:divsChild>
        <w:div w:id="1242835582">
          <w:marLeft w:val="288"/>
          <w:marRight w:val="0"/>
          <w:marTop w:val="162"/>
          <w:marBottom w:val="0"/>
          <w:divBdr>
            <w:top w:val="none" w:sz="0" w:space="0" w:color="auto"/>
            <w:left w:val="none" w:sz="0" w:space="0" w:color="auto"/>
            <w:bottom w:val="none" w:sz="0" w:space="0" w:color="auto"/>
            <w:right w:val="none" w:sz="0" w:space="0" w:color="auto"/>
          </w:divBdr>
        </w:div>
      </w:divsChild>
    </w:div>
    <w:div w:id="1278027081">
      <w:bodyDiv w:val="1"/>
      <w:marLeft w:val="0"/>
      <w:marRight w:val="0"/>
      <w:marTop w:val="0"/>
      <w:marBottom w:val="0"/>
      <w:divBdr>
        <w:top w:val="none" w:sz="0" w:space="0" w:color="auto"/>
        <w:left w:val="none" w:sz="0" w:space="0" w:color="auto"/>
        <w:bottom w:val="none" w:sz="0" w:space="0" w:color="auto"/>
        <w:right w:val="none" w:sz="0" w:space="0" w:color="auto"/>
      </w:divBdr>
      <w:divsChild>
        <w:div w:id="1371027589">
          <w:marLeft w:val="1310"/>
          <w:marRight w:val="0"/>
          <w:marTop w:val="81"/>
          <w:marBottom w:val="0"/>
          <w:divBdr>
            <w:top w:val="none" w:sz="0" w:space="0" w:color="auto"/>
            <w:left w:val="none" w:sz="0" w:space="0" w:color="auto"/>
            <w:bottom w:val="none" w:sz="0" w:space="0" w:color="auto"/>
            <w:right w:val="none" w:sz="0" w:space="0" w:color="auto"/>
          </w:divBdr>
        </w:div>
        <w:div w:id="2105615200">
          <w:marLeft w:val="1310"/>
          <w:marRight w:val="0"/>
          <w:marTop w:val="81"/>
          <w:marBottom w:val="0"/>
          <w:divBdr>
            <w:top w:val="none" w:sz="0" w:space="0" w:color="auto"/>
            <w:left w:val="none" w:sz="0" w:space="0" w:color="auto"/>
            <w:bottom w:val="none" w:sz="0" w:space="0" w:color="auto"/>
            <w:right w:val="none" w:sz="0" w:space="0" w:color="auto"/>
          </w:divBdr>
        </w:div>
        <w:div w:id="169756374">
          <w:marLeft w:val="1310"/>
          <w:marRight w:val="0"/>
          <w:marTop w:val="81"/>
          <w:marBottom w:val="0"/>
          <w:divBdr>
            <w:top w:val="none" w:sz="0" w:space="0" w:color="auto"/>
            <w:left w:val="none" w:sz="0" w:space="0" w:color="auto"/>
            <w:bottom w:val="none" w:sz="0" w:space="0" w:color="auto"/>
            <w:right w:val="none" w:sz="0" w:space="0" w:color="auto"/>
          </w:divBdr>
        </w:div>
        <w:div w:id="370152581">
          <w:marLeft w:val="1310"/>
          <w:marRight w:val="0"/>
          <w:marTop w:val="81"/>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3</Pages>
  <Words>863</Words>
  <Characters>4920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Suresh Kumar R</dc:creator>
  <cp:lastModifiedBy>Suresh Kumar R</cp:lastModifiedBy>
  <cp:revision>7</cp:revision>
  <cp:lastPrinted>2022-05-31T10:51:00Z</cp:lastPrinted>
  <dcterms:created xsi:type="dcterms:W3CDTF">2022-05-31T12:05:00Z</dcterms:created>
  <dcterms:modified xsi:type="dcterms:W3CDTF">2022-05-31T12:12:00Z</dcterms:modified>
</cp:coreProperties>
</file>