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206" w:rsidRPr="005C6FC8" w:rsidRDefault="00E11206" w:rsidP="00E11206">
      <w:pPr>
        <w:jc w:val="center"/>
        <w:rPr>
          <w:rFonts w:ascii="Arial" w:hAnsi="Arial" w:cs="Arial"/>
          <w:b/>
        </w:rPr>
      </w:pPr>
      <w:r w:rsidRPr="005C6FC8">
        <w:rPr>
          <w:rFonts w:ascii="Arial" w:hAnsi="Arial" w:cs="Arial"/>
          <w:b/>
          <w:sz w:val="20"/>
          <w:szCs w:val="20"/>
        </w:rPr>
        <w:t xml:space="preserve">REPORT FORMAT: </w:t>
      </w:r>
      <w:r w:rsidRPr="005C6FC8">
        <w:rPr>
          <w:rFonts w:ascii="Arial" w:hAnsi="Arial" w:cs="Arial"/>
          <w:sz w:val="20"/>
          <w:szCs w:val="20"/>
        </w:rPr>
        <w:t>V-L5 | Version: 4.2_2017</w:t>
      </w:r>
    </w:p>
    <w:p w:rsidR="00E11206" w:rsidRDefault="00E11206" w:rsidP="00E11206">
      <w:pPr>
        <w:rPr>
          <w:rFonts w:ascii="Arial" w:hAnsi="Arial" w:cs="Arial"/>
          <w:b/>
        </w:rPr>
      </w:pPr>
      <w:r w:rsidRPr="005C6FC8">
        <w:rPr>
          <w:rFonts w:ascii="Arial" w:hAnsi="Arial" w:cs="Arial"/>
          <w:b/>
        </w:rPr>
        <w:tab/>
      </w:r>
      <w:r w:rsidRPr="005C6FC8">
        <w:rPr>
          <w:rFonts w:ascii="Arial" w:hAnsi="Arial" w:cs="Arial"/>
          <w:b/>
        </w:rPr>
        <w:tab/>
      </w:r>
    </w:p>
    <w:p w:rsidR="00383743" w:rsidRPr="005C6FC8" w:rsidRDefault="00383743" w:rsidP="00E11206">
      <w:pPr>
        <w:rPr>
          <w:rFonts w:ascii="Arial" w:hAnsi="Arial" w:cs="Arial"/>
          <w:b/>
        </w:rPr>
      </w:pPr>
    </w:p>
    <w:p w:rsidR="00E11206" w:rsidRPr="005C6FC8" w:rsidRDefault="006701D9" w:rsidP="00E11206">
      <w:pPr>
        <w:spacing w:line="360" w:lineRule="auto"/>
        <w:rPr>
          <w:b/>
        </w:rPr>
      </w:pPr>
      <w:r>
        <w:rPr>
          <w:rFonts w:ascii="Arial" w:hAnsi="Arial" w:cs="Arial"/>
          <w:b/>
        </w:rPr>
        <w:t xml:space="preserve">File No.: </w:t>
      </w:r>
      <w:r w:rsidR="00CB11A6">
        <w:rPr>
          <w:rFonts w:ascii="Arial" w:hAnsi="Arial" w:cs="Arial"/>
          <w:b/>
        </w:rPr>
        <w:t>VIS (2022-23)-PL138-Q025-115</w:t>
      </w:r>
      <w:r w:rsidR="00E11206" w:rsidRPr="005C6FC8">
        <w:rPr>
          <w:rFonts w:ascii="Arial" w:hAnsi="Arial" w:cs="Arial"/>
          <w:b/>
        </w:rPr>
        <w:t xml:space="preserve">         </w:t>
      </w:r>
      <w:r>
        <w:rPr>
          <w:rFonts w:ascii="Arial" w:hAnsi="Arial" w:cs="Arial"/>
          <w:b/>
        </w:rPr>
        <w:t xml:space="preserve"> </w:t>
      </w:r>
      <w:r>
        <w:rPr>
          <w:rFonts w:ascii="Arial" w:hAnsi="Arial" w:cs="Arial"/>
          <w:b/>
        </w:rPr>
        <w:tab/>
        <w:t xml:space="preserve">                     </w:t>
      </w:r>
      <w:r w:rsidR="00E11206" w:rsidRPr="005C6FC8">
        <w:rPr>
          <w:rFonts w:ascii="Arial" w:hAnsi="Arial" w:cs="Arial"/>
          <w:b/>
        </w:rPr>
        <w:t xml:space="preserve">Dated: </w:t>
      </w:r>
      <w:sdt>
        <w:sdtPr>
          <w:rPr>
            <w:rFonts w:ascii="Arial" w:hAnsi="Arial" w:cs="Arial"/>
            <w:b/>
          </w:rPr>
          <w:id w:val="2011871766"/>
          <w:placeholder>
            <w:docPart w:val="35136785C9ED4DD5A88C47EE69E3505C"/>
          </w:placeholder>
          <w:date w:fullDate="2022-06-21T00:00:00Z">
            <w:dateFormat w:val="dd.MM.yyyy"/>
            <w:lid w:val="en-IN"/>
            <w:storeMappedDataAs w:val="dateTime"/>
            <w:calendar w:val="gregorian"/>
          </w:date>
        </w:sdtPr>
        <w:sdtEndPr/>
        <w:sdtContent>
          <w:r w:rsidR="00CB11A6">
            <w:rPr>
              <w:rFonts w:ascii="Arial" w:hAnsi="Arial" w:cs="Arial"/>
              <w:b/>
              <w:lang w:val="en-IN"/>
            </w:rPr>
            <w:t>21.06.2022</w:t>
          </w:r>
        </w:sdtContent>
      </w:sdt>
    </w:p>
    <w:p w:rsidR="006701D9" w:rsidRDefault="006701D9" w:rsidP="00E11206">
      <w:pPr>
        <w:jc w:val="center"/>
        <w:rPr>
          <w:rFonts w:ascii="Arial" w:hAnsi="Arial" w:cs="Arial"/>
          <w:b/>
          <w:sz w:val="48"/>
        </w:rPr>
      </w:pPr>
    </w:p>
    <w:p w:rsidR="00383743" w:rsidRDefault="00383743" w:rsidP="00E11206">
      <w:pPr>
        <w:jc w:val="center"/>
        <w:rPr>
          <w:rFonts w:ascii="Arial" w:hAnsi="Arial" w:cs="Arial"/>
          <w:b/>
          <w:sz w:val="48"/>
        </w:rPr>
      </w:pPr>
    </w:p>
    <w:p w:rsidR="00E11206" w:rsidRPr="005C6FC8" w:rsidRDefault="00383743" w:rsidP="00E11206">
      <w:pPr>
        <w:jc w:val="center"/>
        <w:rPr>
          <w:rFonts w:ascii="Arial" w:hAnsi="Arial" w:cs="Arial"/>
          <w:b/>
        </w:rPr>
      </w:pPr>
      <w:r>
        <w:rPr>
          <w:rFonts w:ascii="Arial" w:hAnsi="Arial" w:cs="Arial"/>
          <w:b/>
          <w:sz w:val="48"/>
        </w:rPr>
        <w:t>EQUITY</w:t>
      </w:r>
      <w:r w:rsidR="00CB11A6">
        <w:rPr>
          <w:rFonts w:ascii="Arial" w:hAnsi="Arial" w:cs="Arial"/>
          <w:b/>
          <w:sz w:val="48"/>
        </w:rPr>
        <w:t xml:space="preserve"> SHARE</w:t>
      </w:r>
      <w:r w:rsidR="00E11206" w:rsidRPr="005C6FC8">
        <w:rPr>
          <w:rFonts w:ascii="Arial" w:hAnsi="Arial" w:cs="Arial"/>
          <w:b/>
          <w:sz w:val="48"/>
        </w:rPr>
        <w:t xml:space="preserve"> VALUATION REPORT</w:t>
      </w:r>
    </w:p>
    <w:p w:rsidR="00E11206" w:rsidRPr="005C6FC8" w:rsidRDefault="00E11206" w:rsidP="00E11206">
      <w:pPr>
        <w:jc w:val="center"/>
        <w:outlineLvl w:val="0"/>
        <w:rPr>
          <w:rFonts w:ascii="Arial" w:hAnsi="Arial" w:cs="Arial"/>
          <w:b/>
        </w:rPr>
      </w:pPr>
      <w:r w:rsidRPr="005C6FC8">
        <w:rPr>
          <w:rFonts w:ascii="Arial" w:hAnsi="Arial" w:cs="Arial"/>
          <w:b/>
        </w:rPr>
        <w:t>OF</w:t>
      </w:r>
    </w:p>
    <w:p w:rsidR="007E6C09" w:rsidRDefault="00383743" w:rsidP="00CB11A6">
      <w:pPr>
        <w:spacing w:after="0" w:line="360" w:lineRule="auto"/>
        <w:jc w:val="center"/>
        <w:outlineLvl w:val="0"/>
        <w:rPr>
          <w:rFonts w:ascii="Arial" w:hAnsi="Arial" w:cs="Arial"/>
          <w:b/>
          <w:sz w:val="36"/>
        </w:rPr>
      </w:pPr>
      <w:r>
        <w:rPr>
          <w:rFonts w:ascii="Arial" w:hAnsi="Arial" w:cs="Arial"/>
          <w:b/>
          <w:sz w:val="36"/>
        </w:rPr>
        <w:t xml:space="preserve">M/S </w:t>
      </w:r>
      <w:r w:rsidRPr="00383743">
        <w:rPr>
          <w:rFonts w:ascii="Arial" w:hAnsi="Arial" w:cs="Arial"/>
          <w:b/>
          <w:sz w:val="36"/>
        </w:rPr>
        <w:t>GMR WARORA ENERGY LIMITED</w:t>
      </w:r>
    </w:p>
    <w:p w:rsidR="00CB11A6" w:rsidRPr="00B30AA8" w:rsidRDefault="00CB11A6" w:rsidP="00CB11A6">
      <w:pPr>
        <w:spacing w:after="0" w:line="360" w:lineRule="auto"/>
        <w:jc w:val="center"/>
        <w:outlineLvl w:val="0"/>
        <w:rPr>
          <w:rFonts w:ascii="Arial" w:hAnsi="Arial" w:cs="Arial"/>
          <w:b/>
          <w:sz w:val="36"/>
        </w:rPr>
      </w:pPr>
    </w:p>
    <w:p w:rsidR="00E11206" w:rsidRPr="005C6FC8" w:rsidRDefault="00E11206" w:rsidP="00E11206">
      <w:pPr>
        <w:spacing w:line="360" w:lineRule="auto"/>
        <w:jc w:val="center"/>
        <w:outlineLvl w:val="0"/>
        <w:rPr>
          <w:rFonts w:ascii="Arial" w:hAnsi="Arial" w:cs="Arial"/>
          <w:b/>
        </w:rPr>
      </w:pPr>
      <w:r w:rsidRPr="005C6FC8">
        <w:rPr>
          <w:rFonts w:ascii="Arial" w:hAnsi="Arial" w:cs="Arial"/>
          <w:b/>
        </w:rPr>
        <w:t>SITUATED AT</w:t>
      </w:r>
    </w:p>
    <w:sdt>
      <w:sdtPr>
        <w:rPr>
          <w:rFonts w:ascii="Arial" w:hAnsi="Arial" w:cs="Arial"/>
          <w:b/>
          <w:highlight w:val="yellow"/>
        </w:rPr>
        <w:id w:val="790939258"/>
        <w:placeholder>
          <w:docPart w:val="82A18854B7AC4A92ACABE308475A54B8"/>
        </w:placeholder>
        <w:docPartList>
          <w:docPartGallery w:val="Quick Parts"/>
        </w:docPartList>
      </w:sdtPr>
      <w:sdtEndPr/>
      <w:sdtContent>
        <w:sdt>
          <w:sdtPr>
            <w:rPr>
              <w:rFonts w:ascii="Arial" w:hAnsi="Arial" w:cs="Arial"/>
              <w:b/>
            </w:rPr>
            <w:id w:val="697897886"/>
            <w:placeholder>
              <w:docPart w:val="9E0092C537CF4EAD9D9580E941FBCDED"/>
            </w:placeholder>
            <w:docPartList>
              <w:docPartGallery w:val="Quick Parts"/>
            </w:docPartList>
          </w:sdtPr>
          <w:sdtEndPr/>
          <w:sdtContent>
            <w:p w:rsidR="00E11206" w:rsidRPr="00383743" w:rsidRDefault="00CB11A6" w:rsidP="00383743">
              <w:pPr>
                <w:spacing w:line="360" w:lineRule="auto"/>
                <w:jc w:val="center"/>
                <w:rPr>
                  <w:rFonts w:ascii="Arial" w:hAnsi="Arial" w:cs="Arial"/>
                  <w:b/>
                  <w:sz w:val="28"/>
                </w:rPr>
              </w:pPr>
              <w:r w:rsidRPr="00CB11A6">
                <w:rPr>
                  <w:rFonts w:ascii="Arial" w:hAnsi="Arial" w:cs="Arial"/>
                  <w:b/>
                  <w:sz w:val="28"/>
                </w:rPr>
                <w:t xml:space="preserve">701/704, 7TH FLOOR, NAMAN CENTRE, A </w:t>
              </w:r>
              <w:r>
                <w:rPr>
                  <w:rFonts w:ascii="Arial" w:hAnsi="Arial" w:cs="Arial"/>
                  <w:b/>
                  <w:sz w:val="28"/>
                </w:rPr>
                <w:t>WING, BKC, BANDRA, MUMBAI – 400</w:t>
              </w:r>
              <w:r w:rsidRPr="00CB11A6">
                <w:rPr>
                  <w:rFonts w:ascii="Arial" w:hAnsi="Arial" w:cs="Arial"/>
                  <w:b/>
                  <w:sz w:val="28"/>
                </w:rPr>
                <w:t>051</w:t>
              </w:r>
            </w:p>
          </w:sdtContent>
        </w:sdt>
      </w:sdtContent>
    </w:sdt>
    <w:p w:rsidR="000154E5" w:rsidRDefault="000154E5" w:rsidP="00BA3E00">
      <w:pPr>
        <w:tabs>
          <w:tab w:val="left" w:pos="8190"/>
        </w:tabs>
        <w:spacing w:line="360" w:lineRule="auto"/>
        <w:jc w:val="center"/>
        <w:outlineLvl w:val="0"/>
        <w:rPr>
          <w:rFonts w:ascii="Arial" w:hAnsi="Arial" w:cs="Arial"/>
          <w:b/>
        </w:rPr>
      </w:pPr>
    </w:p>
    <w:p w:rsidR="00E11206" w:rsidRPr="00383743" w:rsidRDefault="00E11206" w:rsidP="00BA3E00">
      <w:pPr>
        <w:tabs>
          <w:tab w:val="left" w:pos="8190"/>
        </w:tabs>
        <w:spacing w:line="360" w:lineRule="auto"/>
        <w:jc w:val="center"/>
        <w:outlineLvl w:val="0"/>
        <w:rPr>
          <w:rFonts w:ascii="Arial" w:hAnsi="Arial" w:cs="Arial"/>
          <w:b/>
          <w:sz w:val="28"/>
        </w:rPr>
      </w:pPr>
      <w:r w:rsidRPr="00383743">
        <w:rPr>
          <w:rFonts w:ascii="Arial" w:hAnsi="Arial" w:cs="Arial"/>
          <w:b/>
          <w:sz w:val="28"/>
        </w:rPr>
        <w:t>REPORT PREPARED FOR</w:t>
      </w:r>
    </w:p>
    <w:p w:rsidR="005C6FC8" w:rsidRPr="00383743" w:rsidRDefault="00892591" w:rsidP="005C6FC8">
      <w:pPr>
        <w:spacing w:line="360" w:lineRule="auto"/>
        <w:jc w:val="center"/>
        <w:rPr>
          <w:rFonts w:ascii="Arial" w:hAnsi="Arial" w:cs="Arial"/>
          <w:b/>
          <w:sz w:val="32"/>
        </w:rPr>
      </w:pPr>
      <w:r w:rsidRPr="00383743">
        <w:rPr>
          <w:rFonts w:ascii="Arial" w:hAnsi="Arial" w:cs="Arial"/>
          <w:b/>
          <w:sz w:val="32"/>
        </w:rPr>
        <w:t>M/S GMR WARORA ENERGY LIMITED</w:t>
      </w:r>
    </w:p>
    <w:p w:rsidR="006701D9" w:rsidRDefault="006701D9" w:rsidP="005C6FC8">
      <w:pPr>
        <w:spacing w:line="360" w:lineRule="auto"/>
        <w:jc w:val="center"/>
        <w:rPr>
          <w:rFonts w:ascii="Arial" w:hAnsi="Arial" w:cs="Arial"/>
          <w:b/>
        </w:rPr>
      </w:pPr>
    </w:p>
    <w:p w:rsidR="00383743" w:rsidRDefault="00383743" w:rsidP="005C6FC8">
      <w:pPr>
        <w:spacing w:line="360" w:lineRule="auto"/>
        <w:jc w:val="center"/>
        <w:rPr>
          <w:rFonts w:ascii="Arial" w:hAnsi="Arial" w:cs="Arial"/>
          <w:b/>
        </w:rPr>
      </w:pPr>
    </w:p>
    <w:p w:rsidR="006701D9" w:rsidRDefault="006701D9" w:rsidP="005C6FC8">
      <w:pPr>
        <w:spacing w:line="360" w:lineRule="auto"/>
        <w:jc w:val="center"/>
        <w:rPr>
          <w:rFonts w:ascii="Arial" w:hAnsi="Arial" w:cs="Arial"/>
          <w:b/>
        </w:rPr>
      </w:pPr>
    </w:p>
    <w:p w:rsidR="00E11206" w:rsidRPr="005C6FC8" w:rsidRDefault="00E11206" w:rsidP="00B30AA8">
      <w:pPr>
        <w:spacing w:after="0" w:line="360" w:lineRule="auto"/>
        <w:jc w:val="center"/>
        <w:rPr>
          <w:rFonts w:ascii="Arial" w:hAnsi="Arial" w:cs="Arial"/>
          <w:b/>
          <w:i/>
          <w:sz w:val="20"/>
          <w:szCs w:val="16"/>
        </w:rPr>
      </w:pPr>
      <w:r w:rsidRPr="005C6FC8">
        <w:rPr>
          <w:rFonts w:ascii="Arial" w:hAnsi="Arial" w:cs="Arial"/>
          <w:b/>
          <w:i/>
          <w:sz w:val="20"/>
          <w:szCs w:val="16"/>
        </w:rPr>
        <w:t>**Important - In case of any query/ issue or escalation you may please contact Incident Manager</w:t>
      </w:r>
    </w:p>
    <w:p w:rsidR="00E11206" w:rsidRDefault="00E11206" w:rsidP="00B30AA8">
      <w:pPr>
        <w:spacing w:after="0" w:line="480" w:lineRule="auto"/>
        <w:jc w:val="center"/>
        <w:rPr>
          <w:rFonts w:ascii="Arial" w:hAnsi="Arial" w:cs="Arial"/>
          <w:b/>
          <w:i/>
          <w:sz w:val="20"/>
          <w:szCs w:val="16"/>
        </w:rPr>
      </w:pPr>
      <w:r w:rsidRPr="005C6FC8">
        <w:rPr>
          <w:rFonts w:ascii="Arial" w:hAnsi="Arial" w:cs="Arial"/>
          <w:b/>
          <w:i/>
          <w:sz w:val="20"/>
          <w:szCs w:val="16"/>
        </w:rPr>
        <w:t xml:space="preserve"> at valuers@rkassociates.org. We will appreciate your feedback in order to improve our services.</w:t>
      </w:r>
    </w:p>
    <w:p w:rsidR="006701D9" w:rsidRDefault="006701D9" w:rsidP="00B30AA8">
      <w:pPr>
        <w:spacing w:after="0" w:line="480" w:lineRule="auto"/>
        <w:jc w:val="center"/>
        <w:rPr>
          <w:rFonts w:ascii="Arial" w:hAnsi="Arial" w:cs="Arial"/>
          <w:b/>
          <w:i/>
          <w:sz w:val="20"/>
          <w:szCs w:val="16"/>
        </w:rPr>
      </w:pPr>
    </w:p>
    <w:p w:rsidR="00383743" w:rsidRPr="005C6FC8" w:rsidRDefault="00383743" w:rsidP="00B30AA8">
      <w:pPr>
        <w:spacing w:after="0" w:line="480" w:lineRule="auto"/>
        <w:jc w:val="center"/>
        <w:rPr>
          <w:rFonts w:ascii="Arial" w:hAnsi="Arial" w:cs="Arial"/>
          <w:b/>
          <w:i/>
          <w:sz w:val="20"/>
          <w:szCs w:val="16"/>
        </w:rPr>
      </w:pPr>
    </w:p>
    <w:p w:rsidR="00E11206" w:rsidRPr="005C6FC8" w:rsidRDefault="00E11206" w:rsidP="00B30AA8">
      <w:pPr>
        <w:spacing w:after="0" w:line="360" w:lineRule="auto"/>
        <w:jc w:val="center"/>
        <w:rPr>
          <w:rFonts w:ascii="Arial" w:hAnsi="Arial" w:cs="Arial"/>
          <w:b/>
          <w:i/>
          <w:sz w:val="20"/>
          <w:szCs w:val="16"/>
        </w:rPr>
      </w:pPr>
      <w:r w:rsidRPr="005C6FC8">
        <w:rPr>
          <w:rFonts w:ascii="Arial" w:hAnsi="Arial" w:cs="Arial"/>
          <w:b/>
          <w:i/>
          <w:sz w:val="20"/>
          <w:szCs w:val="16"/>
        </w:rPr>
        <w:t>NOTE: As per IBA Guidelines please provide your feedback on the report within 15 days of its submission after which report will be considered to be correct.</w:t>
      </w:r>
    </w:p>
    <w:p w:rsidR="00E11206" w:rsidRPr="005C6FC8" w:rsidRDefault="00E11206" w:rsidP="00E11206">
      <w:pPr>
        <w:tabs>
          <w:tab w:val="left" w:pos="360"/>
        </w:tabs>
        <w:spacing w:line="360" w:lineRule="auto"/>
        <w:jc w:val="center"/>
        <w:rPr>
          <w:rFonts w:ascii="Arial" w:hAnsi="Arial" w:cs="Arial"/>
          <w:b/>
          <w:sz w:val="22"/>
          <w:szCs w:val="22"/>
          <w:highlight w:val="yellow"/>
          <w:u w:val="single"/>
        </w:rPr>
        <w:sectPr w:rsidR="00E11206" w:rsidRPr="005C6FC8" w:rsidSect="00545B91">
          <w:headerReference w:type="default" r:id="rId8"/>
          <w:footerReference w:type="even" r:id="rId9"/>
          <w:footerReference w:type="default" r:id="rId10"/>
          <w:footerReference w:type="first" r:id="rId11"/>
          <w:pgSz w:w="11909" w:h="16834"/>
          <w:pgMar w:top="1440" w:right="994" w:bottom="1560" w:left="1260" w:header="576" w:footer="720" w:gutter="0"/>
          <w:pgNumType w:start="1"/>
          <w:cols w:space="720"/>
          <w:titlePg/>
          <w:docGrid w:linePitch="360"/>
        </w:sectPr>
      </w:pPr>
    </w:p>
    <w:p w:rsidR="00456A66" w:rsidRDefault="00456A66" w:rsidP="00456A66">
      <w:pPr>
        <w:tabs>
          <w:tab w:val="left" w:pos="360"/>
        </w:tabs>
        <w:spacing w:line="360" w:lineRule="auto"/>
        <w:jc w:val="center"/>
        <w:rPr>
          <w:rFonts w:ascii="Arial" w:eastAsia="Arial" w:hAnsi="Arial" w:cs="Arial"/>
          <w:b/>
          <w:sz w:val="22"/>
          <w:szCs w:val="22"/>
          <w:u w:val="single"/>
        </w:rPr>
      </w:pPr>
      <w:r>
        <w:rPr>
          <w:rFonts w:ascii="Arial" w:eastAsia="Arial" w:hAnsi="Arial" w:cs="Arial"/>
          <w:b/>
          <w:sz w:val="22"/>
          <w:szCs w:val="22"/>
          <w:u w:val="single"/>
        </w:rPr>
        <w:lastRenderedPageBreak/>
        <w:t>IMPORTANT NOTICE</w:t>
      </w:r>
    </w:p>
    <w:p w:rsidR="00456A66" w:rsidRDefault="00456A66" w:rsidP="00456A66">
      <w:pPr>
        <w:tabs>
          <w:tab w:val="left" w:pos="360"/>
        </w:tabs>
        <w:spacing w:line="360" w:lineRule="auto"/>
        <w:jc w:val="center"/>
        <w:rPr>
          <w:rFonts w:ascii="Arial" w:eastAsia="Arial" w:hAnsi="Arial" w:cs="Arial"/>
          <w:b/>
          <w:sz w:val="22"/>
          <w:szCs w:val="22"/>
          <w:u w:val="single"/>
        </w:rPr>
      </w:pPr>
    </w:p>
    <w:p w:rsidR="00456A66" w:rsidRDefault="00456A66" w:rsidP="00456A66">
      <w:pPr>
        <w:tabs>
          <w:tab w:val="left" w:pos="360"/>
        </w:tabs>
        <w:spacing w:line="360" w:lineRule="auto"/>
        <w:jc w:val="center"/>
        <w:rPr>
          <w:rFonts w:ascii="Arial" w:eastAsia="Arial" w:hAnsi="Arial" w:cs="Arial"/>
          <w:i/>
          <w:sz w:val="22"/>
          <w:szCs w:val="22"/>
        </w:rPr>
      </w:pPr>
      <w:r>
        <w:rPr>
          <w:rFonts w:ascii="Arial" w:eastAsia="Arial" w:hAnsi="Arial" w:cs="Arial"/>
          <w:b/>
          <w:i/>
          <w:sz w:val="22"/>
          <w:szCs w:val="22"/>
          <w:u w:val="single"/>
        </w:rPr>
        <w:t>COPYRIGHT FORMAT</w:t>
      </w:r>
      <w:r>
        <w:rPr>
          <w:rFonts w:ascii="Arial" w:eastAsia="Arial" w:hAnsi="Arial" w:cs="Arial"/>
          <w:b/>
          <w:i/>
          <w:sz w:val="22"/>
          <w:szCs w:val="22"/>
        </w:rPr>
        <w:t>:</w:t>
      </w:r>
      <w:r>
        <w:rPr>
          <w:rFonts w:ascii="Arial" w:eastAsia="Arial" w:hAnsi="Arial" w:cs="Arial"/>
          <w:i/>
          <w:sz w:val="22"/>
          <w:szCs w:val="22"/>
        </w:rPr>
        <w:t xml:space="preserve"> This report is prepared on the copyright format of R. K. Associates Valuers &amp; Techno Engineering Consultants (P) Ltd. (R. K. Associates) to serve our clients with the best possible information and analysis to facilitate them to take rational business decisions. Legally no one can copy or distribute this format without prior approval from R. K. Associates. It is meant only for the advisory/ reference purpose for the organization/s as mentioned on the cover page of this report. Distribution or use of this format or report or any of its content/ information/ data by any organization or individual other than R.K Associates will be seen as an unlawful act and necessary legal action can be taken against the defaulters.</w:t>
      </w:r>
    </w:p>
    <w:p w:rsidR="00456A66" w:rsidRDefault="00456A66" w:rsidP="00456A66">
      <w:pPr>
        <w:tabs>
          <w:tab w:val="left" w:pos="360"/>
        </w:tabs>
        <w:spacing w:line="360" w:lineRule="auto"/>
        <w:jc w:val="center"/>
        <w:rPr>
          <w:rFonts w:ascii="Arial" w:eastAsia="Arial" w:hAnsi="Arial" w:cs="Arial"/>
          <w:i/>
          <w:sz w:val="22"/>
          <w:szCs w:val="22"/>
        </w:rPr>
      </w:pPr>
      <w:r>
        <w:rPr>
          <w:rFonts w:ascii="Arial" w:eastAsia="Arial" w:hAnsi="Arial" w:cs="Arial"/>
          <w:i/>
          <w:sz w:val="22"/>
          <w:szCs w:val="22"/>
        </w:rPr>
        <w:t>This report is intended for the sole use of the intended recipient/s and contains material that is STRICTLY CONFIDENTIAL AND PRIVATE.</w:t>
      </w:r>
    </w:p>
    <w:p w:rsidR="00456A66" w:rsidRDefault="00456A66" w:rsidP="00456A66">
      <w:pPr>
        <w:tabs>
          <w:tab w:val="left" w:pos="360"/>
        </w:tabs>
        <w:spacing w:line="360" w:lineRule="auto"/>
        <w:jc w:val="center"/>
        <w:rPr>
          <w:rFonts w:ascii="Arial" w:eastAsia="Arial" w:hAnsi="Arial" w:cs="Arial"/>
          <w:i/>
          <w:sz w:val="22"/>
          <w:szCs w:val="22"/>
        </w:rPr>
      </w:pPr>
    </w:p>
    <w:p w:rsidR="00456A66" w:rsidRDefault="00456A66" w:rsidP="00456A66">
      <w:pPr>
        <w:spacing w:line="360" w:lineRule="auto"/>
        <w:jc w:val="center"/>
        <w:rPr>
          <w:rFonts w:ascii="Arial" w:eastAsia="Arial" w:hAnsi="Arial" w:cs="Arial"/>
          <w:i/>
          <w:sz w:val="22"/>
          <w:szCs w:val="22"/>
        </w:rPr>
      </w:pPr>
      <w:bookmarkStart w:id="0" w:name="_heading=h.gjdgxs" w:colFirst="0" w:colLast="0"/>
      <w:bookmarkEnd w:id="0"/>
      <w:r>
        <w:rPr>
          <w:rFonts w:ascii="Arial" w:eastAsia="Arial" w:hAnsi="Arial" w:cs="Arial"/>
          <w:b/>
          <w:i/>
          <w:sz w:val="22"/>
          <w:szCs w:val="22"/>
          <w:u w:val="single"/>
        </w:rPr>
        <w:t>DEFECT LIABILITY PERIOD</w:t>
      </w:r>
      <w:r>
        <w:rPr>
          <w:rFonts w:ascii="Arial" w:eastAsia="Arial" w:hAnsi="Arial" w:cs="Arial"/>
          <w:b/>
          <w:i/>
          <w:sz w:val="22"/>
          <w:szCs w:val="22"/>
        </w:rPr>
        <w:t>:</w:t>
      </w:r>
      <w:r>
        <w:rPr>
          <w:rFonts w:ascii="Arial" w:eastAsia="Arial" w:hAnsi="Arial" w:cs="Arial"/>
          <w:i/>
          <w:sz w:val="22"/>
          <w:szCs w:val="22"/>
        </w:rPr>
        <w:t xml:space="preserve"> In case of any query/ issue or escalation you may please contact Incident Manager at valuers@rkassociates.org. Though adequate care has been taken while preparing this report as per its scope, but still we can’t rule out typing, human errors, over sightedness of any information or any other mistakes. Therefore, the concerned organization is advised to satisfy themselves that the report is complete &amp; satisfactory in all respect. Intimation regarding any discrepancy shall be brought into our notice immediately. If no intimation is received within 15 (Fifteen) days in writing from the date of issuance of the report, to rectify these timely, then it shall be considered that the report is complete in all respect and has been accepted by the client up to their satisfaction &amp; use and further to which R.K Associates shall not be held responsible in any manner.</w:t>
      </w:r>
    </w:p>
    <w:p w:rsidR="00456A66" w:rsidRDefault="00456A66" w:rsidP="00456A66">
      <w:pPr>
        <w:spacing w:line="360" w:lineRule="auto"/>
        <w:rPr>
          <w:rFonts w:ascii="Arial" w:eastAsia="Arial" w:hAnsi="Arial" w:cs="Arial"/>
          <w:b/>
          <w:sz w:val="22"/>
          <w:szCs w:val="22"/>
          <w:u w:val="single"/>
        </w:rPr>
      </w:pPr>
    </w:p>
    <w:p w:rsidR="00456A66" w:rsidRDefault="009955F2" w:rsidP="00456A66">
      <w:pPr>
        <w:spacing w:line="360" w:lineRule="auto"/>
        <w:jc w:val="both"/>
        <w:rPr>
          <w:rFonts w:ascii="Arial" w:eastAsia="Arial" w:hAnsi="Arial" w:cs="Arial"/>
          <w:b/>
          <w:i/>
          <w:sz w:val="20"/>
          <w:szCs w:val="20"/>
        </w:rPr>
      </w:pPr>
      <w:r>
        <w:rPr>
          <w:rFonts w:ascii="Arial" w:eastAsia="Arial" w:hAnsi="Arial" w:cs="Arial"/>
          <w:b/>
          <w:i/>
          <w:sz w:val="22"/>
          <w:szCs w:val="22"/>
          <w:u w:val="single"/>
        </w:rPr>
        <w:t xml:space="preserve">Part </w:t>
      </w:r>
      <w:r w:rsidR="00383743">
        <w:rPr>
          <w:rFonts w:ascii="Arial" w:eastAsia="Arial" w:hAnsi="Arial" w:cs="Arial"/>
          <w:b/>
          <w:i/>
          <w:sz w:val="22"/>
          <w:szCs w:val="22"/>
          <w:u w:val="single"/>
        </w:rPr>
        <w:t>C</w:t>
      </w:r>
      <w:r w:rsidR="00456A66">
        <w:rPr>
          <w:rFonts w:ascii="Arial" w:eastAsia="Arial" w:hAnsi="Arial" w:cs="Arial"/>
          <w:b/>
          <w:i/>
          <w:sz w:val="22"/>
          <w:szCs w:val="22"/>
          <w:u w:val="single"/>
        </w:rPr>
        <w:t>: R. K. Associates Important Disclaimer and Remarks</w:t>
      </w:r>
      <w:r w:rsidR="00456A66">
        <w:rPr>
          <w:rFonts w:ascii="Arial" w:eastAsia="Arial" w:hAnsi="Arial" w:cs="Arial"/>
          <w:b/>
          <w:i/>
          <w:sz w:val="22"/>
          <w:szCs w:val="22"/>
        </w:rPr>
        <w:t xml:space="preserve"> </w:t>
      </w:r>
      <w:r w:rsidR="00456A66">
        <w:rPr>
          <w:rFonts w:ascii="Arial" w:eastAsia="Arial" w:hAnsi="Arial" w:cs="Arial"/>
          <w:i/>
          <w:sz w:val="22"/>
          <w:szCs w:val="22"/>
        </w:rPr>
        <w:t>are integral part of this report and Feasibility assessment is subject to this section. Reader of the report is advised to read all the points mentioned in these sections carefully.</w:t>
      </w:r>
      <w:r w:rsidR="00456A66">
        <w:rPr>
          <w:rFonts w:ascii="Arial" w:eastAsia="Arial" w:hAnsi="Arial" w:cs="Arial"/>
          <w:b/>
          <w:i/>
          <w:sz w:val="20"/>
          <w:szCs w:val="20"/>
        </w:rPr>
        <w:t xml:space="preserve"> </w:t>
      </w:r>
    </w:p>
    <w:p w:rsidR="00E11206" w:rsidRPr="005C6FC8" w:rsidRDefault="00E11206" w:rsidP="00E11206">
      <w:pPr>
        <w:spacing w:line="360" w:lineRule="auto"/>
        <w:rPr>
          <w:rFonts w:ascii="Arial" w:hAnsi="Arial" w:cs="Arial"/>
          <w:b/>
          <w:sz w:val="22"/>
          <w:szCs w:val="22"/>
          <w:u w:val="single"/>
        </w:rPr>
      </w:pPr>
    </w:p>
    <w:p w:rsidR="00336FCF" w:rsidRPr="005C6FC8" w:rsidRDefault="00336FCF" w:rsidP="00E11206">
      <w:pPr>
        <w:spacing w:line="360" w:lineRule="auto"/>
        <w:rPr>
          <w:rFonts w:ascii="Arial" w:hAnsi="Arial" w:cs="Arial"/>
          <w:sz w:val="22"/>
          <w:szCs w:val="22"/>
          <w:highlight w:val="yellow"/>
        </w:rPr>
      </w:pPr>
    </w:p>
    <w:tbl>
      <w:tblPr>
        <w:tblW w:w="536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8450"/>
      </w:tblGrid>
      <w:tr w:rsidR="00E11206" w:rsidRPr="005C6FC8" w:rsidTr="0020127F">
        <w:trPr>
          <w:trHeight w:val="436"/>
        </w:trPr>
        <w:tc>
          <w:tcPr>
            <w:tcW w:w="681" w:type="pct"/>
            <w:shd w:val="clear" w:color="auto" w:fill="17365D"/>
            <w:vAlign w:val="center"/>
          </w:tcPr>
          <w:p w:rsidR="00E11206" w:rsidRPr="005C6FC8" w:rsidRDefault="00E11206" w:rsidP="003F2979">
            <w:pPr>
              <w:spacing w:after="0" w:line="360" w:lineRule="auto"/>
              <w:jc w:val="center"/>
              <w:rPr>
                <w:rFonts w:ascii="Arial" w:hAnsi="Arial" w:cs="Arial"/>
                <w:b/>
                <w:i/>
                <w:sz w:val="22"/>
                <w:szCs w:val="22"/>
              </w:rPr>
            </w:pPr>
            <w:r w:rsidRPr="005C6FC8">
              <w:rPr>
                <w:rFonts w:ascii="Arial" w:hAnsi="Arial" w:cs="Arial"/>
                <w:b/>
                <w:sz w:val="22"/>
                <w:szCs w:val="22"/>
              </w:rPr>
              <w:lastRenderedPageBreak/>
              <w:t>PART A</w:t>
            </w:r>
          </w:p>
        </w:tc>
        <w:tc>
          <w:tcPr>
            <w:tcW w:w="4319" w:type="pct"/>
            <w:shd w:val="clear" w:color="auto" w:fill="DBE5F1"/>
            <w:vAlign w:val="center"/>
          </w:tcPr>
          <w:p w:rsidR="00E11206" w:rsidRPr="005C6FC8" w:rsidRDefault="00E11206" w:rsidP="003F2979">
            <w:pPr>
              <w:spacing w:after="0" w:line="360" w:lineRule="auto"/>
              <w:jc w:val="center"/>
              <w:rPr>
                <w:rFonts w:ascii="Arial" w:hAnsi="Arial" w:cs="Arial"/>
                <w:b/>
                <w:i/>
                <w:sz w:val="22"/>
                <w:szCs w:val="22"/>
              </w:rPr>
            </w:pPr>
            <w:r w:rsidRPr="005C6FC8">
              <w:rPr>
                <w:rFonts w:ascii="Arial" w:hAnsi="Arial" w:cs="Arial"/>
                <w:b/>
                <w:sz w:val="22"/>
                <w:szCs w:val="22"/>
              </w:rPr>
              <w:t>INTRODUCTION</w:t>
            </w:r>
          </w:p>
        </w:tc>
      </w:tr>
    </w:tbl>
    <w:p w:rsidR="00E11206" w:rsidRPr="005C6FC8" w:rsidRDefault="00E11206" w:rsidP="00A12009">
      <w:pPr>
        <w:spacing w:after="0" w:line="360" w:lineRule="auto"/>
        <w:jc w:val="both"/>
        <w:rPr>
          <w:rFonts w:ascii="Arial" w:hAnsi="Arial" w:cs="Arial"/>
          <w:b/>
          <w:sz w:val="22"/>
          <w:szCs w:val="22"/>
          <w:lang w:val="en-IN"/>
        </w:rPr>
      </w:pPr>
    </w:p>
    <w:p w:rsidR="00F6083B" w:rsidRPr="0037174C" w:rsidRDefault="00E11206" w:rsidP="0037174C">
      <w:pPr>
        <w:pStyle w:val="ListParagraph"/>
        <w:numPr>
          <w:ilvl w:val="0"/>
          <w:numId w:val="2"/>
        </w:numPr>
        <w:spacing w:line="360" w:lineRule="auto"/>
        <w:ind w:left="0" w:right="-613" w:hanging="284"/>
        <w:jc w:val="both"/>
        <w:rPr>
          <w:rFonts w:ascii="Arial" w:hAnsi="Arial" w:cs="Arial"/>
          <w:sz w:val="22"/>
          <w:szCs w:val="22"/>
        </w:rPr>
      </w:pPr>
      <w:r w:rsidRPr="005C6FC8">
        <w:rPr>
          <w:rFonts w:ascii="Arial" w:hAnsi="Arial" w:cs="Arial"/>
          <w:b/>
          <w:sz w:val="22"/>
          <w:szCs w:val="22"/>
          <w:lang w:val="en-IN"/>
        </w:rPr>
        <w:t>ABOUT THE REPORT:</w:t>
      </w:r>
      <w:r w:rsidR="00383743">
        <w:rPr>
          <w:rFonts w:ascii="Arial" w:hAnsi="Arial" w:cs="Arial"/>
          <w:sz w:val="22"/>
          <w:szCs w:val="22"/>
        </w:rPr>
        <w:t xml:space="preserve"> </w:t>
      </w:r>
      <w:r w:rsidR="00ED3373">
        <w:rPr>
          <w:rFonts w:ascii="Arial" w:hAnsi="Arial" w:cs="Arial"/>
          <w:sz w:val="22"/>
          <w:szCs w:val="22"/>
        </w:rPr>
        <w:t xml:space="preserve">Share </w:t>
      </w:r>
      <w:r w:rsidRPr="005C6FC8">
        <w:rPr>
          <w:rFonts w:ascii="Arial" w:hAnsi="Arial" w:cs="Arial"/>
          <w:sz w:val="22"/>
          <w:szCs w:val="22"/>
        </w:rPr>
        <w:t xml:space="preserve">Valuation </w:t>
      </w:r>
      <w:r w:rsidR="0037174C">
        <w:rPr>
          <w:rFonts w:ascii="Arial" w:hAnsi="Arial" w:cs="Arial"/>
          <w:sz w:val="22"/>
          <w:szCs w:val="22"/>
        </w:rPr>
        <w:t>report t</w:t>
      </w:r>
      <w:r w:rsidR="0037174C" w:rsidRPr="0037174C">
        <w:rPr>
          <w:rFonts w:ascii="Arial" w:hAnsi="Arial" w:cs="Arial"/>
          <w:sz w:val="22"/>
          <w:szCs w:val="22"/>
        </w:rPr>
        <w:t>o determine the conversion price of the overdue interest of Rs. 33 Cr proposed to be converted to equity</w:t>
      </w:r>
      <w:r w:rsidR="00ED3373">
        <w:rPr>
          <w:rFonts w:ascii="Arial" w:hAnsi="Arial" w:cs="Arial"/>
          <w:sz w:val="22"/>
          <w:szCs w:val="22"/>
        </w:rPr>
        <w:t xml:space="preserve"> of M/s GMR Warora Energy Limited </w:t>
      </w:r>
      <w:r w:rsidR="00A508F7">
        <w:rPr>
          <w:rFonts w:ascii="Arial" w:hAnsi="Arial" w:cs="Arial"/>
          <w:sz w:val="22"/>
          <w:szCs w:val="22"/>
        </w:rPr>
        <w:t xml:space="preserve">having registered </w:t>
      </w:r>
      <w:r w:rsidR="00383743">
        <w:rPr>
          <w:rFonts w:ascii="Arial" w:hAnsi="Arial" w:cs="Arial"/>
          <w:sz w:val="22"/>
          <w:szCs w:val="22"/>
        </w:rPr>
        <w:t xml:space="preserve">office at </w:t>
      </w:r>
      <w:r w:rsidR="00ED3373" w:rsidRPr="00ED3373">
        <w:rPr>
          <w:rFonts w:ascii="Arial" w:hAnsi="Arial" w:cs="Arial"/>
          <w:sz w:val="22"/>
          <w:szCs w:val="22"/>
        </w:rPr>
        <w:t xml:space="preserve">701/704, 7th Floor, Naman Centre, A </w:t>
      </w:r>
      <w:r w:rsidR="00EA25EE">
        <w:rPr>
          <w:rFonts w:ascii="Arial" w:hAnsi="Arial" w:cs="Arial"/>
          <w:sz w:val="22"/>
          <w:szCs w:val="22"/>
        </w:rPr>
        <w:t>Wing, BKC, Bandra, Mumbai – 400</w:t>
      </w:r>
      <w:r w:rsidR="00ED3373" w:rsidRPr="00ED3373">
        <w:rPr>
          <w:rFonts w:ascii="Arial" w:hAnsi="Arial" w:cs="Arial"/>
          <w:sz w:val="22"/>
          <w:szCs w:val="22"/>
        </w:rPr>
        <w:t>051</w:t>
      </w:r>
      <w:r w:rsidR="00EA25EE">
        <w:rPr>
          <w:rFonts w:ascii="Arial" w:hAnsi="Arial" w:cs="Arial"/>
          <w:sz w:val="22"/>
          <w:szCs w:val="22"/>
        </w:rPr>
        <w:t>.</w:t>
      </w:r>
    </w:p>
    <w:p w:rsidR="00262C3E" w:rsidRDefault="00E11206" w:rsidP="00262C3E">
      <w:pPr>
        <w:pStyle w:val="ListParagraph"/>
        <w:numPr>
          <w:ilvl w:val="0"/>
          <w:numId w:val="2"/>
        </w:numPr>
        <w:spacing w:line="360" w:lineRule="auto"/>
        <w:ind w:left="0" w:right="-613" w:hanging="284"/>
        <w:jc w:val="both"/>
        <w:rPr>
          <w:rFonts w:ascii="Arial" w:hAnsi="Arial" w:cs="Arial"/>
          <w:sz w:val="22"/>
          <w:szCs w:val="22"/>
        </w:rPr>
      </w:pPr>
      <w:r w:rsidRPr="005C6FC8">
        <w:rPr>
          <w:rFonts w:ascii="Arial" w:hAnsi="Arial" w:cs="Arial"/>
          <w:b/>
          <w:sz w:val="22"/>
          <w:szCs w:val="22"/>
          <w:lang w:val="en-IN"/>
        </w:rPr>
        <w:t>BACKGROUND OF THE PROJECT</w:t>
      </w:r>
      <w:r w:rsidRPr="00F128E1">
        <w:rPr>
          <w:rFonts w:ascii="Arial" w:hAnsi="Arial" w:cs="Arial"/>
          <w:sz w:val="22"/>
          <w:szCs w:val="22"/>
        </w:rPr>
        <w:t xml:space="preserve">: </w:t>
      </w:r>
      <w:r w:rsidR="00262C3E">
        <w:rPr>
          <w:rFonts w:ascii="Arial" w:hAnsi="Arial" w:cs="Arial"/>
          <w:sz w:val="22"/>
          <w:szCs w:val="22"/>
        </w:rPr>
        <w:t>M/s GMR Warora Energy Limited (</w:t>
      </w:r>
      <w:r w:rsidR="00262C3E" w:rsidRPr="00262C3E">
        <w:rPr>
          <w:rFonts w:ascii="Arial" w:hAnsi="Arial" w:cs="Arial"/>
          <w:sz w:val="22"/>
          <w:szCs w:val="22"/>
        </w:rPr>
        <w:t>GWEL</w:t>
      </w:r>
      <w:r w:rsidR="00262C3E">
        <w:rPr>
          <w:rFonts w:ascii="Arial" w:hAnsi="Arial" w:cs="Arial"/>
          <w:sz w:val="22"/>
          <w:szCs w:val="22"/>
        </w:rPr>
        <w:t>)</w:t>
      </w:r>
      <w:r w:rsidR="00262C3E" w:rsidRPr="00262C3E">
        <w:rPr>
          <w:rFonts w:ascii="Arial" w:hAnsi="Arial" w:cs="Arial"/>
          <w:sz w:val="22"/>
          <w:szCs w:val="22"/>
        </w:rPr>
        <w:t xml:space="preserve"> has set up a 600 MW (2 x 300 MW), domestic coal based thermal power project of sub-crit</w:t>
      </w:r>
      <w:r w:rsidR="00262C3E">
        <w:rPr>
          <w:rFonts w:ascii="Arial" w:hAnsi="Arial" w:cs="Arial"/>
          <w:sz w:val="22"/>
          <w:szCs w:val="22"/>
        </w:rPr>
        <w:t xml:space="preserve">ical technology </w:t>
      </w:r>
      <w:r w:rsidR="00262C3E" w:rsidRPr="00262C3E">
        <w:rPr>
          <w:rFonts w:ascii="Arial" w:hAnsi="Arial" w:cs="Arial"/>
          <w:sz w:val="22"/>
          <w:szCs w:val="22"/>
        </w:rPr>
        <w:t>in Warora Taluka, Chandrapur district in the state of Maharashtra. The Company has been promoted by GMR Energy Limited (“GEL”), a part of the GMR Group and holding company for the g</w:t>
      </w:r>
      <w:r w:rsidR="00262C3E">
        <w:rPr>
          <w:rFonts w:ascii="Arial" w:hAnsi="Arial" w:cs="Arial"/>
          <w:sz w:val="22"/>
          <w:szCs w:val="22"/>
        </w:rPr>
        <w:t>roup’s power/energy businesses.</w:t>
      </w:r>
    </w:p>
    <w:p w:rsidR="00EA25EE" w:rsidRPr="00EA25EE" w:rsidRDefault="00EA25EE" w:rsidP="00EA25EE">
      <w:pPr>
        <w:spacing w:line="360" w:lineRule="auto"/>
        <w:ind w:right="-613"/>
        <w:jc w:val="both"/>
        <w:rPr>
          <w:rFonts w:ascii="Arial" w:hAnsi="Arial" w:cs="Arial"/>
          <w:sz w:val="22"/>
          <w:szCs w:val="22"/>
        </w:rPr>
      </w:pPr>
      <w:r w:rsidRPr="00EA25EE">
        <w:rPr>
          <w:rFonts w:ascii="Arial" w:hAnsi="Arial" w:cs="Arial"/>
          <w:sz w:val="22"/>
          <w:szCs w:val="22"/>
        </w:rPr>
        <w:t>The Project Company (formerly EMCO Energy Limited (EEL)) was a special purpose vehicle (SPV) initially promoted by EMCO group in 2005 to set up 2 x 135 MW coal-based power plant at MIDC, Warora Taluka, Chandrapur, Maharashtra. The promoters of EEL sold 100% stake in EEL to GEL in July 2009 making</w:t>
      </w:r>
      <w:r w:rsidR="0020127F">
        <w:rPr>
          <w:rFonts w:ascii="Arial" w:hAnsi="Arial" w:cs="Arial"/>
          <w:sz w:val="22"/>
          <w:szCs w:val="22"/>
        </w:rPr>
        <w:t xml:space="preserve"> it 100% subsidiary of GEL, which </w:t>
      </w:r>
      <w:r w:rsidRPr="00EA25EE">
        <w:rPr>
          <w:rFonts w:ascii="Arial" w:hAnsi="Arial" w:cs="Arial"/>
          <w:sz w:val="22"/>
          <w:szCs w:val="22"/>
        </w:rPr>
        <w:t>is an operating cum holding company of all the power projects of the GMR Group.</w:t>
      </w:r>
    </w:p>
    <w:p w:rsidR="00EA25EE" w:rsidRDefault="00EA25EE" w:rsidP="00EA25EE">
      <w:pPr>
        <w:pStyle w:val="ListParagraph"/>
        <w:spacing w:line="360" w:lineRule="auto"/>
        <w:ind w:left="0" w:right="-613"/>
        <w:jc w:val="both"/>
        <w:rPr>
          <w:rFonts w:ascii="Arial" w:hAnsi="Arial" w:cs="Arial"/>
          <w:sz w:val="22"/>
          <w:szCs w:val="22"/>
        </w:rPr>
      </w:pPr>
      <w:r w:rsidRPr="00EA25EE">
        <w:rPr>
          <w:rFonts w:ascii="Arial" w:hAnsi="Arial" w:cs="Arial"/>
          <w:sz w:val="22"/>
          <w:szCs w:val="22"/>
        </w:rPr>
        <w:t>Pursuant to the acquisition, the scope of the project was enhanced from 2 x 135 MW to 2 x 300 MW in the view of location advantage (MIDC area) and high demand in western Maharashtra.</w:t>
      </w:r>
      <w:r w:rsidR="00262C3E">
        <w:rPr>
          <w:rFonts w:ascii="Arial" w:hAnsi="Arial" w:cs="Arial"/>
          <w:sz w:val="22"/>
          <w:szCs w:val="22"/>
        </w:rPr>
        <w:t xml:space="preserve"> </w:t>
      </w:r>
      <w:r w:rsidR="00262C3E" w:rsidRPr="00262C3E">
        <w:rPr>
          <w:rFonts w:ascii="Arial" w:hAnsi="Arial" w:cs="Arial"/>
          <w:sz w:val="22"/>
          <w:szCs w:val="22"/>
        </w:rPr>
        <w:t>The COD of the units under Phase-I and Phase-II was achieved on March 19, 2013 and September 01, 2013 respectively.</w:t>
      </w:r>
    </w:p>
    <w:p w:rsidR="001E0D28" w:rsidRDefault="001E0D28" w:rsidP="003162FC">
      <w:pPr>
        <w:pStyle w:val="ListParagraph"/>
        <w:spacing w:line="360" w:lineRule="auto"/>
        <w:ind w:left="0" w:right="-613"/>
        <w:jc w:val="both"/>
        <w:rPr>
          <w:rFonts w:ascii="Arial" w:hAnsi="Arial" w:cs="Arial"/>
          <w:b/>
          <w:sz w:val="22"/>
        </w:rPr>
      </w:pPr>
      <w:r w:rsidRPr="001E0D28">
        <w:rPr>
          <w:rFonts w:ascii="Arial" w:hAnsi="Arial" w:cs="Arial"/>
          <w:b/>
          <w:sz w:val="22"/>
        </w:rPr>
        <w:t>Below table gives a detailed overvie</w:t>
      </w:r>
      <w:r w:rsidR="00262C3E">
        <w:rPr>
          <w:rFonts w:ascii="Arial" w:hAnsi="Arial" w:cs="Arial"/>
          <w:b/>
          <w:sz w:val="22"/>
        </w:rPr>
        <w:t>w about the Project</w:t>
      </w:r>
      <w:r w:rsidRPr="001E0D28">
        <w:rPr>
          <w:rFonts w:ascii="Arial" w:hAnsi="Arial" w:cs="Arial"/>
          <w:b/>
          <w:sz w:val="22"/>
        </w:rPr>
        <w:t>:</w:t>
      </w:r>
    </w:p>
    <w:tbl>
      <w:tblPr>
        <w:tblStyle w:val="TableGrid1"/>
        <w:tblW w:w="5439" w:type="pct"/>
        <w:tblInd w:w="108" w:type="dxa"/>
        <w:tblLayout w:type="fixed"/>
        <w:tblLook w:val="04A0" w:firstRow="1" w:lastRow="0" w:firstColumn="1" w:lastColumn="0" w:noHBand="0" w:noVBand="1"/>
      </w:tblPr>
      <w:tblGrid>
        <w:gridCol w:w="852"/>
        <w:gridCol w:w="2266"/>
        <w:gridCol w:w="6805"/>
      </w:tblGrid>
      <w:tr w:rsidR="00262C3E" w:rsidRPr="0020127F" w:rsidTr="0020127F">
        <w:tc>
          <w:tcPr>
            <w:tcW w:w="5000" w:type="pct"/>
            <w:gridSpan w:val="3"/>
            <w:shd w:val="clear" w:color="auto" w:fill="002060"/>
          </w:tcPr>
          <w:p w:rsidR="00262C3E" w:rsidRPr="0020127F" w:rsidRDefault="00262C3E" w:rsidP="0020127F">
            <w:pPr>
              <w:tabs>
                <w:tab w:val="left" w:pos="990"/>
              </w:tabs>
              <w:spacing w:line="360" w:lineRule="auto"/>
              <w:jc w:val="center"/>
              <w:rPr>
                <w:rFonts w:asciiTheme="minorHAnsi" w:hAnsiTheme="minorHAnsi" w:cstheme="minorHAnsi"/>
                <w:b/>
                <w:color w:val="FFFFFF" w:themeColor="background1"/>
                <w:sz w:val="22"/>
                <w:szCs w:val="22"/>
              </w:rPr>
            </w:pPr>
            <w:r w:rsidRPr="0020127F">
              <w:rPr>
                <w:rFonts w:asciiTheme="minorHAnsi" w:hAnsiTheme="minorHAnsi" w:cstheme="minorHAnsi"/>
                <w:b/>
                <w:color w:val="FFFFFF" w:themeColor="background1"/>
                <w:sz w:val="22"/>
                <w:szCs w:val="22"/>
              </w:rPr>
              <w:t>Project Details</w:t>
            </w:r>
          </w:p>
        </w:tc>
      </w:tr>
      <w:tr w:rsidR="00A46DB3" w:rsidRPr="0020127F" w:rsidTr="0020127F">
        <w:tc>
          <w:tcPr>
            <w:tcW w:w="429" w:type="pct"/>
            <w:shd w:val="clear" w:color="auto" w:fill="8EAADB" w:themeFill="accent5" w:themeFillTint="99"/>
          </w:tcPr>
          <w:p w:rsidR="00262C3E" w:rsidRPr="0020127F" w:rsidRDefault="00262C3E" w:rsidP="0020127F">
            <w:pPr>
              <w:spacing w:line="360" w:lineRule="auto"/>
              <w:jc w:val="center"/>
              <w:rPr>
                <w:rFonts w:asciiTheme="minorHAnsi" w:hAnsiTheme="minorHAnsi" w:cstheme="minorHAnsi"/>
                <w:b/>
                <w:color w:val="FFFFFF" w:themeColor="background1"/>
                <w:sz w:val="22"/>
                <w:szCs w:val="22"/>
                <w:lang w:val="en-IN" w:eastAsia="en-IN"/>
              </w:rPr>
            </w:pPr>
            <w:r w:rsidRPr="0020127F">
              <w:rPr>
                <w:rFonts w:asciiTheme="minorHAnsi" w:hAnsiTheme="minorHAnsi" w:cstheme="minorHAnsi"/>
                <w:b/>
                <w:sz w:val="22"/>
                <w:szCs w:val="22"/>
                <w:lang w:val="en-IN" w:eastAsia="en-IN"/>
              </w:rPr>
              <w:t>S.No.</w:t>
            </w:r>
          </w:p>
        </w:tc>
        <w:tc>
          <w:tcPr>
            <w:tcW w:w="1142" w:type="pct"/>
            <w:shd w:val="clear" w:color="auto" w:fill="8EAADB" w:themeFill="accent5" w:themeFillTint="99"/>
          </w:tcPr>
          <w:p w:rsidR="00262C3E" w:rsidRPr="0020127F" w:rsidRDefault="00262C3E" w:rsidP="0020127F">
            <w:pPr>
              <w:spacing w:line="360" w:lineRule="auto"/>
              <w:rPr>
                <w:rFonts w:asciiTheme="minorHAnsi" w:hAnsiTheme="minorHAnsi" w:cstheme="minorHAnsi"/>
                <w:b/>
                <w:color w:val="FFFFFF" w:themeColor="background1"/>
                <w:sz w:val="22"/>
                <w:szCs w:val="22"/>
                <w:lang w:val="en-IN" w:eastAsia="en-IN"/>
              </w:rPr>
            </w:pPr>
            <w:r w:rsidRPr="0020127F">
              <w:rPr>
                <w:rFonts w:asciiTheme="minorHAnsi" w:hAnsiTheme="minorHAnsi" w:cstheme="minorHAnsi"/>
                <w:b/>
                <w:sz w:val="22"/>
                <w:szCs w:val="22"/>
              </w:rPr>
              <w:t>Particulars</w:t>
            </w:r>
          </w:p>
        </w:tc>
        <w:tc>
          <w:tcPr>
            <w:tcW w:w="3429" w:type="pct"/>
            <w:shd w:val="clear" w:color="auto" w:fill="8EAADB" w:themeFill="accent5" w:themeFillTint="99"/>
          </w:tcPr>
          <w:p w:rsidR="00262C3E" w:rsidRPr="0020127F" w:rsidRDefault="00262C3E" w:rsidP="0020127F">
            <w:pPr>
              <w:spacing w:line="360" w:lineRule="auto"/>
              <w:jc w:val="center"/>
              <w:rPr>
                <w:rFonts w:asciiTheme="minorHAnsi" w:hAnsiTheme="minorHAnsi" w:cstheme="minorHAnsi"/>
                <w:b/>
                <w:color w:val="FFFFFF" w:themeColor="background1"/>
                <w:sz w:val="22"/>
                <w:szCs w:val="22"/>
                <w:lang w:val="en-IN" w:eastAsia="en-IN"/>
              </w:rPr>
            </w:pPr>
            <w:r w:rsidRPr="0020127F">
              <w:rPr>
                <w:rFonts w:asciiTheme="minorHAnsi" w:hAnsiTheme="minorHAnsi" w:cstheme="minorHAnsi"/>
                <w:b/>
                <w:sz w:val="22"/>
                <w:szCs w:val="22"/>
              </w:rPr>
              <w:t>Description</w:t>
            </w:r>
          </w:p>
        </w:tc>
      </w:tr>
      <w:tr w:rsidR="00F83EB1" w:rsidRPr="0020127F" w:rsidTr="0020127F">
        <w:tc>
          <w:tcPr>
            <w:tcW w:w="429" w:type="pct"/>
            <w:vAlign w:val="center"/>
          </w:tcPr>
          <w:p w:rsidR="002160B8" w:rsidRPr="0020127F" w:rsidRDefault="002160B8" w:rsidP="0020127F">
            <w:pPr>
              <w:pStyle w:val="ListParagraph"/>
              <w:numPr>
                <w:ilvl w:val="3"/>
                <w:numId w:val="3"/>
              </w:numPr>
              <w:tabs>
                <w:tab w:val="left" w:pos="743"/>
              </w:tabs>
              <w:spacing w:line="360" w:lineRule="auto"/>
              <w:ind w:left="743" w:hanging="601"/>
              <w:rPr>
                <w:rFonts w:asciiTheme="minorHAnsi" w:hAnsiTheme="minorHAnsi" w:cstheme="minorHAnsi"/>
                <w:b/>
                <w:color w:val="222222"/>
                <w:sz w:val="22"/>
                <w:szCs w:val="22"/>
                <w:lang w:val="en-IN" w:eastAsia="en-IN"/>
              </w:rPr>
            </w:pPr>
          </w:p>
        </w:tc>
        <w:tc>
          <w:tcPr>
            <w:tcW w:w="1142" w:type="pct"/>
            <w:vAlign w:val="center"/>
          </w:tcPr>
          <w:p w:rsidR="002160B8" w:rsidRPr="0020127F" w:rsidRDefault="002160B8" w:rsidP="0020127F">
            <w:pPr>
              <w:spacing w:line="360" w:lineRule="auto"/>
              <w:rPr>
                <w:rFonts w:asciiTheme="minorHAnsi" w:hAnsiTheme="minorHAnsi" w:cstheme="minorHAnsi"/>
                <w:b/>
                <w:sz w:val="22"/>
                <w:szCs w:val="22"/>
              </w:rPr>
            </w:pPr>
            <w:r w:rsidRPr="0020127F">
              <w:rPr>
                <w:rFonts w:asciiTheme="minorHAnsi" w:hAnsiTheme="minorHAnsi" w:cstheme="minorHAnsi"/>
                <w:b/>
                <w:sz w:val="22"/>
                <w:szCs w:val="22"/>
              </w:rPr>
              <w:t>Company Name</w:t>
            </w:r>
          </w:p>
        </w:tc>
        <w:tc>
          <w:tcPr>
            <w:tcW w:w="3429" w:type="pct"/>
            <w:vAlign w:val="center"/>
          </w:tcPr>
          <w:p w:rsidR="002160B8" w:rsidRPr="0020127F" w:rsidRDefault="002160B8" w:rsidP="0020127F">
            <w:pPr>
              <w:spacing w:line="360" w:lineRule="auto"/>
              <w:rPr>
                <w:rFonts w:asciiTheme="minorHAnsi" w:hAnsiTheme="minorHAnsi" w:cstheme="minorHAnsi"/>
                <w:sz w:val="22"/>
                <w:szCs w:val="22"/>
              </w:rPr>
            </w:pPr>
            <w:r w:rsidRPr="0020127F">
              <w:rPr>
                <w:rFonts w:asciiTheme="minorHAnsi" w:hAnsiTheme="minorHAnsi" w:cstheme="minorHAnsi"/>
                <w:sz w:val="22"/>
                <w:szCs w:val="22"/>
              </w:rPr>
              <w:t>M/s GMR Warora Energy Limited</w:t>
            </w:r>
          </w:p>
        </w:tc>
      </w:tr>
      <w:tr w:rsidR="00253E66" w:rsidRPr="0020127F" w:rsidTr="0020127F">
        <w:tc>
          <w:tcPr>
            <w:tcW w:w="429" w:type="pct"/>
            <w:vAlign w:val="center"/>
          </w:tcPr>
          <w:p w:rsidR="00253E66" w:rsidRPr="0020127F" w:rsidRDefault="00253E66" w:rsidP="0020127F">
            <w:pPr>
              <w:pStyle w:val="ListParagraph"/>
              <w:numPr>
                <w:ilvl w:val="3"/>
                <w:numId w:val="3"/>
              </w:numPr>
              <w:tabs>
                <w:tab w:val="left" w:pos="743"/>
              </w:tabs>
              <w:spacing w:line="360" w:lineRule="auto"/>
              <w:ind w:left="743" w:hanging="601"/>
              <w:rPr>
                <w:rFonts w:asciiTheme="minorHAnsi" w:hAnsiTheme="minorHAnsi" w:cstheme="minorHAnsi"/>
                <w:b/>
                <w:color w:val="222222"/>
                <w:sz w:val="22"/>
                <w:szCs w:val="22"/>
                <w:lang w:val="en-IN" w:eastAsia="en-IN"/>
              </w:rPr>
            </w:pPr>
          </w:p>
        </w:tc>
        <w:tc>
          <w:tcPr>
            <w:tcW w:w="1142" w:type="pct"/>
            <w:vAlign w:val="center"/>
          </w:tcPr>
          <w:p w:rsidR="00253E66" w:rsidRPr="0020127F" w:rsidRDefault="00253E66" w:rsidP="0020127F">
            <w:pPr>
              <w:spacing w:line="360" w:lineRule="auto"/>
              <w:rPr>
                <w:rFonts w:asciiTheme="minorHAnsi" w:hAnsiTheme="minorHAnsi" w:cstheme="minorHAnsi"/>
                <w:b/>
                <w:sz w:val="22"/>
                <w:szCs w:val="22"/>
              </w:rPr>
            </w:pPr>
            <w:r w:rsidRPr="0020127F">
              <w:rPr>
                <w:rFonts w:asciiTheme="minorHAnsi" w:hAnsiTheme="minorHAnsi" w:cstheme="minorHAnsi"/>
                <w:b/>
                <w:sz w:val="22"/>
                <w:szCs w:val="22"/>
              </w:rPr>
              <w:t>Date of Incorporation</w:t>
            </w:r>
          </w:p>
        </w:tc>
        <w:tc>
          <w:tcPr>
            <w:tcW w:w="3429" w:type="pct"/>
            <w:vAlign w:val="center"/>
          </w:tcPr>
          <w:p w:rsidR="00253E66" w:rsidRPr="0020127F" w:rsidRDefault="00C20398" w:rsidP="0020127F">
            <w:pPr>
              <w:spacing w:line="360" w:lineRule="auto"/>
              <w:rPr>
                <w:rFonts w:asciiTheme="minorHAnsi" w:hAnsiTheme="minorHAnsi" w:cstheme="minorHAnsi"/>
                <w:sz w:val="22"/>
                <w:szCs w:val="22"/>
              </w:rPr>
            </w:pPr>
            <w:r w:rsidRPr="0020127F">
              <w:rPr>
                <w:rFonts w:asciiTheme="minorHAnsi" w:hAnsiTheme="minorHAnsi" w:cstheme="minorHAnsi"/>
                <w:sz w:val="22"/>
                <w:szCs w:val="22"/>
              </w:rPr>
              <w:t>4</w:t>
            </w:r>
            <w:r w:rsidRPr="0020127F">
              <w:rPr>
                <w:rFonts w:asciiTheme="minorHAnsi" w:hAnsiTheme="minorHAnsi" w:cstheme="minorHAnsi"/>
                <w:sz w:val="22"/>
                <w:szCs w:val="22"/>
                <w:vertAlign w:val="superscript"/>
              </w:rPr>
              <w:t>th</w:t>
            </w:r>
            <w:r w:rsidRPr="0020127F">
              <w:rPr>
                <w:rFonts w:asciiTheme="minorHAnsi" w:hAnsiTheme="minorHAnsi" w:cstheme="minorHAnsi"/>
                <w:sz w:val="22"/>
                <w:szCs w:val="22"/>
              </w:rPr>
              <w:t xml:space="preserve"> Aug, 2005</w:t>
            </w:r>
          </w:p>
        </w:tc>
      </w:tr>
      <w:tr w:rsidR="00A46DB3" w:rsidRPr="0020127F" w:rsidTr="0020127F">
        <w:tc>
          <w:tcPr>
            <w:tcW w:w="429" w:type="pct"/>
            <w:vAlign w:val="center"/>
          </w:tcPr>
          <w:p w:rsidR="00262C3E" w:rsidRPr="0020127F" w:rsidRDefault="00262C3E" w:rsidP="0020127F">
            <w:pPr>
              <w:pStyle w:val="ListParagraph"/>
              <w:numPr>
                <w:ilvl w:val="3"/>
                <w:numId w:val="3"/>
              </w:numPr>
              <w:spacing w:line="360" w:lineRule="auto"/>
              <w:ind w:left="743" w:hanging="601"/>
              <w:rPr>
                <w:rFonts w:asciiTheme="minorHAnsi" w:hAnsiTheme="minorHAnsi" w:cstheme="minorHAnsi"/>
                <w:b/>
                <w:color w:val="222222"/>
                <w:sz w:val="22"/>
                <w:szCs w:val="22"/>
                <w:lang w:val="en-IN" w:eastAsia="en-IN"/>
              </w:rPr>
            </w:pPr>
          </w:p>
        </w:tc>
        <w:tc>
          <w:tcPr>
            <w:tcW w:w="1142" w:type="pct"/>
            <w:vAlign w:val="center"/>
          </w:tcPr>
          <w:p w:rsidR="00262C3E" w:rsidRPr="0020127F" w:rsidRDefault="002160B8" w:rsidP="0020127F">
            <w:pPr>
              <w:spacing w:line="360" w:lineRule="auto"/>
              <w:rPr>
                <w:rFonts w:asciiTheme="minorHAnsi" w:hAnsiTheme="minorHAnsi" w:cstheme="minorHAnsi"/>
                <w:color w:val="222222"/>
                <w:sz w:val="22"/>
                <w:szCs w:val="22"/>
                <w:lang w:val="en-IN" w:eastAsia="en-IN"/>
              </w:rPr>
            </w:pPr>
            <w:r w:rsidRPr="0020127F">
              <w:rPr>
                <w:rFonts w:asciiTheme="minorHAnsi" w:hAnsiTheme="minorHAnsi" w:cstheme="minorHAnsi"/>
                <w:b/>
                <w:sz w:val="22"/>
                <w:szCs w:val="22"/>
              </w:rPr>
              <w:t xml:space="preserve">Reg. </w:t>
            </w:r>
            <w:r w:rsidR="00262C3E" w:rsidRPr="0020127F">
              <w:rPr>
                <w:rFonts w:asciiTheme="minorHAnsi" w:hAnsiTheme="minorHAnsi" w:cstheme="minorHAnsi"/>
                <w:b/>
                <w:sz w:val="22"/>
                <w:szCs w:val="22"/>
              </w:rPr>
              <w:t>Address</w:t>
            </w:r>
          </w:p>
        </w:tc>
        <w:tc>
          <w:tcPr>
            <w:tcW w:w="3429" w:type="pct"/>
            <w:vAlign w:val="center"/>
          </w:tcPr>
          <w:p w:rsidR="00262C3E" w:rsidRPr="0020127F" w:rsidRDefault="002160B8" w:rsidP="0020127F">
            <w:pPr>
              <w:spacing w:line="360" w:lineRule="auto"/>
              <w:rPr>
                <w:rFonts w:asciiTheme="minorHAnsi" w:hAnsiTheme="minorHAnsi" w:cstheme="minorHAnsi"/>
                <w:color w:val="222222"/>
                <w:sz w:val="22"/>
                <w:szCs w:val="22"/>
                <w:lang w:val="en-IN" w:eastAsia="en-IN"/>
              </w:rPr>
            </w:pPr>
            <w:r w:rsidRPr="0020127F">
              <w:rPr>
                <w:rFonts w:asciiTheme="minorHAnsi" w:hAnsiTheme="minorHAnsi" w:cstheme="minorHAnsi"/>
                <w:color w:val="222222"/>
                <w:sz w:val="22"/>
                <w:szCs w:val="22"/>
                <w:lang w:val="en-IN" w:eastAsia="en-IN"/>
              </w:rPr>
              <w:t>701/704, 7th Floor, Naman Centre, A Wing, BKC, Bandra, Mumbai – 400 051</w:t>
            </w:r>
          </w:p>
        </w:tc>
      </w:tr>
      <w:tr w:rsidR="00C20398" w:rsidRPr="0020127F" w:rsidTr="0020127F">
        <w:tc>
          <w:tcPr>
            <w:tcW w:w="429" w:type="pct"/>
            <w:vAlign w:val="center"/>
          </w:tcPr>
          <w:p w:rsidR="00C20398" w:rsidRPr="0020127F" w:rsidRDefault="00C20398" w:rsidP="0020127F">
            <w:pPr>
              <w:pStyle w:val="ListParagraph"/>
              <w:numPr>
                <w:ilvl w:val="3"/>
                <w:numId w:val="3"/>
              </w:numPr>
              <w:spacing w:line="360" w:lineRule="auto"/>
              <w:ind w:left="743" w:hanging="601"/>
              <w:rPr>
                <w:rFonts w:asciiTheme="minorHAnsi" w:hAnsiTheme="minorHAnsi" w:cstheme="minorHAnsi"/>
                <w:b/>
                <w:color w:val="222222"/>
                <w:sz w:val="22"/>
                <w:szCs w:val="22"/>
                <w:lang w:val="en-IN" w:eastAsia="en-IN"/>
              </w:rPr>
            </w:pPr>
          </w:p>
        </w:tc>
        <w:tc>
          <w:tcPr>
            <w:tcW w:w="1142" w:type="pct"/>
            <w:vAlign w:val="center"/>
          </w:tcPr>
          <w:p w:rsidR="00C20398" w:rsidRPr="0020127F" w:rsidRDefault="00C20398" w:rsidP="0020127F">
            <w:pPr>
              <w:spacing w:line="360" w:lineRule="auto"/>
              <w:rPr>
                <w:rFonts w:asciiTheme="minorHAnsi" w:hAnsiTheme="minorHAnsi" w:cstheme="minorHAnsi"/>
                <w:b/>
                <w:sz w:val="22"/>
                <w:szCs w:val="22"/>
              </w:rPr>
            </w:pPr>
            <w:r w:rsidRPr="0020127F">
              <w:rPr>
                <w:rFonts w:asciiTheme="minorHAnsi" w:hAnsiTheme="minorHAnsi" w:cstheme="minorHAnsi"/>
                <w:b/>
                <w:sz w:val="22"/>
                <w:szCs w:val="22"/>
              </w:rPr>
              <w:t>Corporate Office</w:t>
            </w:r>
          </w:p>
        </w:tc>
        <w:tc>
          <w:tcPr>
            <w:tcW w:w="3429" w:type="pct"/>
            <w:vAlign w:val="center"/>
          </w:tcPr>
          <w:p w:rsidR="00C20398" w:rsidRPr="0020127F" w:rsidRDefault="00C20398" w:rsidP="0020127F">
            <w:pPr>
              <w:spacing w:line="360" w:lineRule="auto"/>
              <w:rPr>
                <w:rFonts w:asciiTheme="minorHAnsi" w:hAnsiTheme="minorHAnsi" w:cstheme="minorHAnsi"/>
                <w:color w:val="222222"/>
                <w:sz w:val="22"/>
                <w:szCs w:val="22"/>
                <w:lang w:val="en-IN" w:eastAsia="en-IN"/>
              </w:rPr>
            </w:pPr>
            <w:r w:rsidRPr="0020127F">
              <w:rPr>
                <w:rFonts w:asciiTheme="minorHAnsi" w:hAnsiTheme="minorHAnsi" w:cstheme="minorHAnsi"/>
                <w:color w:val="222222"/>
                <w:sz w:val="22"/>
                <w:szCs w:val="22"/>
                <w:lang w:val="en-IN" w:eastAsia="en-IN"/>
              </w:rPr>
              <w:t>Building No. 302, New Shakti Bhawan, New Udaan Bhawan Complex, Opp. Terminal 3, Indira Gandhi</w:t>
            </w:r>
            <w:r w:rsidR="0020127F">
              <w:rPr>
                <w:rFonts w:asciiTheme="minorHAnsi" w:hAnsiTheme="minorHAnsi" w:cstheme="minorHAnsi"/>
                <w:color w:val="222222"/>
                <w:sz w:val="22"/>
                <w:szCs w:val="22"/>
                <w:lang w:val="en-IN" w:eastAsia="en-IN"/>
              </w:rPr>
              <w:t xml:space="preserve"> </w:t>
            </w:r>
            <w:r w:rsidRPr="0020127F">
              <w:rPr>
                <w:rFonts w:asciiTheme="minorHAnsi" w:hAnsiTheme="minorHAnsi" w:cstheme="minorHAnsi"/>
                <w:color w:val="222222"/>
                <w:sz w:val="22"/>
                <w:szCs w:val="22"/>
                <w:lang w:val="en-IN" w:eastAsia="en-IN"/>
              </w:rPr>
              <w:t>International Airport, New Delhi 110 037</w:t>
            </w:r>
          </w:p>
        </w:tc>
      </w:tr>
      <w:tr w:rsidR="00C20398" w:rsidRPr="0020127F" w:rsidTr="0020127F">
        <w:tc>
          <w:tcPr>
            <w:tcW w:w="429" w:type="pct"/>
            <w:vAlign w:val="center"/>
          </w:tcPr>
          <w:p w:rsidR="00C20398" w:rsidRPr="0020127F" w:rsidRDefault="00C20398" w:rsidP="0020127F">
            <w:pPr>
              <w:pStyle w:val="ListParagraph"/>
              <w:numPr>
                <w:ilvl w:val="3"/>
                <w:numId w:val="3"/>
              </w:numPr>
              <w:spacing w:line="360" w:lineRule="auto"/>
              <w:ind w:left="743" w:hanging="601"/>
              <w:rPr>
                <w:rFonts w:asciiTheme="minorHAnsi" w:hAnsiTheme="minorHAnsi" w:cstheme="minorHAnsi"/>
                <w:b/>
                <w:color w:val="222222"/>
                <w:sz w:val="22"/>
                <w:szCs w:val="22"/>
                <w:lang w:val="en-IN" w:eastAsia="en-IN"/>
              </w:rPr>
            </w:pPr>
          </w:p>
        </w:tc>
        <w:tc>
          <w:tcPr>
            <w:tcW w:w="1142" w:type="pct"/>
            <w:vAlign w:val="center"/>
          </w:tcPr>
          <w:p w:rsidR="00C20398" w:rsidRPr="0020127F" w:rsidRDefault="00C20398" w:rsidP="0020127F">
            <w:pPr>
              <w:spacing w:line="360" w:lineRule="auto"/>
              <w:rPr>
                <w:rFonts w:asciiTheme="minorHAnsi" w:hAnsiTheme="minorHAnsi" w:cstheme="minorHAnsi"/>
                <w:b/>
                <w:sz w:val="22"/>
                <w:szCs w:val="22"/>
              </w:rPr>
            </w:pPr>
            <w:r w:rsidRPr="0020127F">
              <w:rPr>
                <w:rFonts w:asciiTheme="minorHAnsi" w:hAnsiTheme="minorHAnsi" w:cstheme="minorHAnsi"/>
                <w:b/>
                <w:sz w:val="22"/>
                <w:szCs w:val="22"/>
              </w:rPr>
              <w:t>Current Plant Address</w:t>
            </w:r>
          </w:p>
        </w:tc>
        <w:tc>
          <w:tcPr>
            <w:tcW w:w="3429" w:type="pct"/>
            <w:vAlign w:val="center"/>
          </w:tcPr>
          <w:p w:rsidR="00C20398" w:rsidRPr="0020127F" w:rsidRDefault="00C20398" w:rsidP="0020127F">
            <w:pPr>
              <w:spacing w:line="360" w:lineRule="auto"/>
              <w:rPr>
                <w:rFonts w:asciiTheme="minorHAnsi" w:hAnsiTheme="minorHAnsi" w:cstheme="minorHAnsi"/>
                <w:color w:val="222222"/>
                <w:sz w:val="22"/>
                <w:szCs w:val="22"/>
                <w:lang w:val="en-IN" w:eastAsia="en-IN"/>
              </w:rPr>
            </w:pPr>
            <w:r w:rsidRPr="0020127F">
              <w:rPr>
                <w:rFonts w:asciiTheme="minorHAnsi" w:hAnsiTheme="minorHAnsi" w:cstheme="minorHAnsi"/>
                <w:color w:val="222222"/>
                <w:sz w:val="22"/>
                <w:szCs w:val="22"/>
                <w:lang w:val="en-IN" w:eastAsia="en-IN"/>
              </w:rPr>
              <w:t>Plot No. B1 &amp; B7, Mohabala, MIDC Growth Center,</w:t>
            </w:r>
            <w:r w:rsidR="0020127F">
              <w:rPr>
                <w:rFonts w:asciiTheme="minorHAnsi" w:hAnsiTheme="minorHAnsi" w:cstheme="minorHAnsi"/>
                <w:color w:val="222222"/>
                <w:sz w:val="22"/>
                <w:szCs w:val="22"/>
                <w:lang w:val="en-IN" w:eastAsia="en-IN"/>
              </w:rPr>
              <w:t xml:space="preserve"> </w:t>
            </w:r>
            <w:r w:rsidRPr="0020127F">
              <w:rPr>
                <w:rFonts w:asciiTheme="minorHAnsi" w:hAnsiTheme="minorHAnsi" w:cstheme="minorHAnsi"/>
                <w:color w:val="222222"/>
                <w:sz w:val="22"/>
                <w:szCs w:val="22"/>
                <w:lang w:val="en-IN" w:eastAsia="en-IN"/>
              </w:rPr>
              <w:t>Warora., Chandrapur 442 907, Maharashtra</w:t>
            </w:r>
          </w:p>
        </w:tc>
      </w:tr>
      <w:tr w:rsidR="00C20398" w:rsidRPr="0020127F" w:rsidTr="0020127F">
        <w:tc>
          <w:tcPr>
            <w:tcW w:w="429" w:type="pct"/>
            <w:vAlign w:val="center"/>
          </w:tcPr>
          <w:p w:rsidR="00C20398" w:rsidRPr="0020127F" w:rsidRDefault="00C20398" w:rsidP="0020127F">
            <w:pPr>
              <w:pStyle w:val="ListParagraph"/>
              <w:numPr>
                <w:ilvl w:val="3"/>
                <w:numId w:val="3"/>
              </w:numPr>
              <w:spacing w:line="360" w:lineRule="auto"/>
              <w:ind w:left="743" w:hanging="601"/>
              <w:rPr>
                <w:rFonts w:asciiTheme="minorHAnsi" w:hAnsiTheme="minorHAnsi" w:cstheme="minorHAnsi"/>
                <w:b/>
                <w:color w:val="222222"/>
                <w:sz w:val="22"/>
                <w:szCs w:val="22"/>
                <w:lang w:val="en-IN" w:eastAsia="en-IN"/>
              </w:rPr>
            </w:pPr>
          </w:p>
        </w:tc>
        <w:tc>
          <w:tcPr>
            <w:tcW w:w="1142" w:type="pct"/>
            <w:vAlign w:val="center"/>
          </w:tcPr>
          <w:p w:rsidR="00C20398" w:rsidRPr="0020127F" w:rsidRDefault="00C20398" w:rsidP="0020127F">
            <w:pPr>
              <w:spacing w:line="360" w:lineRule="auto"/>
              <w:rPr>
                <w:rFonts w:asciiTheme="minorHAnsi" w:hAnsiTheme="minorHAnsi" w:cstheme="minorHAnsi"/>
                <w:b/>
                <w:sz w:val="22"/>
                <w:szCs w:val="22"/>
              </w:rPr>
            </w:pPr>
            <w:r w:rsidRPr="0020127F">
              <w:rPr>
                <w:rFonts w:asciiTheme="minorHAnsi" w:hAnsiTheme="minorHAnsi" w:cstheme="minorHAnsi"/>
                <w:b/>
                <w:sz w:val="22"/>
                <w:szCs w:val="22"/>
              </w:rPr>
              <w:t>Capacity</w:t>
            </w:r>
          </w:p>
        </w:tc>
        <w:tc>
          <w:tcPr>
            <w:tcW w:w="3429" w:type="pct"/>
            <w:vAlign w:val="center"/>
          </w:tcPr>
          <w:p w:rsidR="00C20398" w:rsidRPr="0020127F" w:rsidRDefault="00C20398" w:rsidP="0020127F">
            <w:pPr>
              <w:spacing w:line="360" w:lineRule="auto"/>
              <w:rPr>
                <w:rFonts w:asciiTheme="minorHAnsi" w:hAnsiTheme="minorHAnsi" w:cstheme="minorHAnsi"/>
                <w:color w:val="222222"/>
                <w:sz w:val="22"/>
                <w:szCs w:val="22"/>
                <w:lang w:val="en-IN" w:eastAsia="en-IN"/>
              </w:rPr>
            </w:pPr>
            <w:r w:rsidRPr="0020127F">
              <w:rPr>
                <w:rFonts w:asciiTheme="minorHAnsi" w:hAnsiTheme="minorHAnsi" w:cstheme="minorHAnsi"/>
                <w:color w:val="222222"/>
                <w:sz w:val="22"/>
                <w:szCs w:val="22"/>
                <w:lang w:val="en-IN" w:eastAsia="en-IN"/>
              </w:rPr>
              <w:t>600 MW (2 x 300 MW)</w:t>
            </w:r>
          </w:p>
        </w:tc>
      </w:tr>
      <w:tr w:rsidR="00C20398" w:rsidRPr="0020127F" w:rsidTr="0020127F">
        <w:tc>
          <w:tcPr>
            <w:tcW w:w="429" w:type="pct"/>
            <w:vAlign w:val="center"/>
          </w:tcPr>
          <w:p w:rsidR="00C20398" w:rsidRPr="0020127F" w:rsidRDefault="00C20398" w:rsidP="0020127F">
            <w:pPr>
              <w:pStyle w:val="ListParagraph"/>
              <w:numPr>
                <w:ilvl w:val="3"/>
                <w:numId w:val="3"/>
              </w:numPr>
              <w:spacing w:line="360" w:lineRule="auto"/>
              <w:ind w:left="743" w:hanging="601"/>
              <w:rPr>
                <w:rFonts w:asciiTheme="minorHAnsi" w:hAnsiTheme="minorHAnsi" w:cstheme="minorHAnsi"/>
                <w:b/>
                <w:color w:val="222222"/>
                <w:sz w:val="22"/>
                <w:szCs w:val="22"/>
                <w:lang w:val="en-IN" w:eastAsia="en-IN"/>
              </w:rPr>
            </w:pPr>
          </w:p>
        </w:tc>
        <w:tc>
          <w:tcPr>
            <w:tcW w:w="1142" w:type="pct"/>
            <w:vAlign w:val="center"/>
          </w:tcPr>
          <w:p w:rsidR="00C20398" w:rsidRPr="0020127F" w:rsidRDefault="00C20398" w:rsidP="0020127F">
            <w:pPr>
              <w:spacing w:line="360" w:lineRule="auto"/>
              <w:rPr>
                <w:rFonts w:asciiTheme="minorHAnsi" w:hAnsiTheme="minorHAnsi" w:cstheme="minorHAnsi"/>
                <w:b/>
                <w:sz w:val="22"/>
                <w:szCs w:val="22"/>
              </w:rPr>
            </w:pPr>
            <w:r w:rsidRPr="0020127F">
              <w:rPr>
                <w:rFonts w:asciiTheme="minorHAnsi" w:hAnsiTheme="minorHAnsi" w:cstheme="minorHAnsi"/>
                <w:b/>
                <w:sz w:val="22"/>
                <w:szCs w:val="22"/>
              </w:rPr>
              <w:t>Current Status</w:t>
            </w:r>
          </w:p>
        </w:tc>
        <w:tc>
          <w:tcPr>
            <w:tcW w:w="3429" w:type="pct"/>
            <w:vAlign w:val="center"/>
          </w:tcPr>
          <w:p w:rsidR="00C20398" w:rsidRPr="0020127F" w:rsidRDefault="00C20398" w:rsidP="0020127F">
            <w:pPr>
              <w:spacing w:line="360" w:lineRule="auto"/>
              <w:rPr>
                <w:rFonts w:asciiTheme="minorHAnsi" w:hAnsiTheme="minorHAnsi" w:cstheme="minorHAnsi"/>
                <w:color w:val="222222"/>
                <w:sz w:val="22"/>
                <w:szCs w:val="22"/>
                <w:lang w:val="en-IN" w:eastAsia="en-IN"/>
              </w:rPr>
            </w:pPr>
            <w:r w:rsidRPr="0020127F">
              <w:rPr>
                <w:rFonts w:asciiTheme="minorHAnsi" w:hAnsiTheme="minorHAnsi" w:cstheme="minorHAnsi"/>
                <w:color w:val="222222"/>
                <w:sz w:val="22"/>
                <w:szCs w:val="22"/>
                <w:lang w:val="en-IN" w:eastAsia="en-IN"/>
              </w:rPr>
              <w:t>Unit 1 COD – March 19, 2013</w:t>
            </w:r>
          </w:p>
          <w:p w:rsidR="00C20398" w:rsidRPr="0020127F" w:rsidRDefault="00C20398" w:rsidP="0020127F">
            <w:pPr>
              <w:spacing w:line="360" w:lineRule="auto"/>
              <w:rPr>
                <w:rFonts w:asciiTheme="minorHAnsi" w:hAnsiTheme="minorHAnsi" w:cstheme="minorHAnsi"/>
                <w:color w:val="222222"/>
                <w:sz w:val="22"/>
                <w:szCs w:val="22"/>
                <w:lang w:val="en-IN" w:eastAsia="en-IN"/>
              </w:rPr>
            </w:pPr>
            <w:r w:rsidRPr="0020127F">
              <w:rPr>
                <w:rFonts w:asciiTheme="minorHAnsi" w:hAnsiTheme="minorHAnsi" w:cstheme="minorHAnsi"/>
                <w:color w:val="222222"/>
                <w:sz w:val="22"/>
                <w:szCs w:val="22"/>
                <w:lang w:val="en-IN" w:eastAsia="en-IN"/>
              </w:rPr>
              <w:t>Unit 2 COD – September 01, 2013</w:t>
            </w:r>
          </w:p>
        </w:tc>
      </w:tr>
      <w:tr w:rsidR="00C20398" w:rsidRPr="0020127F" w:rsidTr="0020127F">
        <w:tc>
          <w:tcPr>
            <w:tcW w:w="429" w:type="pct"/>
            <w:vAlign w:val="center"/>
          </w:tcPr>
          <w:p w:rsidR="00C20398" w:rsidRPr="0020127F" w:rsidRDefault="00C20398" w:rsidP="0020127F">
            <w:pPr>
              <w:pStyle w:val="ListParagraph"/>
              <w:numPr>
                <w:ilvl w:val="3"/>
                <w:numId w:val="3"/>
              </w:numPr>
              <w:spacing w:line="360" w:lineRule="auto"/>
              <w:ind w:left="743" w:hanging="601"/>
              <w:rPr>
                <w:rFonts w:asciiTheme="minorHAnsi" w:hAnsiTheme="minorHAnsi" w:cstheme="minorHAnsi"/>
                <w:b/>
                <w:color w:val="222222"/>
                <w:sz w:val="22"/>
                <w:szCs w:val="22"/>
                <w:lang w:val="en-IN" w:eastAsia="en-IN"/>
              </w:rPr>
            </w:pPr>
          </w:p>
        </w:tc>
        <w:tc>
          <w:tcPr>
            <w:tcW w:w="1142" w:type="pct"/>
            <w:vAlign w:val="center"/>
          </w:tcPr>
          <w:p w:rsidR="00C20398" w:rsidRPr="0020127F" w:rsidRDefault="00C20398" w:rsidP="0020127F">
            <w:pPr>
              <w:spacing w:line="360" w:lineRule="auto"/>
              <w:rPr>
                <w:rFonts w:asciiTheme="minorHAnsi" w:hAnsiTheme="minorHAnsi" w:cstheme="minorHAnsi"/>
                <w:b/>
                <w:sz w:val="22"/>
                <w:szCs w:val="22"/>
              </w:rPr>
            </w:pPr>
            <w:r w:rsidRPr="0020127F">
              <w:rPr>
                <w:rFonts w:asciiTheme="minorHAnsi" w:hAnsiTheme="minorHAnsi" w:cstheme="minorHAnsi"/>
                <w:b/>
                <w:sz w:val="22"/>
                <w:szCs w:val="22"/>
              </w:rPr>
              <w:t>Constitution</w:t>
            </w:r>
          </w:p>
        </w:tc>
        <w:tc>
          <w:tcPr>
            <w:tcW w:w="3429" w:type="pct"/>
            <w:vAlign w:val="center"/>
          </w:tcPr>
          <w:p w:rsidR="00C20398" w:rsidRPr="0020127F" w:rsidRDefault="00C20398" w:rsidP="0020127F">
            <w:pPr>
              <w:spacing w:line="360" w:lineRule="auto"/>
              <w:rPr>
                <w:rFonts w:asciiTheme="minorHAnsi" w:hAnsiTheme="minorHAnsi" w:cstheme="minorHAnsi"/>
                <w:color w:val="222222"/>
                <w:sz w:val="22"/>
                <w:szCs w:val="22"/>
                <w:lang w:val="en-IN" w:eastAsia="en-IN"/>
              </w:rPr>
            </w:pPr>
            <w:r w:rsidRPr="0020127F">
              <w:rPr>
                <w:rFonts w:asciiTheme="minorHAnsi" w:hAnsiTheme="minorHAnsi" w:cstheme="minorHAnsi"/>
                <w:color w:val="222222"/>
                <w:sz w:val="22"/>
                <w:szCs w:val="22"/>
                <w:lang w:val="en-IN" w:eastAsia="en-IN"/>
              </w:rPr>
              <w:t>Limited company (Limited by share)</w:t>
            </w:r>
          </w:p>
        </w:tc>
      </w:tr>
      <w:tr w:rsidR="00C20398" w:rsidRPr="0020127F" w:rsidTr="0020127F">
        <w:tc>
          <w:tcPr>
            <w:tcW w:w="429" w:type="pct"/>
            <w:vAlign w:val="center"/>
          </w:tcPr>
          <w:p w:rsidR="00C20398" w:rsidRPr="0020127F" w:rsidRDefault="00C20398" w:rsidP="0020127F">
            <w:pPr>
              <w:pStyle w:val="ListParagraph"/>
              <w:numPr>
                <w:ilvl w:val="3"/>
                <w:numId w:val="3"/>
              </w:numPr>
              <w:spacing w:line="360" w:lineRule="auto"/>
              <w:ind w:left="743" w:hanging="601"/>
              <w:rPr>
                <w:rFonts w:asciiTheme="minorHAnsi" w:hAnsiTheme="minorHAnsi" w:cstheme="minorHAnsi"/>
                <w:b/>
                <w:color w:val="222222"/>
                <w:sz w:val="22"/>
                <w:szCs w:val="22"/>
                <w:lang w:val="en-IN" w:eastAsia="en-IN"/>
              </w:rPr>
            </w:pPr>
          </w:p>
        </w:tc>
        <w:tc>
          <w:tcPr>
            <w:tcW w:w="1142" w:type="pct"/>
            <w:vAlign w:val="center"/>
          </w:tcPr>
          <w:p w:rsidR="00C20398" w:rsidRPr="0020127F" w:rsidRDefault="00C20398" w:rsidP="0020127F">
            <w:pPr>
              <w:spacing w:line="360" w:lineRule="auto"/>
              <w:rPr>
                <w:rFonts w:asciiTheme="minorHAnsi" w:hAnsiTheme="minorHAnsi" w:cstheme="minorHAnsi"/>
                <w:b/>
                <w:sz w:val="22"/>
                <w:szCs w:val="22"/>
              </w:rPr>
            </w:pPr>
            <w:r w:rsidRPr="0020127F">
              <w:rPr>
                <w:rFonts w:asciiTheme="minorHAnsi" w:hAnsiTheme="minorHAnsi" w:cstheme="minorHAnsi"/>
                <w:b/>
                <w:sz w:val="22"/>
                <w:szCs w:val="22"/>
              </w:rPr>
              <w:t>CIN No.</w:t>
            </w:r>
          </w:p>
        </w:tc>
        <w:tc>
          <w:tcPr>
            <w:tcW w:w="3429" w:type="pct"/>
            <w:vAlign w:val="center"/>
          </w:tcPr>
          <w:p w:rsidR="00C20398" w:rsidRPr="0020127F" w:rsidRDefault="00C20398" w:rsidP="0020127F">
            <w:pPr>
              <w:spacing w:line="360" w:lineRule="auto"/>
              <w:rPr>
                <w:rFonts w:asciiTheme="minorHAnsi" w:hAnsiTheme="minorHAnsi" w:cstheme="minorHAnsi"/>
                <w:color w:val="222222"/>
                <w:sz w:val="22"/>
                <w:szCs w:val="22"/>
                <w:lang w:val="en-IN" w:eastAsia="en-IN"/>
              </w:rPr>
            </w:pPr>
            <w:r w:rsidRPr="0020127F">
              <w:rPr>
                <w:rFonts w:asciiTheme="minorHAnsi" w:hAnsiTheme="minorHAnsi" w:cstheme="minorHAnsi"/>
                <w:color w:val="222222"/>
                <w:sz w:val="22"/>
                <w:szCs w:val="22"/>
                <w:lang w:val="en-IN" w:eastAsia="en-IN"/>
              </w:rPr>
              <w:t>U40100MH2005PLC155140</w:t>
            </w:r>
          </w:p>
        </w:tc>
      </w:tr>
      <w:tr w:rsidR="00C20398" w:rsidRPr="0020127F" w:rsidTr="0020127F">
        <w:tc>
          <w:tcPr>
            <w:tcW w:w="429" w:type="pct"/>
            <w:vAlign w:val="center"/>
          </w:tcPr>
          <w:p w:rsidR="00C20398" w:rsidRPr="0020127F" w:rsidRDefault="00C20398" w:rsidP="0020127F">
            <w:pPr>
              <w:pStyle w:val="ListParagraph"/>
              <w:numPr>
                <w:ilvl w:val="3"/>
                <w:numId w:val="3"/>
              </w:numPr>
              <w:spacing w:line="360" w:lineRule="auto"/>
              <w:ind w:left="743" w:hanging="601"/>
              <w:rPr>
                <w:rFonts w:asciiTheme="minorHAnsi" w:hAnsiTheme="minorHAnsi" w:cstheme="minorHAnsi"/>
                <w:b/>
                <w:color w:val="222222"/>
                <w:sz w:val="22"/>
                <w:szCs w:val="22"/>
                <w:lang w:val="en-IN" w:eastAsia="en-IN"/>
              </w:rPr>
            </w:pPr>
          </w:p>
        </w:tc>
        <w:tc>
          <w:tcPr>
            <w:tcW w:w="1142" w:type="pct"/>
            <w:vAlign w:val="center"/>
          </w:tcPr>
          <w:p w:rsidR="00C20398" w:rsidRPr="0020127F" w:rsidRDefault="00C20398" w:rsidP="0020127F">
            <w:pPr>
              <w:spacing w:line="360" w:lineRule="auto"/>
              <w:rPr>
                <w:rFonts w:asciiTheme="minorHAnsi" w:hAnsiTheme="minorHAnsi" w:cstheme="minorHAnsi"/>
                <w:b/>
                <w:sz w:val="22"/>
                <w:szCs w:val="22"/>
              </w:rPr>
            </w:pPr>
            <w:r w:rsidRPr="0020127F">
              <w:rPr>
                <w:rFonts w:asciiTheme="minorHAnsi" w:hAnsiTheme="minorHAnsi" w:cstheme="minorHAnsi"/>
                <w:b/>
                <w:sz w:val="22"/>
                <w:szCs w:val="22"/>
              </w:rPr>
              <w:t>Sector</w:t>
            </w:r>
          </w:p>
        </w:tc>
        <w:tc>
          <w:tcPr>
            <w:tcW w:w="3429" w:type="pct"/>
            <w:vAlign w:val="center"/>
          </w:tcPr>
          <w:p w:rsidR="00C20398" w:rsidRPr="0020127F" w:rsidRDefault="00C20398" w:rsidP="0020127F">
            <w:pPr>
              <w:spacing w:line="360" w:lineRule="auto"/>
              <w:rPr>
                <w:rFonts w:asciiTheme="minorHAnsi" w:hAnsiTheme="minorHAnsi" w:cstheme="minorHAnsi"/>
                <w:color w:val="222222"/>
                <w:sz w:val="22"/>
                <w:szCs w:val="22"/>
                <w:lang w:val="en-IN" w:eastAsia="en-IN"/>
              </w:rPr>
            </w:pPr>
            <w:r w:rsidRPr="0020127F">
              <w:rPr>
                <w:rFonts w:asciiTheme="minorHAnsi" w:hAnsiTheme="minorHAnsi" w:cstheme="minorHAnsi"/>
                <w:color w:val="222222"/>
                <w:sz w:val="22"/>
                <w:szCs w:val="22"/>
                <w:lang w:val="en-IN" w:eastAsia="en-IN"/>
              </w:rPr>
              <w:t>Power</w:t>
            </w:r>
          </w:p>
        </w:tc>
      </w:tr>
      <w:tr w:rsidR="00A46DB3" w:rsidRPr="0020127F" w:rsidTr="0020127F">
        <w:tc>
          <w:tcPr>
            <w:tcW w:w="429" w:type="pct"/>
            <w:vAlign w:val="center"/>
          </w:tcPr>
          <w:p w:rsidR="00262C3E" w:rsidRPr="0020127F" w:rsidRDefault="00262C3E" w:rsidP="0020127F">
            <w:pPr>
              <w:pStyle w:val="ListParagraph"/>
              <w:numPr>
                <w:ilvl w:val="3"/>
                <w:numId w:val="3"/>
              </w:numPr>
              <w:spacing w:line="360" w:lineRule="auto"/>
              <w:ind w:left="743" w:hanging="601"/>
              <w:rPr>
                <w:rFonts w:asciiTheme="minorHAnsi" w:hAnsiTheme="minorHAnsi" w:cstheme="minorHAnsi"/>
                <w:b/>
                <w:color w:val="222222"/>
                <w:sz w:val="22"/>
                <w:szCs w:val="22"/>
                <w:lang w:val="en-IN" w:eastAsia="en-IN"/>
              </w:rPr>
            </w:pPr>
          </w:p>
        </w:tc>
        <w:tc>
          <w:tcPr>
            <w:tcW w:w="1142" w:type="pct"/>
            <w:vAlign w:val="center"/>
          </w:tcPr>
          <w:p w:rsidR="00262C3E" w:rsidRPr="0020127F" w:rsidRDefault="002160B8" w:rsidP="0020127F">
            <w:pPr>
              <w:spacing w:line="360" w:lineRule="auto"/>
              <w:rPr>
                <w:rFonts w:asciiTheme="minorHAnsi" w:hAnsiTheme="minorHAnsi" w:cstheme="minorHAnsi"/>
                <w:b/>
                <w:color w:val="222222"/>
                <w:sz w:val="22"/>
                <w:szCs w:val="22"/>
                <w:lang w:val="en-IN" w:eastAsia="en-IN"/>
              </w:rPr>
            </w:pPr>
            <w:r w:rsidRPr="0020127F">
              <w:rPr>
                <w:rFonts w:asciiTheme="minorHAnsi" w:hAnsiTheme="minorHAnsi" w:cstheme="minorHAnsi"/>
                <w:b/>
                <w:color w:val="222222"/>
                <w:sz w:val="22"/>
                <w:szCs w:val="22"/>
                <w:lang w:val="en-IN" w:eastAsia="en-IN"/>
              </w:rPr>
              <w:t>Land</w:t>
            </w:r>
          </w:p>
        </w:tc>
        <w:tc>
          <w:tcPr>
            <w:tcW w:w="3429" w:type="pct"/>
            <w:vAlign w:val="center"/>
          </w:tcPr>
          <w:p w:rsidR="00262C3E" w:rsidRPr="0020127F" w:rsidRDefault="002160B8" w:rsidP="0020127F">
            <w:pPr>
              <w:spacing w:line="360" w:lineRule="auto"/>
              <w:rPr>
                <w:rFonts w:asciiTheme="minorHAnsi" w:hAnsiTheme="minorHAnsi" w:cstheme="minorHAnsi"/>
                <w:color w:val="222222"/>
                <w:sz w:val="22"/>
                <w:szCs w:val="22"/>
                <w:lang w:val="en-IN" w:eastAsia="en-IN"/>
              </w:rPr>
            </w:pPr>
            <w:r w:rsidRPr="0020127F">
              <w:rPr>
                <w:rFonts w:asciiTheme="minorHAnsi" w:hAnsiTheme="minorHAnsi" w:cstheme="minorHAnsi"/>
                <w:color w:val="222222"/>
                <w:sz w:val="22"/>
                <w:szCs w:val="22"/>
                <w:lang w:val="en-IN" w:eastAsia="en-IN"/>
              </w:rPr>
              <w:t>Total land acquired for the Project is 597.78 acres.</w:t>
            </w:r>
          </w:p>
        </w:tc>
      </w:tr>
      <w:tr w:rsidR="00A46DB3" w:rsidRPr="0020127F" w:rsidTr="0020127F">
        <w:tc>
          <w:tcPr>
            <w:tcW w:w="429" w:type="pct"/>
            <w:vAlign w:val="center"/>
          </w:tcPr>
          <w:p w:rsidR="00262C3E" w:rsidRPr="0020127F" w:rsidRDefault="00262C3E" w:rsidP="0020127F">
            <w:pPr>
              <w:pStyle w:val="ListParagraph"/>
              <w:numPr>
                <w:ilvl w:val="3"/>
                <w:numId w:val="3"/>
              </w:numPr>
              <w:spacing w:line="360" w:lineRule="auto"/>
              <w:ind w:left="743" w:hanging="601"/>
              <w:rPr>
                <w:rFonts w:asciiTheme="minorHAnsi" w:hAnsiTheme="minorHAnsi" w:cstheme="minorHAnsi"/>
                <w:b/>
                <w:color w:val="222222"/>
                <w:sz w:val="22"/>
                <w:szCs w:val="22"/>
                <w:lang w:val="en-IN" w:eastAsia="en-IN"/>
              </w:rPr>
            </w:pPr>
          </w:p>
        </w:tc>
        <w:tc>
          <w:tcPr>
            <w:tcW w:w="1142" w:type="pct"/>
            <w:vAlign w:val="center"/>
          </w:tcPr>
          <w:p w:rsidR="00262C3E" w:rsidRPr="0020127F" w:rsidRDefault="002160B8" w:rsidP="0020127F">
            <w:pPr>
              <w:spacing w:line="360" w:lineRule="auto"/>
              <w:rPr>
                <w:rFonts w:asciiTheme="minorHAnsi" w:hAnsiTheme="minorHAnsi" w:cstheme="minorHAnsi"/>
                <w:b/>
                <w:color w:val="222222"/>
                <w:sz w:val="22"/>
                <w:szCs w:val="22"/>
                <w:lang w:val="en-IN" w:eastAsia="en-IN"/>
              </w:rPr>
            </w:pPr>
            <w:r w:rsidRPr="0020127F">
              <w:rPr>
                <w:rFonts w:asciiTheme="minorHAnsi" w:hAnsiTheme="minorHAnsi" w:cstheme="minorHAnsi"/>
                <w:b/>
                <w:color w:val="222222"/>
                <w:sz w:val="22"/>
                <w:szCs w:val="22"/>
                <w:lang w:val="en-IN" w:eastAsia="en-IN"/>
              </w:rPr>
              <w:t>Plant Equipment &amp; Design</w:t>
            </w:r>
          </w:p>
        </w:tc>
        <w:tc>
          <w:tcPr>
            <w:tcW w:w="3429" w:type="pct"/>
            <w:vAlign w:val="center"/>
          </w:tcPr>
          <w:p w:rsidR="0020127F" w:rsidRDefault="002160B8" w:rsidP="0020127F">
            <w:pPr>
              <w:pStyle w:val="ListParagraph"/>
              <w:numPr>
                <w:ilvl w:val="0"/>
                <w:numId w:val="22"/>
              </w:numPr>
              <w:spacing w:line="360" w:lineRule="auto"/>
              <w:ind w:left="318" w:hanging="283"/>
              <w:jc w:val="both"/>
              <w:rPr>
                <w:rFonts w:asciiTheme="minorHAnsi" w:hAnsiTheme="minorHAnsi" w:cstheme="minorHAnsi"/>
                <w:color w:val="000000"/>
                <w:sz w:val="22"/>
                <w:szCs w:val="22"/>
              </w:rPr>
            </w:pPr>
            <w:r w:rsidRPr="0020127F">
              <w:rPr>
                <w:rFonts w:asciiTheme="minorHAnsi" w:hAnsiTheme="minorHAnsi" w:cstheme="minorHAnsi"/>
                <w:color w:val="000000"/>
                <w:sz w:val="22"/>
                <w:szCs w:val="22"/>
              </w:rPr>
              <w:t>The Project consists of two identical units of sub-critical technology, each comprising of one Boiler, one Steam Generator and one Steam Turbine Generator along with auxiliaries that were supplied, erected and commissioned by Shanghai Electric Company (SEC), China.</w:t>
            </w:r>
          </w:p>
          <w:p w:rsidR="00262C3E" w:rsidRPr="0020127F" w:rsidRDefault="002160B8" w:rsidP="0020127F">
            <w:pPr>
              <w:pStyle w:val="ListParagraph"/>
              <w:numPr>
                <w:ilvl w:val="0"/>
                <w:numId w:val="22"/>
              </w:numPr>
              <w:spacing w:line="360" w:lineRule="auto"/>
              <w:ind w:left="318" w:hanging="283"/>
              <w:jc w:val="both"/>
              <w:rPr>
                <w:rFonts w:asciiTheme="minorHAnsi" w:hAnsiTheme="minorHAnsi" w:cstheme="minorHAnsi"/>
                <w:color w:val="000000"/>
                <w:sz w:val="22"/>
                <w:szCs w:val="22"/>
              </w:rPr>
            </w:pPr>
            <w:r w:rsidRPr="0020127F">
              <w:rPr>
                <w:rFonts w:asciiTheme="minorHAnsi" w:hAnsiTheme="minorHAnsi" w:cstheme="minorHAnsi"/>
                <w:color w:val="000000"/>
                <w:sz w:val="22"/>
                <w:szCs w:val="22"/>
              </w:rPr>
              <w:t>The Station Heat Rate of the plant is about 2,320 kCal/kWh and the plant design can handle coal of GCV ranging from 3,000 KCal/Kg to 4,200 Kcal/Kg.</w:t>
            </w:r>
          </w:p>
        </w:tc>
      </w:tr>
      <w:tr w:rsidR="00A46DB3" w:rsidRPr="0020127F" w:rsidTr="0020127F">
        <w:trPr>
          <w:trHeight w:val="3267"/>
        </w:trPr>
        <w:tc>
          <w:tcPr>
            <w:tcW w:w="429" w:type="pct"/>
            <w:vAlign w:val="center"/>
          </w:tcPr>
          <w:p w:rsidR="00262C3E" w:rsidRPr="0020127F" w:rsidRDefault="00262C3E" w:rsidP="0020127F">
            <w:pPr>
              <w:pStyle w:val="ListParagraph"/>
              <w:numPr>
                <w:ilvl w:val="3"/>
                <w:numId w:val="3"/>
              </w:numPr>
              <w:spacing w:line="360" w:lineRule="auto"/>
              <w:ind w:left="743" w:hanging="601"/>
              <w:rPr>
                <w:rFonts w:asciiTheme="minorHAnsi" w:hAnsiTheme="minorHAnsi" w:cstheme="minorHAnsi"/>
                <w:b/>
                <w:color w:val="222222"/>
                <w:sz w:val="22"/>
                <w:szCs w:val="22"/>
                <w:lang w:val="en-IN" w:eastAsia="en-IN"/>
              </w:rPr>
            </w:pPr>
          </w:p>
        </w:tc>
        <w:tc>
          <w:tcPr>
            <w:tcW w:w="1142" w:type="pct"/>
            <w:vAlign w:val="center"/>
          </w:tcPr>
          <w:p w:rsidR="0020127F" w:rsidRDefault="002160B8" w:rsidP="0020127F">
            <w:pPr>
              <w:pStyle w:val="ListParagraph"/>
              <w:spacing w:line="360" w:lineRule="auto"/>
              <w:ind w:left="0" w:right="-613"/>
              <w:rPr>
                <w:rFonts w:asciiTheme="minorHAnsi" w:hAnsiTheme="minorHAnsi" w:cstheme="minorHAnsi"/>
                <w:b/>
                <w:sz w:val="22"/>
                <w:szCs w:val="22"/>
              </w:rPr>
            </w:pPr>
            <w:r w:rsidRPr="0020127F">
              <w:rPr>
                <w:rFonts w:asciiTheme="minorHAnsi" w:hAnsiTheme="minorHAnsi" w:cstheme="minorHAnsi"/>
                <w:b/>
                <w:sz w:val="22"/>
                <w:szCs w:val="22"/>
              </w:rPr>
              <w:t xml:space="preserve">Power Sale </w:t>
            </w:r>
          </w:p>
          <w:p w:rsidR="00262C3E" w:rsidRPr="0020127F" w:rsidRDefault="002160B8" w:rsidP="0020127F">
            <w:pPr>
              <w:pStyle w:val="ListParagraph"/>
              <w:spacing w:line="360" w:lineRule="auto"/>
              <w:ind w:left="0" w:right="-613"/>
              <w:rPr>
                <w:rFonts w:asciiTheme="minorHAnsi" w:hAnsiTheme="minorHAnsi" w:cstheme="minorHAnsi"/>
                <w:b/>
                <w:sz w:val="22"/>
                <w:szCs w:val="22"/>
              </w:rPr>
            </w:pPr>
            <w:r w:rsidRPr="0020127F">
              <w:rPr>
                <w:rFonts w:asciiTheme="minorHAnsi" w:hAnsiTheme="minorHAnsi" w:cstheme="minorHAnsi"/>
                <w:b/>
                <w:sz w:val="22"/>
                <w:szCs w:val="22"/>
              </w:rPr>
              <w:t>Arrangement</w:t>
            </w:r>
          </w:p>
        </w:tc>
        <w:tc>
          <w:tcPr>
            <w:tcW w:w="3429" w:type="pct"/>
            <w:vAlign w:val="center"/>
          </w:tcPr>
          <w:tbl>
            <w:tblPr>
              <w:tblW w:w="6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4"/>
              <w:gridCol w:w="2551"/>
              <w:gridCol w:w="1276"/>
              <w:gridCol w:w="1559"/>
            </w:tblGrid>
            <w:tr w:rsidR="00A46DB3" w:rsidRPr="0020127F" w:rsidTr="0020127F">
              <w:trPr>
                <w:trHeight w:val="300"/>
              </w:trPr>
              <w:tc>
                <w:tcPr>
                  <w:tcW w:w="889" w:type="pct"/>
                  <w:shd w:val="clear" w:color="auto" w:fill="002060"/>
                  <w:noWrap/>
                  <w:vAlign w:val="center"/>
                  <w:hideMark/>
                </w:tcPr>
                <w:p w:rsidR="00A46DB3" w:rsidRPr="0020127F" w:rsidRDefault="00A46DB3" w:rsidP="0020127F">
                  <w:pPr>
                    <w:spacing w:after="0" w:line="360" w:lineRule="auto"/>
                    <w:rPr>
                      <w:rFonts w:asciiTheme="minorHAnsi" w:hAnsiTheme="minorHAnsi" w:cstheme="minorHAnsi"/>
                      <w:b/>
                      <w:color w:val="FFFFFF" w:themeColor="background1"/>
                      <w:sz w:val="20"/>
                      <w:szCs w:val="20"/>
                      <w:lang w:eastAsia="en-IN"/>
                    </w:rPr>
                  </w:pPr>
                  <w:r w:rsidRPr="0020127F">
                    <w:rPr>
                      <w:rFonts w:asciiTheme="minorHAnsi" w:hAnsiTheme="minorHAnsi" w:cstheme="minorHAnsi"/>
                      <w:b/>
                      <w:color w:val="FFFFFF" w:themeColor="background1"/>
                      <w:sz w:val="20"/>
                      <w:szCs w:val="20"/>
                      <w:lang w:eastAsia="en-IN"/>
                    </w:rPr>
                    <w:t>Utility</w:t>
                  </w:r>
                </w:p>
              </w:tc>
              <w:tc>
                <w:tcPr>
                  <w:tcW w:w="1947" w:type="pct"/>
                  <w:shd w:val="clear" w:color="auto" w:fill="002060"/>
                  <w:noWrap/>
                  <w:vAlign w:val="center"/>
                  <w:hideMark/>
                </w:tcPr>
                <w:p w:rsidR="00A46DB3" w:rsidRPr="0020127F" w:rsidRDefault="00A46DB3" w:rsidP="0020127F">
                  <w:pPr>
                    <w:spacing w:after="0" w:line="360" w:lineRule="auto"/>
                    <w:jc w:val="center"/>
                    <w:rPr>
                      <w:rFonts w:asciiTheme="minorHAnsi" w:hAnsiTheme="minorHAnsi" w:cstheme="minorHAnsi"/>
                      <w:b/>
                      <w:color w:val="FFFFFF" w:themeColor="background1"/>
                      <w:sz w:val="20"/>
                      <w:szCs w:val="20"/>
                      <w:lang w:eastAsia="en-IN"/>
                    </w:rPr>
                  </w:pPr>
                  <w:r w:rsidRPr="0020127F">
                    <w:rPr>
                      <w:rFonts w:asciiTheme="minorHAnsi" w:hAnsiTheme="minorHAnsi" w:cstheme="minorHAnsi"/>
                      <w:b/>
                      <w:color w:val="FFFFFF" w:themeColor="background1"/>
                      <w:sz w:val="20"/>
                      <w:szCs w:val="20"/>
                      <w:lang w:eastAsia="en-IN"/>
                    </w:rPr>
                    <w:t>Period (Start Date/ End Date)</w:t>
                  </w:r>
                </w:p>
              </w:tc>
              <w:tc>
                <w:tcPr>
                  <w:tcW w:w="974" w:type="pct"/>
                  <w:shd w:val="clear" w:color="auto" w:fill="002060"/>
                  <w:noWrap/>
                  <w:vAlign w:val="center"/>
                  <w:hideMark/>
                </w:tcPr>
                <w:p w:rsidR="00A46DB3" w:rsidRPr="0020127F" w:rsidRDefault="00A46DB3" w:rsidP="0020127F">
                  <w:pPr>
                    <w:spacing w:after="0" w:line="360" w:lineRule="auto"/>
                    <w:jc w:val="center"/>
                    <w:rPr>
                      <w:rFonts w:asciiTheme="minorHAnsi" w:hAnsiTheme="minorHAnsi" w:cstheme="minorHAnsi"/>
                      <w:b/>
                      <w:color w:val="FFFFFF" w:themeColor="background1"/>
                      <w:sz w:val="20"/>
                      <w:szCs w:val="20"/>
                      <w:lang w:eastAsia="en-IN"/>
                    </w:rPr>
                  </w:pPr>
                  <w:r w:rsidRPr="0020127F">
                    <w:rPr>
                      <w:rFonts w:asciiTheme="minorHAnsi" w:hAnsiTheme="minorHAnsi" w:cstheme="minorHAnsi"/>
                      <w:b/>
                      <w:color w:val="FFFFFF" w:themeColor="background1"/>
                      <w:sz w:val="20"/>
                      <w:szCs w:val="20"/>
                      <w:lang w:eastAsia="en-IN"/>
                    </w:rPr>
                    <w:t>Contracted Capacity</w:t>
                  </w:r>
                </w:p>
              </w:tc>
              <w:tc>
                <w:tcPr>
                  <w:tcW w:w="1190" w:type="pct"/>
                  <w:shd w:val="clear" w:color="auto" w:fill="002060"/>
                  <w:noWrap/>
                  <w:vAlign w:val="center"/>
                  <w:hideMark/>
                </w:tcPr>
                <w:p w:rsidR="00A46DB3" w:rsidRPr="0020127F" w:rsidRDefault="00A46DB3" w:rsidP="0020127F">
                  <w:pPr>
                    <w:spacing w:after="0" w:line="360" w:lineRule="auto"/>
                    <w:jc w:val="center"/>
                    <w:rPr>
                      <w:rFonts w:asciiTheme="minorHAnsi" w:hAnsiTheme="minorHAnsi" w:cstheme="minorHAnsi"/>
                      <w:b/>
                      <w:color w:val="FFFFFF" w:themeColor="background1"/>
                      <w:sz w:val="20"/>
                      <w:szCs w:val="20"/>
                      <w:lang w:eastAsia="en-IN"/>
                    </w:rPr>
                  </w:pPr>
                  <w:r w:rsidRPr="0020127F">
                    <w:rPr>
                      <w:rFonts w:asciiTheme="minorHAnsi" w:hAnsiTheme="minorHAnsi" w:cstheme="minorHAnsi"/>
                      <w:b/>
                      <w:color w:val="FFFFFF" w:themeColor="background1"/>
                      <w:sz w:val="20"/>
                      <w:szCs w:val="20"/>
                      <w:lang w:eastAsia="en-IN"/>
                    </w:rPr>
                    <w:t>Gross Tariff FY 22 (Rs./Unit)</w:t>
                  </w:r>
                </w:p>
              </w:tc>
            </w:tr>
            <w:tr w:rsidR="00A46DB3" w:rsidRPr="0020127F" w:rsidTr="0020127F">
              <w:trPr>
                <w:trHeight w:val="300"/>
              </w:trPr>
              <w:tc>
                <w:tcPr>
                  <w:tcW w:w="889" w:type="pct"/>
                  <w:shd w:val="clear" w:color="auto" w:fill="auto"/>
                  <w:noWrap/>
                  <w:vAlign w:val="center"/>
                  <w:hideMark/>
                </w:tcPr>
                <w:p w:rsidR="00A46DB3" w:rsidRPr="0020127F" w:rsidRDefault="00A46DB3" w:rsidP="0020127F">
                  <w:pPr>
                    <w:spacing w:after="0" w:line="360" w:lineRule="auto"/>
                    <w:rPr>
                      <w:rFonts w:asciiTheme="minorHAnsi" w:hAnsiTheme="minorHAnsi" w:cstheme="minorHAnsi"/>
                      <w:color w:val="000000"/>
                      <w:sz w:val="20"/>
                      <w:szCs w:val="20"/>
                      <w:lang w:eastAsia="en-IN"/>
                    </w:rPr>
                  </w:pPr>
                  <w:r w:rsidRPr="0020127F">
                    <w:rPr>
                      <w:rFonts w:asciiTheme="minorHAnsi" w:hAnsiTheme="minorHAnsi" w:cstheme="minorHAnsi"/>
                      <w:color w:val="000000"/>
                      <w:sz w:val="20"/>
                      <w:szCs w:val="20"/>
                      <w:lang w:eastAsia="en-IN"/>
                    </w:rPr>
                    <w:t>MSEDCL</w:t>
                  </w:r>
                </w:p>
              </w:tc>
              <w:tc>
                <w:tcPr>
                  <w:tcW w:w="1947" w:type="pct"/>
                  <w:shd w:val="clear" w:color="auto" w:fill="auto"/>
                  <w:noWrap/>
                  <w:vAlign w:val="center"/>
                  <w:hideMark/>
                </w:tcPr>
                <w:p w:rsidR="00A46DB3" w:rsidRPr="0020127F" w:rsidRDefault="00A46DB3" w:rsidP="0020127F">
                  <w:pPr>
                    <w:spacing w:after="0" w:line="360" w:lineRule="auto"/>
                    <w:jc w:val="center"/>
                    <w:rPr>
                      <w:rFonts w:asciiTheme="minorHAnsi" w:hAnsiTheme="minorHAnsi" w:cstheme="minorHAnsi"/>
                      <w:color w:val="000000"/>
                      <w:sz w:val="20"/>
                      <w:szCs w:val="20"/>
                      <w:lang w:eastAsia="en-IN"/>
                    </w:rPr>
                  </w:pPr>
                  <w:r w:rsidRPr="0020127F">
                    <w:rPr>
                      <w:rFonts w:asciiTheme="minorHAnsi" w:hAnsiTheme="minorHAnsi" w:cstheme="minorHAnsi"/>
                      <w:color w:val="000000"/>
                      <w:sz w:val="20"/>
                      <w:szCs w:val="20"/>
                      <w:lang w:eastAsia="en-IN"/>
                    </w:rPr>
                    <w:t>25 years / (17 March 2014 / 28 February 2039)</w:t>
                  </w:r>
                </w:p>
              </w:tc>
              <w:tc>
                <w:tcPr>
                  <w:tcW w:w="974" w:type="pct"/>
                  <w:shd w:val="clear" w:color="auto" w:fill="auto"/>
                  <w:noWrap/>
                  <w:vAlign w:val="center"/>
                  <w:hideMark/>
                </w:tcPr>
                <w:p w:rsidR="00A46DB3" w:rsidRPr="0020127F" w:rsidRDefault="00A46DB3" w:rsidP="0020127F">
                  <w:pPr>
                    <w:spacing w:after="0" w:line="360" w:lineRule="auto"/>
                    <w:jc w:val="center"/>
                    <w:rPr>
                      <w:rFonts w:asciiTheme="minorHAnsi" w:hAnsiTheme="minorHAnsi" w:cstheme="minorHAnsi"/>
                      <w:color w:val="000000"/>
                      <w:sz w:val="20"/>
                      <w:szCs w:val="20"/>
                      <w:lang w:eastAsia="en-IN"/>
                    </w:rPr>
                  </w:pPr>
                  <w:r w:rsidRPr="0020127F">
                    <w:rPr>
                      <w:rFonts w:asciiTheme="minorHAnsi" w:hAnsiTheme="minorHAnsi" w:cstheme="minorHAnsi"/>
                      <w:color w:val="000000"/>
                      <w:sz w:val="20"/>
                      <w:szCs w:val="20"/>
                      <w:lang w:eastAsia="en-IN"/>
                    </w:rPr>
                    <w:t>200 MW</w:t>
                  </w:r>
                </w:p>
              </w:tc>
              <w:tc>
                <w:tcPr>
                  <w:tcW w:w="1190" w:type="pct"/>
                  <w:shd w:val="clear" w:color="auto" w:fill="auto"/>
                  <w:noWrap/>
                  <w:vAlign w:val="center"/>
                  <w:hideMark/>
                </w:tcPr>
                <w:p w:rsidR="00A46DB3" w:rsidRPr="0020127F" w:rsidRDefault="00A46DB3" w:rsidP="0020127F">
                  <w:pPr>
                    <w:spacing w:after="0" w:line="360" w:lineRule="auto"/>
                    <w:jc w:val="center"/>
                    <w:rPr>
                      <w:rFonts w:asciiTheme="minorHAnsi" w:hAnsiTheme="minorHAnsi" w:cstheme="minorHAnsi"/>
                      <w:color w:val="000000"/>
                      <w:sz w:val="20"/>
                      <w:szCs w:val="20"/>
                      <w:lang w:eastAsia="en-IN"/>
                    </w:rPr>
                  </w:pPr>
                  <w:r w:rsidRPr="0020127F">
                    <w:rPr>
                      <w:rFonts w:asciiTheme="minorHAnsi" w:hAnsiTheme="minorHAnsi" w:cstheme="minorHAnsi"/>
                      <w:color w:val="000000"/>
                      <w:sz w:val="20"/>
                      <w:szCs w:val="20"/>
                      <w:lang w:eastAsia="en-IN"/>
                    </w:rPr>
                    <w:t>3.71</w:t>
                  </w:r>
                </w:p>
              </w:tc>
            </w:tr>
            <w:tr w:rsidR="00A46DB3" w:rsidRPr="0020127F" w:rsidTr="0020127F">
              <w:trPr>
                <w:trHeight w:val="300"/>
              </w:trPr>
              <w:tc>
                <w:tcPr>
                  <w:tcW w:w="889" w:type="pct"/>
                  <w:shd w:val="clear" w:color="auto" w:fill="auto"/>
                  <w:noWrap/>
                  <w:vAlign w:val="center"/>
                  <w:hideMark/>
                </w:tcPr>
                <w:p w:rsidR="00A46DB3" w:rsidRPr="0020127F" w:rsidRDefault="00A46DB3" w:rsidP="0020127F">
                  <w:pPr>
                    <w:spacing w:after="0" w:line="360" w:lineRule="auto"/>
                    <w:rPr>
                      <w:rFonts w:asciiTheme="minorHAnsi" w:hAnsiTheme="minorHAnsi" w:cstheme="minorHAnsi"/>
                      <w:color w:val="000000"/>
                      <w:sz w:val="20"/>
                      <w:szCs w:val="20"/>
                      <w:lang w:eastAsia="en-IN"/>
                    </w:rPr>
                  </w:pPr>
                  <w:r w:rsidRPr="0020127F">
                    <w:rPr>
                      <w:rFonts w:asciiTheme="minorHAnsi" w:hAnsiTheme="minorHAnsi" w:cstheme="minorHAnsi"/>
                      <w:color w:val="000000"/>
                      <w:sz w:val="20"/>
                      <w:szCs w:val="20"/>
                      <w:lang w:eastAsia="en-IN"/>
                    </w:rPr>
                    <w:t>TANGEDCO</w:t>
                  </w:r>
                </w:p>
              </w:tc>
              <w:tc>
                <w:tcPr>
                  <w:tcW w:w="1947" w:type="pct"/>
                  <w:shd w:val="clear" w:color="auto" w:fill="auto"/>
                  <w:noWrap/>
                  <w:vAlign w:val="center"/>
                  <w:hideMark/>
                </w:tcPr>
                <w:p w:rsidR="00A46DB3" w:rsidRPr="0020127F" w:rsidRDefault="00A46DB3" w:rsidP="0020127F">
                  <w:pPr>
                    <w:spacing w:after="0" w:line="360" w:lineRule="auto"/>
                    <w:jc w:val="center"/>
                    <w:rPr>
                      <w:rFonts w:asciiTheme="minorHAnsi" w:hAnsiTheme="minorHAnsi" w:cstheme="minorHAnsi"/>
                      <w:color w:val="000000"/>
                      <w:sz w:val="20"/>
                      <w:szCs w:val="20"/>
                      <w:lang w:eastAsia="en-IN"/>
                    </w:rPr>
                  </w:pPr>
                  <w:r w:rsidRPr="0020127F">
                    <w:rPr>
                      <w:rFonts w:asciiTheme="minorHAnsi" w:hAnsiTheme="minorHAnsi" w:cstheme="minorHAnsi"/>
                      <w:color w:val="000000"/>
                      <w:sz w:val="20"/>
                      <w:szCs w:val="20"/>
                      <w:lang w:eastAsia="en-IN"/>
                    </w:rPr>
                    <w:t>15 years / (01 September 2013 / 31 August 2028)</w:t>
                  </w:r>
                </w:p>
              </w:tc>
              <w:tc>
                <w:tcPr>
                  <w:tcW w:w="974" w:type="pct"/>
                  <w:shd w:val="clear" w:color="auto" w:fill="auto"/>
                  <w:noWrap/>
                  <w:vAlign w:val="center"/>
                  <w:hideMark/>
                </w:tcPr>
                <w:p w:rsidR="00A46DB3" w:rsidRPr="0020127F" w:rsidRDefault="00A46DB3" w:rsidP="0020127F">
                  <w:pPr>
                    <w:spacing w:after="0" w:line="360" w:lineRule="auto"/>
                    <w:jc w:val="center"/>
                    <w:rPr>
                      <w:rFonts w:asciiTheme="minorHAnsi" w:hAnsiTheme="minorHAnsi" w:cstheme="minorHAnsi"/>
                      <w:color w:val="000000"/>
                      <w:sz w:val="20"/>
                      <w:szCs w:val="20"/>
                      <w:lang w:eastAsia="en-IN"/>
                    </w:rPr>
                  </w:pPr>
                  <w:r w:rsidRPr="0020127F">
                    <w:rPr>
                      <w:rFonts w:asciiTheme="minorHAnsi" w:hAnsiTheme="minorHAnsi" w:cstheme="minorHAnsi"/>
                      <w:color w:val="000000"/>
                      <w:sz w:val="20"/>
                      <w:szCs w:val="20"/>
                      <w:lang w:eastAsia="en-IN"/>
                    </w:rPr>
                    <w:t>150 MW</w:t>
                  </w:r>
                </w:p>
              </w:tc>
              <w:tc>
                <w:tcPr>
                  <w:tcW w:w="1190" w:type="pct"/>
                  <w:shd w:val="clear" w:color="auto" w:fill="auto"/>
                  <w:noWrap/>
                  <w:vAlign w:val="center"/>
                  <w:hideMark/>
                </w:tcPr>
                <w:p w:rsidR="00A46DB3" w:rsidRPr="0020127F" w:rsidRDefault="00A46DB3" w:rsidP="0020127F">
                  <w:pPr>
                    <w:spacing w:after="0" w:line="360" w:lineRule="auto"/>
                    <w:jc w:val="center"/>
                    <w:rPr>
                      <w:rFonts w:asciiTheme="minorHAnsi" w:hAnsiTheme="minorHAnsi" w:cstheme="minorHAnsi"/>
                      <w:color w:val="000000"/>
                      <w:sz w:val="20"/>
                      <w:szCs w:val="20"/>
                      <w:lang w:eastAsia="en-IN"/>
                    </w:rPr>
                  </w:pPr>
                  <w:r w:rsidRPr="0020127F">
                    <w:rPr>
                      <w:rFonts w:asciiTheme="minorHAnsi" w:hAnsiTheme="minorHAnsi" w:cstheme="minorHAnsi"/>
                      <w:color w:val="000000"/>
                      <w:sz w:val="20"/>
                      <w:szCs w:val="20"/>
                      <w:lang w:eastAsia="en-IN"/>
                    </w:rPr>
                    <w:t>4.76</w:t>
                  </w:r>
                </w:p>
              </w:tc>
            </w:tr>
            <w:tr w:rsidR="00A46DB3" w:rsidRPr="0020127F" w:rsidTr="0020127F">
              <w:trPr>
                <w:trHeight w:val="300"/>
              </w:trPr>
              <w:tc>
                <w:tcPr>
                  <w:tcW w:w="889" w:type="pct"/>
                  <w:shd w:val="clear" w:color="auto" w:fill="auto"/>
                  <w:noWrap/>
                  <w:vAlign w:val="center"/>
                  <w:hideMark/>
                </w:tcPr>
                <w:p w:rsidR="00A46DB3" w:rsidRPr="0020127F" w:rsidRDefault="00A46DB3" w:rsidP="0020127F">
                  <w:pPr>
                    <w:spacing w:after="0" w:line="360" w:lineRule="auto"/>
                    <w:rPr>
                      <w:rFonts w:asciiTheme="minorHAnsi" w:hAnsiTheme="minorHAnsi" w:cstheme="minorHAnsi"/>
                      <w:color w:val="000000"/>
                      <w:sz w:val="20"/>
                      <w:szCs w:val="20"/>
                      <w:lang w:eastAsia="en-IN"/>
                    </w:rPr>
                  </w:pPr>
                  <w:r w:rsidRPr="0020127F">
                    <w:rPr>
                      <w:rFonts w:asciiTheme="minorHAnsi" w:hAnsiTheme="minorHAnsi" w:cstheme="minorHAnsi"/>
                      <w:color w:val="000000"/>
                      <w:sz w:val="20"/>
                      <w:szCs w:val="20"/>
                      <w:lang w:eastAsia="en-IN"/>
                    </w:rPr>
                    <w:t>GUVNL</w:t>
                  </w:r>
                </w:p>
              </w:tc>
              <w:tc>
                <w:tcPr>
                  <w:tcW w:w="1947" w:type="pct"/>
                  <w:shd w:val="clear" w:color="auto" w:fill="auto"/>
                  <w:noWrap/>
                  <w:vAlign w:val="center"/>
                  <w:hideMark/>
                </w:tcPr>
                <w:p w:rsidR="00A46DB3" w:rsidRPr="0020127F" w:rsidRDefault="00A46DB3" w:rsidP="0020127F">
                  <w:pPr>
                    <w:spacing w:after="0" w:line="360" w:lineRule="auto"/>
                    <w:jc w:val="center"/>
                    <w:rPr>
                      <w:rFonts w:asciiTheme="minorHAnsi" w:hAnsiTheme="minorHAnsi" w:cstheme="minorHAnsi"/>
                      <w:color w:val="000000"/>
                      <w:sz w:val="20"/>
                      <w:szCs w:val="20"/>
                      <w:lang w:eastAsia="en-IN"/>
                    </w:rPr>
                  </w:pPr>
                  <w:r w:rsidRPr="0020127F">
                    <w:rPr>
                      <w:rFonts w:asciiTheme="minorHAnsi" w:hAnsiTheme="minorHAnsi" w:cstheme="minorHAnsi"/>
                      <w:color w:val="000000"/>
                      <w:sz w:val="20"/>
                      <w:szCs w:val="20"/>
                      <w:lang w:eastAsia="en-IN"/>
                    </w:rPr>
                    <w:t>23 months / (1 November 2021 / 30 September 2023)</w:t>
                  </w:r>
                </w:p>
              </w:tc>
              <w:tc>
                <w:tcPr>
                  <w:tcW w:w="974" w:type="pct"/>
                  <w:shd w:val="clear" w:color="auto" w:fill="auto"/>
                  <w:noWrap/>
                  <w:vAlign w:val="center"/>
                  <w:hideMark/>
                </w:tcPr>
                <w:p w:rsidR="00A46DB3" w:rsidRPr="0020127F" w:rsidRDefault="00A46DB3" w:rsidP="0020127F">
                  <w:pPr>
                    <w:spacing w:after="0" w:line="360" w:lineRule="auto"/>
                    <w:jc w:val="center"/>
                    <w:rPr>
                      <w:rFonts w:asciiTheme="minorHAnsi" w:hAnsiTheme="minorHAnsi" w:cstheme="minorHAnsi"/>
                      <w:color w:val="000000"/>
                      <w:sz w:val="20"/>
                      <w:szCs w:val="20"/>
                      <w:lang w:eastAsia="en-IN"/>
                    </w:rPr>
                  </w:pPr>
                  <w:r w:rsidRPr="0020127F">
                    <w:rPr>
                      <w:rFonts w:asciiTheme="minorHAnsi" w:hAnsiTheme="minorHAnsi" w:cstheme="minorHAnsi"/>
                      <w:color w:val="000000"/>
                      <w:sz w:val="20"/>
                      <w:szCs w:val="20"/>
                      <w:lang w:eastAsia="en-IN"/>
                    </w:rPr>
                    <w:t>150 MW</w:t>
                  </w:r>
                </w:p>
              </w:tc>
              <w:tc>
                <w:tcPr>
                  <w:tcW w:w="1190" w:type="pct"/>
                  <w:shd w:val="clear" w:color="auto" w:fill="auto"/>
                  <w:noWrap/>
                  <w:vAlign w:val="center"/>
                  <w:hideMark/>
                </w:tcPr>
                <w:p w:rsidR="00A46DB3" w:rsidRPr="0020127F" w:rsidRDefault="00A46DB3" w:rsidP="0020127F">
                  <w:pPr>
                    <w:spacing w:after="0" w:line="360" w:lineRule="auto"/>
                    <w:jc w:val="center"/>
                    <w:rPr>
                      <w:rFonts w:asciiTheme="minorHAnsi" w:hAnsiTheme="minorHAnsi" w:cstheme="minorHAnsi"/>
                      <w:color w:val="000000"/>
                      <w:sz w:val="20"/>
                      <w:szCs w:val="20"/>
                      <w:lang w:eastAsia="en-IN"/>
                    </w:rPr>
                  </w:pPr>
                  <w:r w:rsidRPr="0020127F">
                    <w:rPr>
                      <w:rFonts w:asciiTheme="minorHAnsi" w:hAnsiTheme="minorHAnsi" w:cstheme="minorHAnsi"/>
                      <w:color w:val="000000"/>
                      <w:sz w:val="20"/>
                      <w:szCs w:val="20"/>
                      <w:lang w:eastAsia="en-IN"/>
                    </w:rPr>
                    <w:t>3.68</w:t>
                  </w:r>
                </w:p>
              </w:tc>
            </w:tr>
            <w:tr w:rsidR="00A46DB3" w:rsidRPr="0020127F" w:rsidTr="0020127F">
              <w:trPr>
                <w:trHeight w:val="300"/>
              </w:trPr>
              <w:tc>
                <w:tcPr>
                  <w:tcW w:w="889" w:type="pct"/>
                  <w:shd w:val="clear" w:color="auto" w:fill="auto"/>
                  <w:noWrap/>
                  <w:vAlign w:val="center"/>
                  <w:hideMark/>
                </w:tcPr>
                <w:p w:rsidR="00A46DB3" w:rsidRPr="0020127F" w:rsidRDefault="00A46DB3" w:rsidP="0020127F">
                  <w:pPr>
                    <w:spacing w:after="0" w:line="360" w:lineRule="auto"/>
                    <w:rPr>
                      <w:rFonts w:asciiTheme="minorHAnsi" w:hAnsiTheme="minorHAnsi" w:cstheme="minorHAnsi"/>
                      <w:color w:val="000000"/>
                      <w:sz w:val="20"/>
                      <w:szCs w:val="20"/>
                      <w:lang w:eastAsia="en-IN"/>
                    </w:rPr>
                  </w:pPr>
                  <w:r w:rsidRPr="0020127F">
                    <w:rPr>
                      <w:rFonts w:asciiTheme="minorHAnsi" w:hAnsiTheme="minorHAnsi" w:cstheme="minorHAnsi"/>
                      <w:color w:val="000000"/>
                      <w:sz w:val="20"/>
                      <w:szCs w:val="20"/>
                      <w:lang w:eastAsia="en-IN"/>
                    </w:rPr>
                    <w:t>Sale of merchant power</w:t>
                  </w:r>
                </w:p>
              </w:tc>
              <w:tc>
                <w:tcPr>
                  <w:tcW w:w="1947" w:type="pct"/>
                  <w:shd w:val="clear" w:color="auto" w:fill="auto"/>
                  <w:noWrap/>
                  <w:vAlign w:val="center"/>
                  <w:hideMark/>
                </w:tcPr>
                <w:p w:rsidR="00A46DB3" w:rsidRPr="0020127F" w:rsidRDefault="00A46DB3" w:rsidP="0020127F">
                  <w:pPr>
                    <w:spacing w:after="0" w:line="360" w:lineRule="auto"/>
                    <w:jc w:val="center"/>
                    <w:rPr>
                      <w:rFonts w:asciiTheme="minorHAnsi" w:hAnsiTheme="minorHAnsi" w:cstheme="minorHAnsi"/>
                      <w:color w:val="000000"/>
                      <w:sz w:val="20"/>
                      <w:szCs w:val="20"/>
                      <w:lang w:eastAsia="en-IN"/>
                    </w:rPr>
                  </w:pPr>
                  <w:r w:rsidRPr="0020127F">
                    <w:rPr>
                      <w:rFonts w:asciiTheme="minorHAnsi" w:hAnsiTheme="minorHAnsi" w:cstheme="minorHAnsi"/>
                      <w:color w:val="000000"/>
                      <w:sz w:val="20"/>
                      <w:szCs w:val="20"/>
                      <w:lang w:eastAsia="en-IN"/>
                    </w:rPr>
                    <w:t>Balance capacity</w:t>
                  </w:r>
                </w:p>
              </w:tc>
              <w:tc>
                <w:tcPr>
                  <w:tcW w:w="974" w:type="pct"/>
                  <w:shd w:val="clear" w:color="auto" w:fill="auto"/>
                  <w:noWrap/>
                  <w:vAlign w:val="center"/>
                  <w:hideMark/>
                </w:tcPr>
                <w:p w:rsidR="00A46DB3" w:rsidRPr="0020127F" w:rsidRDefault="00A46DB3" w:rsidP="0020127F">
                  <w:pPr>
                    <w:spacing w:after="0" w:line="360" w:lineRule="auto"/>
                    <w:jc w:val="center"/>
                    <w:rPr>
                      <w:rFonts w:asciiTheme="minorHAnsi" w:hAnsiTheme="minorHAnsi" w:cstheme="minorHAnsi"/>
                      <w:color w:val="000000"/>
                      <w:sz w:val="20"/>
                      <w:szCs w:val="20"/>
                      <w:lang w:eastAsia="en-IN"/>
                    </w:rPr>
                  </w:pPr>
                </w:p>
              </w:tc>
              <w:tc>
                <w:tcPr>
                  <w:tcW w:w="1190" w:type="pct"/>
                  <w:shd w:val="clear" w:color="auto" w:fill="auto"/>
                  <w:noWrap/>
                  <w:vAlign w:val="center"/>
                  <w:hideMark/>
                </w:tcPr>
                <w:p w:rsidR="00A46DB3" w:rsidRPr="0020127F" w:rsidRDefault="00A46DB3" w:rsidP="0020127F">
                  <w:pPr>
                    <w:spacing w:after="0" w:line="360" w:lineRule="auto"/>
                    <w:jc w:val="center"/>
                    <w:rPr>
                      <w:rFonts w:asciiTheme="minorHAnsi" w:hAnsiTheme="minorHAnsi" w:cstheme="minorHAnsi"/>
                      <w:sz w:val="20"/>
                      <w:szCs w:val="20"/>
                      <w:lang w:eastAsia="en-IN"/>
                    </w:rPr>
                  </w:pPr>
                </w:p>
              </w:tc>
            </w:tr>
          </w:tbl>
          <w:p w:rsidR="00262C3E" w:rsidRPr="0020127F" w:rsidRDefault="00262C3E" w:rsidP="0020127F">
            <w:pPr>
              <w:spacing w:line="360" w:lineRule="auto"/>
              <w:rPr>
                <w:rFonts w:asciiTheme="minorHAnsi" w:hAnsiTheme="minorHAnsi" w:cstheme="minorHAnsi"/>
                <w:color w:val="222222"/>
                <w:sz w:val="22"/>
                <w:szCs w:val="22"/>
                <w:lang w:val="en-IN" w:eastAsia="en-IN"/>
              </w:rPr>
            </w:pPr>
          </w:p>
        </w:tc>
      </w:tr>
      <w:tr w:rsidR="00A46DB3" w:rsidRPr="0020127F" w:rsidTr="0020127F">
        <w:tc>
          <w:tcPr>
            <w:tcW w:w="429" w:type="pct"/>
            <w:vAlign w:val="center"/>
          </w:tcPr>
          <w:p w:rsidR="00262C3E" w:rsidRPr="0020127F" w:rsidRDefault="00262C3E" w:rsidP="0020127F">
            <w:pPr>
              <w:pStyle w:val="ListParagraph"/>
              <w:numPr>
                <w:ilvl w:val="3"/>
                <w:numId w:val="3"/>
              </w:numPr>
              <w:spacing w:line="360" w:lineRule="auto"/>
              <w:ind w:left="743" w:hanging="601"/>
              <w:rPr>
                <w:rFonts w:asciiTheme="minorHAnsi" w:hAnsiTheme="minorHAnsi" w:cstheme="minorHAnsi"/>
                <w:b/>
                <w:color w:val="222222"/>
                <w:sz w:val="22"/>
                <w:szCs w:val="22"/>
                <w:lang w:val="en-IN" w:eastAsia="en-IN"/>
              </w:rPr>
            </w:pPr>
          </w:p>
        </w:tc>
        <w:tc>
          <w:tcPr>
            <w:tcW w:w="1142" w:type="pct"/>
            <w:vAlign w:val="center"/>
          </w:tcPr>
          <w:p w:rsidR="00D31688" w:rsidRPr="0020127F" w:rsidRDefault="00721EB5" w:rsidP="0020127F">
            <w:pPr>
              <w:pStyle w:val="ListParagraph"/>
              <w:spacing w:line="360" w:lineRule="auto"/>
              <w:ind w:left="0" w:right="-613"/>
              <w:rPr>
                <w:rFonts w:asciiTheme="minorHAnsi" w:hAnsiTheme="minorHAnsi" w:cstheme="minorHAnsi"/>
                <w:b/>
                <w:sz w:val="22"/>
                <w:szCs w:val="22"/>
              </w:rPr>
            </w:pPr>
            <w:r w:rsidRPr="0020127F">
              <w:rPr>
                <w:rFonts w:asciiTheme="minorHAnsi" w:hAnsiTheme="minorHAnsi" w:cstheme="minorHAnsi"/>
                <w:b/>
                <w:sz w:val="22"/>
                <w:szCs w:val="22"/>
              </w:rPr>
              <w:t xml:space="preserve">Fuel </w:t>
            </w:r>
          </w:p>
          <w:p w:rsidR="00262C3E" w:rsidRPr="0020127F" w:rsidRDefault="00721EB5" w:rsidP="0020127F">
            <w:pPr>
              <w:pStyle w:val="ListParagraph"/>
              <w:spacing w:line="360" w:lineRule="auto"/>
              <w:ind w:left="0" w:right="-613"/>
              <w:rPr>
                <w:rFonts w:asciiTheme="minorHAnsi" w:hAnsiTheme="minorHAnsi" w:cstheme="minorHAnsi"/>
                <w:b/>
                <w:sz w:val="22"/>
                <w:szCs w:val="22"/>
              </w:rPr>
            </w:pPr>
            <w:r w:rsidRPr="0020127F">
              <w:rPr>
                <w:rFonts w:asciiTheme="minorHAnsi" w:hAnsiTheme="minorHAnsi" w:cstheme="minorHAnsi"/>
                <w:b/>
                <w:sz w:val="22"/>
                <w:szCs w:val="22"/>
              </w:rPr>
              <w:t>Arrangement</w:t>
            </w:r>
          </w:p>
        </w:tc>
        <w:tc>
          <w:tcPr>
            <w:tcW w:w="3429" w:type="pct"/>
            <w:vAlign w:val="center"/>
          </w:tcPr>
          <w:p w:rsidR="0020127F" w:rsidRDefault="00D31688" w:rsidP="0080275F">
            <w:pPr>
              <w:pStyle w:val="ListParagraph"/>
              <w:numPr>
                <w:ilvl w:val="1"/>
                <w:numId w:val="23"/>
              </w:numPr>
              <w:spacing w:line="360" w:lineRule="auto"/>
              <w:ind w:left="318"/>
              <w:jc w:val="both"/>
              <w:rPr>
                <w:rFonts w:asciiTheme="minorHAnsi" w:hAnsiTheme="minorHAnsi" w:cstheme="minorHAnsi"/>
                <w:sz w:val="22"/>
                <w:szCs w:val="22"/>
                <w:lang w:val="en-IN" w:eastAsia="en-IN"/>
              </w:rPr>
            </w:pPr>
            <w:r w:rsidRPr="0020127F">
              <w:rPr>
                <w:rFonts w:asciiTheme="minorHAnsi" w:hAnsiTheme="minorHAnsi" w:cstheme="minorHAnsi"/>
                <w:sz w:val="22"/>
                <w:szCs w:val="22"/>
                <w:lang w:val="en-IN" w:eastAsia="en-IN"/>
              </w:rPr>
              <w:t>MTPA coal has been tied up through long term coal linkages from SECL subsidiary of CIL. Base price of coal will be as notified by SECL / WCL/ CIL from time to time</w:t>
            </w:r>
          </w:p>
          <w:p w:rsidR="0080275F" w:rsidRDefault="00D31688" w:rsidP="0080275F">
            <w:pPr>
              <w:pStyle w:val="ListParagraph"/>
              <w:numPr>
                <w:ilvl w:val="1"/>
                <w:numId w:val="23"/>
              </w:numPr>
              <w:spacing w:line="360" w:lineRule="auto"/>
              <w:ind w:left="318"/>
              <w:jc w:val="both"/>
              <w:rPr>
                <w:rFonts w:asciiTheme="minorHAnsi" w:hAnsiTheme="minorHAnsi" w:cstheme="minorHAnsi"/>
                <w:sz w:val="22"/>
                <w:szCs w:val="22"/>
                <w:lang w:val="en-IN" w:eastAsia="en-IN"/>
              </w:rPr>
            </w:pPr>
            <w:r w:rsidRPr="0020127F">
              <w:rPr>
                <w:rFonts w:asciiTheme="minorHAnsi" w:hAnsiTheme="minorHAnsi" w:cstheme="minorHAnsi"/>
                <w:sz w:val="22"/>
                <w:szCs w:val="22"/>
                <w:lang w:val="en-IN" w:eastAsia="en-IN"/>
              </w:rPr>
              <w:t>Unit 1 – FSA with SECL for 20 years – ACQ of 1.3 MTPA (Gevra/ Kusmunda mines) – FSA shall remain in force till the end of 20 years from the Effective Date or life of the Power Plant, whichever is earlier.</w:t>
            </w:r>
          </w:p>
          <w:p w:rsidR="0080275F" w:rsidRDefault="00D31688" w:rsidP="0080275F">
            <w:pPr>
              <w:pStyle w:val="ListParagraph"/>
              <w:numPr>
                <w:ilvl w:val="1"/>
                <w:numId w:val="23"/>
              </w:numPr>
              <w:spacing w:line="360" w:lineRule="auto"/>
              <w:ind w:left="318"/>
              <w:jc w:val="both"/>
              <w:rPr>
                <w:rFonts w:asciiTheme="minorHAnsi" w:hAnsiTheme="minorHAnsi" w:cstheme="minorHAnsi"/>
                <w:sz w:val="22"/>
                <w:szCs w:val="22"/>
                <w:lang w:val="en-IN" w:eastAsia="en-IN"/>
              </w:rPr>
            </w:pPr>
            <w:r w:rsidRPr="0080275F">
              <w:rPr>
                <w:rFonts w:asciiTheme="minorHAnsi" w:hAnsiTheme="minorHAnsi" w:cstheme="minorHAnsi"/>
                <w:sz w:val="22"/>
                <w:szCs w:val="22"/>
                <w:lang w:val="en-IN" w:eastAsia="en-IN"/>
              </w:rPr>
              <w:t xml:space="preserve">Unit 2 – FSA with WCL for 20 years – ACQ of 1.3 MTPA (linkage transferred from SECL to mine specific sources of WCL) – FSA shall remain in force till the end of 20 years from the Effective Date or life </w:t>
            </w:r>
            <w:r w:rsidRPr="0080275F">
              <w:rPr>
                <w:rFonts w:asciiTheme="minorHAnsi" w:hAnsiTheme="minorHAnsi" w:cstheme="minorHAnsi"/>
                <w:sz w:val="22"/>
                <w:szCs w:val="22"/>
                <w:lang w:val="en-IN" w:eastAsia="en-IN"/>
              </w:rPr>
              <w:lastRenderedPageBreak/>
              <w:t>of the Power Plant, whichever is earlier.</w:t>
            </w:r>
          </w:p>
          <w:p w:rsidR="00262C3E" w:rsidRPr="0080275F" w:rsidRDefault="00D31688" w:rsidP="0080275F">
            <w:pPr>
              <w:pStyle w:val="ListParagraph"/>
              <w:numPr>
                <w:ilvl w:val="1"/>
                <w:numId w:val="23"/>
              </w:numPr>
              <w:spacing w:line="360" w:lineRule="auto"/>
              <w:ind w:left="318"/>
              <w:jc w:val="both"/>
              <w:rPr>
                <w:rFonts w:asciiTheme="minorHAnsi" w:hAnsiTheme="minorHAnsi" w:cstheme="minorHAnsi"/>
                <w:sz w:val="22"/>
                <w:szCs w:val="22"/>
                <w:lang w:val="en-IN" w:eastAsia="en-IN"/>
              </w:rPr>
            </w:pPr>
            <w:r w:rsidRPr="0080275F">
              <w:rPr>
                <w:rFonts w:asciiTheme="minorHAnsi" w:hAnsiTheme="minorHAnsi" w:cstheme="minorHAnsi"/>
                <w:sz w:val="22"/>
                <w:szCs w:val="22"/>
                <w:lang w:val="en-IN" w:eastAsia="en-IN"/>
              </w:rPr>
              <w:t>Rest of coal is procured through e-auction/ special auctions.</w:t>
            </w:r>
          </w:p>
        </w:tc>
      </w:tr>
      <w:tr w:rsidR="00A46DB3" w:rsidRPr="0020127F" w:rsidTr="0020127F">
        <w:tc>
          <w:tcPr>
            <w:tcW w:w="429" w:type="pct"/>
            <w:vAlign w:val="center"/>
          </w:tcPr>
          <w:p w:rsidR="00262C3E" w:rsidRPr="0020127F" w:rsidRDefault="00262C3E" w:rsidP="0020127F">
            <w:pPr>
              <w:pStyle w:val="ListParagraph"/>
              <w:numPr>
                <w:ilvl w:val="3"/>
                <w:numId w:val="3"/>
              </w:numPr>
              <w:spacing w:line="360" w:lineRule="auto"/>
              <w:ind w:left="743" w:hanging="601"/>
              <w:rPr>
                <w:rFonts w:asciiTheme="minorHAnsi" w:hAnsiTheme="minorHAnsi" w:cstheme="minorHAnsi"/>
                <w:b/>
                <w:color w:val="222222"/>
                <w:sz w:val="22"/>
                <w:szCs w:val="22"/>
                <w:lang w:val="en-IN" w:eastAsia="en-IN"/>
              </w:rPr>
            </w:pPr>
          </w:p>
        </w:tc>
        <w:tc>
          <w:tcPr>
            <w:tcW w:w="1142" w:type="pct"/>
            <w:vAlign w:val="center"/>
          </w:tcPr>
          <w:p w:rsidR="0037174C" w:rsidRPr="0020127F" w:rsidRDefault="00D31688" w:rsidP="0020127F">
            <w:pPr>
              <w:pStyle w:val="ListParagraph"/>
              <w:spacing w:line="360" w:lineRule="auto"/>
              <w:ind w:left="0" w:right="-613"/>
              <w:rPr>
                <w:rFonts w:asciiTheme="minorHAnsi" w:hAnsiTheme="minorHAnsi" w:cstheme="minorHAnsi"/>
                <w:b/>
                <w:sz w:val="22"/>
                <w:szCs w:val="22"/>
              </w:rPr>
            </w:pPr>
            <w:r w:rsidRPr="0020127F">
              <w:rPr>
                <w:rFonts w:asciiTheme="minorHAnsi" w:hAnsiTheme="minorHAnsi" w:cstheme="minorHAnsi"/>
                <w:b/>
                <w:sz w:val="22"/>
                <w:szCs w:val="22"/>
              </w:rPr>
              <w:t xml:space="preserve">Water </w:t>
            </w:r>
          </w:p>
          <w:p w:rsidR="00262C3E" w:rsidRPr="0020127F" w:rsidRDefault="00D31688" w:rsidP="0020127F">
            <w:pPr>
              <w:pStyle w:val="ListParagraph"/>
              <w:spacing w:line="360" w:lineRule="auto"/>
              <w:ind w:left="0" w:right="-613"/>
              <w:rPr>
                <w:rFonts w:asciiTheme="minorHAnsi" w:hAnsiTheme="minorHAnsi" w:cstheme="minorHAnsi"/>
                <w:b/>
                <w:sz w:val="22"/>
                <w:szCs w:val="22"/>
              </w:rPr>
            </w:pPr>
            <w:r w:rsidRPr="0020127F">
              <w:rPr>
                <w:rFonts w:asciiTheme="minorHAnsi" w:hAnsiTheme="minorHAnsi" w:cstheme="minorHAnsi"/>
                <w:b/>
                <w:sz w:val="22"/>
                <w:szCs w:val="22"/>
              </w:rPr>
              <w:t>Arrangement</w:t>
            </w:r>
          </w:p>
        </w:tc>
        <w:tc>
          <w:tcPr>
            <w:tcW w:w="3429" w:type="pct"/>
            <w:vAlign w:val="center"/>
          </w:tcPr>
          <w:p w:rsidR="0080275F" w:rsidRDefault="00D31688" w:rsidP="0080275F">
            <w:pPr>
              <w:pStyle w:val="ListParagraph"/>
              <w:numPr>
                <w:ilvl w:val="1"/>
                <w:numId w:val="23"/>
              </w:numPr>
              <w:spacing w:line="360" w:lineRule="auto"/>
              <w:ind w:left="318"/>
              <w:jc w:val="both"/>
              <w:rPr>
                <w:rFonts w:asciiTheme="minorHAnsi" w:hAnsiTheme="minorHAnsi" w:cstheme="minorHAnsi"/>
                <w:sz w:val="22"/>
                <w:szCs w:val="22"/>
                <w:lang w:val="en-IN" w:eastAsia="en-IN"/>
              </w:rPr>
            </w:pPr>
            <w:r w:rsidRPr="0080275F">
              <w:rPr>
                <w:rFonts w:asciiTheme="minorHAnsi" w:hAnsiTheme="minorHAnsi" w:cstheme="minorHAnsi"/>
                <w:sz w:val="22"/>
                <w:szCs w:val="22"/>
                <w:lang w:val="en-IN" w:eastAsia="en-IN"/>
              </w:rPr>
              <w:t>Raw water source of GWEL is from river Wardha at about 10 km from the plant where pump house arrangement is done. The company has taken approval from State Water Resources authority for 50 MLD.</w:t>
            </w:r>
          </w:p>
          <w:p w:rsidR="0080275F" w:rsidRDefault="00D31688" w:rsidP="0080275F">
            <w:pPr>
              <w:pStyle w:val="ListParagraph"/>
              <w:numPr>
                <w:ilvl w:val="1"/>
                <w:numId w:val="23"/>
              </w:numPr>
              <w:spacing w:line="360" w:lineRule="auto"/>
              <w:ind w:left="318"/>
              <w:jc w:val="both"/>
              <w:rPr>
                <w:rFonts w:asciiTheme="minorHAnsi" w:hAnsiTheme="minorHAnsi" w:cstheme="minorHAnsi"/>
                <w:sz w:val="22"/>
                <w:szCs w:val="22"/>
                <w:lang w:val="en-IN" w:eastAsia="en-IN"/>
              </w:rPr>
            </w:pPr>
            <w:r w:rsidRPr="0080275F">
              <w:rPr>
                <w:rFonts w:asciiTheme="minorHAnsi" w:hAnsiTheme="minorHAnsi" w:cstheme="minorHAnsi"/>
                <w:sz w:val="22"/>
                <w:szCs w:val="22"/>
                <w:lang w:val="en-IN" w:eastAsia="en-IN"/>
              </w:rPr>
              <w:t>Two reservoirs have been built at plant having storage capacity of 1.75 Lakh cum and 2.65 Lakh cum respectively to facilitate storage and supply to the plant. Current rate is Rs 2.20 per cum.</w:t>
            </w:r>
          </w:p>
          <w:p w:rsidR="00262C3E" w:rsidRPr="0080275F" w:rsidRDefault="00D31688" w:rsidP="0080275F">
            <w:pPr>
              <w:pStyle w:val="ListParagraph"/>
              <w:numPr>
                <w:ilvl w:val="1"/>
                <w:numId w:val="23"/>
              </w:numPr>
              <w:spacing w:line="360" w:lineRule="auto"/>
              <w:ind w:left="318"/>
              <w:jc w:val="both"/>
              <w:rPr>
                <w:rFonts w:asciiTheme="minorHAnsi" w:hAnsiTheme="minorHAnsi" w:cstheme="minorHAnsi"/>
                <w:sz w:val="22"/>
                <w:szCs w:val="22"/>
                <w:lang w:val="en-IN" w:eastAsia="en-IN"/>
              </w:rPr>
            </w:pPr>
            <w:r w:rsidRPr="0080275F">
              <w:rPr>
                <w:rFonts w:asciiTheme="minorHAnsi" w:hAnsiTheme="minorHAnsi" w:cstheme="minorHAnsi"/>
                <w:sz w:val="22"/>
                <w:szCs w:val="22"/>
                <w:lang w:val="en-IN" w:eastAsia="en-IN"/>
              </w:rPr>
              <w:t>Weir system is also in place to store the water (~21MCM) for lean season requirement</w:t>
            </w:r>
          </w:p>
        </w:tc>
      </w:tr>
      <w:tr w:rsidR="00D31688" w:rsidRPr="0020127F" w:rsidTr="0020127F">
        <w:tc>
          <w:tcPr>
            <w:tcW w:w="429" w:type="pct"/>
            <w:vAlign w:val="center"/>
          </w:tcPr>
          <w:p w:rsidR="00D31688" w:rsidRPr="0020127F" w:rsidRDefault="00D31688" w:rsidP="0020127F">
            <w:pPr>
              <w:pStyle w:val="ListParagraph"/>
              <w:numPr>
                <w:ilvl w:val="3"/>
                <w:numId w:val="3"/>
              </w:numPr>
              <w:spacing w:line="360" w:lineRule="auto"/>
              <w:ind w:left="743" w:hanging="601"/>
              <w:rPr>
                <w:rFonts w:asciiTheme="minorHAnsi" w:hAnsiTheme="minorHAnsi" w:cstheme="minorHAnsi"/>
                <w:b/>
                <w:color w:val="222222"/>
                <w:sz w:val="22"/>
                <w:szCs w:val="22"/>
                <w:lang w:val="en-IN" w:eastAsia="en-IN"/>
              </w:rPr>
            </w:pPr>
          </w:p>
        </w:tc>
        <w:tc>
          <w:tcPr>
            <w:tcW w:w="1142" w:type="pct"/>
            <w:vAlign w:val="center"/>
          </w:tcPr>
          <w:p w:rsidR="00D31688" w:rsidRPr="0020127F" w:rsidRDefault="00D31688" w:rsidP="0020127F">
            <w:pPr>
              <w:pStyle w:val="ListParagraph"/>
              <w:spacing w:line="360" w:lineRule="auto"/>
              <w:ind w:left="0" w:right="-613"/>
              <w:rPr>
                <w:rFonts w:asciiTheme="minorHAnsi" w:hAnsiTheme="minorHAnsi" w:cstheme="minorHAnsi"/>
                <w:b/>
                <w:sz w:val="22"/>
                <w:szCs w:val="22"/>
              </w:rPr>
            </w:pPr>
            <w:r w:rsidRPr="0020127F">
              <w:rPr>
                <w:rFonts w:asciiTheme="minorHAnsi" w:hAnsiTheme="minorHAnsi" w:cstheme="minorHAnsi"/>
                <w:b/>
                <w:sz w:val="22"/>
                <w:szCs w:val="22"/>
              </w:rPr>
              <w:t xml:space="preserve">Power </w:t>
            </w:r>
          </w:p>
          <w:p w:rsidR="00D31688" w:rsidRPr="0020127F" w:rsidRDefault="00D31688" w:rsidP="0020127F">
            <w:pPr>
              <w:pStyle w:val="ListParagraph"/>
              <w:spacing w:line="360" w:lineRule="auto"/>
              <w:ind w:left="0" w:right="-613"/>
              <w:rPr>
                <w:rFonts w:asciiTheme="minorHAnsi" w:hAnsiTheme="minorHAnsi" w:cstheme="minorHAnsi"/>
                <w:b/>
                <w:sz w:val="22"/>
                <w:szCs w:val="22"/>
              </w:rPr>
            </w:pPr>
            <w:r w:rsidRPr="0020127F">
              <w:rPr>
                <w:rFonts w:asciiTheme="minorHAnsi" w:hAnsiTheme="minorHAnsi" w:cstheme="minorHAnsi"/>
                <w:b/>
                <w:sz w:val="22"/>
                <w:szCs w:val="22"/>
              </w:rPr>
              <w:t>Evacuation</w:t>
            </w:r>
          </w:p>
        </w:tc>
        <w:tc>
          <w:tcPr>
            <w:tcW w:w="3429" w:type="pct"/>
            <w:vAlign w:val="center"/>
          </w:tcPr>
          <w:p w:rsidR="00D31688" w:rsidRPr="0020127F" w:rsidRDefault="00D31688" w:rsidP="0080275F">
            <w:pPr>
              <w:spacing w:line="360" w:lineRule="auto"/>
              <w:rPr>
                <w:rFonts w:asciiTheme="minorHAnsi" w:hAnsiTheme="minorHAnsi" w:cstheme="minorHAnsi"/>
                <w:sz w:val="22"/>
                <w:szCs w:val="22"/>
                <w:lang w:val="en-IN" w:eastAsia="en-IN"/>
              </w:rPr>
            </w:pPr>
            <w:r w:rsidRPr="0020127F">
              <w:rPr>
                <w:rFonts w:asciiTheme="minorHAnsi" w:hAnsiTheme="minorHAnsi" w:cstheme="minorHAnsi"/>
                <w:sz w:val="22"/>
                <w:szCs w:val="22"/>
                <w:lang w:val="en-IN" w:eastAsia="en-IN"/>
              </w:rPr>
              <w:t>The generated power is being evacuated through one double circuit 400 KV transmission line through PGCIL Bhadravati 400 KV substation, which is about 30 km from the project site.</w:t>
            </w:r>
          </w:p>
        </w:tc>
      </w:tr>
    </w:tbl>
    <w:p w:rsidR="00E61B0A" w:rsidRPr="00E61B0A" w:rsidRDefault="00E61B0A" w:rsidP="00E61B0A">
      <w:pPr>
        <w:pStyle w:val="ListParagraph"/>
        <w:spacing w:after="0" w:line="360" w:lineRule="auto"/>
        <w:ind w:left="0" w:right="-613"/>
        <w:jc w:val="right"/>
        <w:rPr>
          <w:rFonts w:ascii="Arial" w:hAnsi="Arial" w:cs="Arial"/>
          <w:i/>
          <w:sz w:val="20"/>
          <w:szCs w:val="22"/>
        </w:rPr>
      </w:pPr>
      <w:r w:rsidRPr="00E61B0A">
        <w:rPr>
          <w:rFonts w:ascii="Arial" w:hAnsi="Arial" w:cs="Arial"/>
          <w:b/>
          <w:i/>
          <w:sz w:val="20"/>
          <w:szCs w:val="22"/>
        </w:rPr>
        <w:t>Source</w:t>
      </w:r>
      <w:r w:rsidRPr="00E61B0A">
        <w:rPr>
          <w:rFonts w:ascii="Arial" w:hAnsi="Arial" w:cs="Arial"/>
          <w:i/>
          <w:sz w:val="20"/>
          <w:szCs w:val="22"/>
        </w:rPr>
        <w:t>: Lenders Information Memorandum shared by the client/company</w:t>
      </w:r>
    </w:p>
    <w:p w:rsidR="00B65A69" w:rsidRDefault="00B65A69" w:rsidP="0080275F">
      <w:pPr>
        <w:pStyle w:val="ListParagraph"/>
        <w:spacing w:before="240" w:line="360" w:lineRule="auto"/>
        <w:ind w:left="0" w:right="-613"/>
        <w:jc w:val="both"/>
        <w:rPr>
          <w:rFonts w:ascii="Arial" w:hAnsi="Arial" w:cs="Arial"/>
          <w:sz w:val="22"/>
          <w:szCs w:val="22"/>
        </w:rPr>
      </w:pPr>
      <w:r>
        <w:rPr>
          <w:rFonts w:ascii="Arial" w:hAnsi="Arial" w:cs="Arial"/>
          <w:sz w:val="22"/>
          <w:szCs w:val="22"/>
        </w:rPr>
        <w:t>Below table shows the historical financial perform</w:t>
      </w:r>
      <w:r w:rsidR="00D31688">
        <w:rPr>
          <w:rFonts w:ascii="Arial" w:hAnsi="Arial" w:cs="Arial"/>
          <w:sz w:val="22"/>
          <w:szCs w:val="22"/>
        </w:rPr>
        <w:t>ance of the company from FY 2019</w:t>
      </w:r>
      <w:r w:rsidR="0080275F">
        <w:rPr>
          <w:rFonts w:ascii="Arial" w:hAnsi="Arial" w:cs="Arial"/>
          <w:sz w:val="22"/>
          <w:szCs w:val="22"/>
        </w:rPr>
        <w:t xml:space="preserve"> to FY 2021</w:t>
      </w:r>
      <w:r>
        <w:rPr>
          <w:rFonts w:ascii="Arial" w:hAnsi="Arial" w:cs="Arial"/>
          <w:sz w:val="22"/>
          <w:szCs w:val="22"/>
        </w:rPr>
        <w:t>:</w:t>
      </w:r>
    </w:p>
    <w:tbl>
      <w:tblPr>
        <w:tblW w:w="4351"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845"/>
        <w:gridCol w:w="1843"/>
        <w:gridCol w:w="1981"/>
      </w:tblGrid>
      <w:tr w:rsidR="0037174C" w:rsidRPr="00F83EB1" w:rsidTr="0080275F">
        <w:trPr>
          <w:trHeight w:val="428"/>
        </w:trPr>
        <w:tc>
          <w:tcPr>
            <w:tcW w:w="1429" w:type="pct"/>
            <w:shd w:val="clear" w:color="auto" w:fill="002060"/>
            <w:noWrap/>
            <w:vAlign w:val="center"/>
            <w:hideMark/>
          </w:tcPr>
          <w:p w:rsidR="0037174C" w:rsidRPr="003A4457" w:rsidRDefault="0037174C" w:rsidP="007064CB">
            <w:pPr>
              <w:spacing w:after="0" w:line="240" w:lineRule="auto"/>
              <w:rPr>
                <w:rFonts w:asciiTheme="minorHAnsi" w:hAnsiTheme="minorHAnsi" w:cstheme="minorHAnsi"/>
                <w:b/>
                <w:color w:val="FFFFFF" w:themeColor="background1"/>
                <w:sz w:val="22"/>
                <w:szCs w:val="22"/>
                <w:lang w:eastAsia="en-IN"/>
              </w:rPr>
            </w:pPr>
            <w:r w:rsidRPr="003A4457">
              <w:rPr>
                <w:rFonts w:asciiTheme="minorHAnsi" w:hAnsiTheme="minorHAnsi" w:cstheme="minorHAnsi"/>
                <w:b/>
                <w:color w:val="FFFFFF" w:themeColor="background1"/>
                <w:sz w:val="22"/>
                <w:szCs w:val="22"/>
                <w:lang w:eastAsia="en-IN"/>
              </w:rPr>
              <w:t>FY Ending (Rs. Cr.)</w:t>
            </w:r>
          </w:p>
        </w:tc>
        <w:tc>
          <w:tcPr>
            <w:tcW w:w="1162" w:type="pct"/>
            <w:shd w:val="clear" w:color="auto" w:fill="002060"/>
            <w:noWrap/>
            <w:vAlign w:val="center"/>
            <w:hideMark/>
          </w:tcPr>
          <w:p w:rsidR="0037174C" w:rsidRPr="003A4457" w:rsidRDefault="0037174C" w:rsidP="007064CB">
            <w:pPr>
              <w:spacing w:after="0" w:line="240" w:lineRule="auto"/>
              <w:jc w:val="center"/>
              <w:rPr>
                <w:rFonts w:asciiTheme="minorHAnsi" w:hAnsiTheme="minorHAnsi" w:cstheme="minorHAnsi"/>
                <w:b/>
                <w:color w:val="FFFFFF" w:themeColor="background1"/>
                <w:sz w:val="22"/>
                <w:szCs w:val="22"/>
                <w:lang w:eastAsia="en-IN"/>
              </w:rPr>
            </w:pPr>
            <w:r w:rsidRPr="003A4457">
              <w:rPr>
                <w:rFonts w:asciiTheme="minorHAnsi" w:hAnsiTheme="minorHAnsi" w:cstheme="minorHAnsi"/>
                <w:b/>
                <w:color w:val="FFFFFF" w:themeColor="background1"/>
                <w:sz w:val="22"/>
                <w:szCs w:val="22"/>
                <w:lang w:eastAsia="en-IN"/>
              </w:rPr>
              <w:t>Mar 2019 (Aud.)</w:t>
            </w:r>
          </w:p>
        </w:tc>
        <w:tc>
          <w:tcPr>
            <w:tcW w:w="1161" w:type="pct"/>
            <w:shd w:val="clear" w:color="auto" w:fill="002060"/>
            <w:noWrap/>
            <w:vAlign w:val="center"/>
            <w:hideMark/>
          </w:tcPr>
          <w:p w:rsidR="0037174C" w:rsidRPr="003A4457" w:rsidRDefault="0037174C" w:rsidP="007064CB">
            <w:pPr>
              <w:spacing w:after="0" w:line="240" w:lineRule="auto"/>
              <w:jc w:val="center"/>
              <w:rPr>
                <w:rFonts w:asciiTheme="minorHAnsi" w:hAnsiTheme="minorHAnsi" w:cstheme="minorHAnsi"/>
                <w:b/>
                <w:color w:val="FFFFFF" w:themeColor="background1"/>
                <w:sz w:val="22"/>
                <w:szCs w:val="22"/>
                <w:lang w:eastAsia="en-IN"/>
              </w:rPr>
            </w:pPr>
            <w:r w:rsidRPr="003A4457">
              <w:rPr>
                <w:rFonts w:asciiTheme="minorHAnsi" w:hAnsiTheme="minorHAnsi" w:cstheme="minorHAnsi"/>
                <w:b/>
                <w:color w:val="FFFFFF" w:themeColor="background1"/>
                <w:sz w:val="22"/>
                <w:szCs w:val="22"/>
                <w:lang w:eastAsia="en-IN"/>
              </w:rPr>
              <w:t>Mar 2020 (Aud.)</w:t>
            </w:r>
          </w:p>
        </w:tc>
        <w:tc>
          <w:tcPr>
            <w:tcW w:w="1249" w:type="pct"/>
            <w:shd w:val="clear" w:color="auto" w:fill="002060"/>
            <w:noWrap/>
            <w:vAlign w:val="center"/>
            <w:hideMark/>
          </w:tcPr>
          <w:p w:rsidR="0037174C" w:rsidRPr="003A4457" w:rsidRDefault="0037174C" w:rsidP="007064CB">
            <w:pPr>
              <w:spacing w:after="0" w:line="240" w:lineRule="auto"/>
              <w:jc w:val="center"/>
              <w:rPr>
                <w:rFonts w:asciiTheme="minorHAnsi" w:hAnsiTheme="minorHAnsi" w:cstheme="minorHAnsi"/>
                <w:b/>
                <w:color w:val="FFFFFF" w:themeColor="background1"/>
                <w:sz w:val="22"/>
                <w:szCs w:val="22"/>
                <w:lang w:eastAsia="en-IN"/>
              </w:rPr>
            </w:pPr>
            <w:r w:rsidRPr="003A4457">
              <w:rPr>
                <w:rFonts w:asciiTheme="minorHAnsi" w:hAnsiTheme="minorHAnsi" w:cstheme="minorHAnsi"/>
                <w:b/>
                <w:color w:val="FFFFFF" w:themeColor="background1"/>
                <w:sz w:val="22"/>
                <w:szCs w:val="22"/>
                <w:lang w:eastAsia="en-IN"/>
              </w:rPr>
              <w:t>Mar 2021 (Aud.)</w:t>
            </w:r>
          </w:p>
        </w:tc>
      </w:tr>
      <w:tr w:rsidR="0037174C" w:rsidRPr="00F83EB1" w:rsidTr="0080275F">
        <w:trPr>
          <w:trHeight w:val="300"/>
        </w:trPr>
        <w:tc>
          <w:tcPr>
            <w:tcW w:w="1429" w:type="pct"/>
            <w:shd w:val="clear" w:color="auto" w:fill="auto"/>
            <w:noWrap/>
            <w:vAlign w:val="center"/>
            <w:hideMark/>
          </w:tcPr>
          <w:p w:rsidR="0037174C" w:rsidRPr="003A4457" w:rsidRDefault="0037174C" w:rsidP="007064CB">
            <w:pPr>
              <w:spacing w:after="0" w:line="240" w:lineRule="auto"/>
              <w:rPr>
                <w:rFonts w:asciiTheme="minorHAnsi" w:hAnsiTheme="minorHAnsi" w:cstheme="minorHAnsi"/>
                <w:color w:val="000000"/>
                <w:sz w:val="22"/>
                <w:szCs w:val="22"/>
                <w:lang w:eastAsia="en-IN"/>
              </w:rPr>
            </w:pPr>
            <w:r w:rsidRPr="003A4457">
              <w:rPr>
                <w:rFonts w:asciiTheme="minorHAnsi" w:hAnsiTheme="minorHAnsi" w:cstheme="minorHAnsi"/>
                <w:color w:val="000000"/>
                <w:sz w:val="22"/>
                <w:szCs w:val="22"/>
                <w:lang w:eastAsia="en-IN"/>
              </w:rPr>
              <w:t>Revenue from Operations</w:t>
            </w:r>
          </w:p>
        </w:tc>
        <w:tc>
          <w:tcPr>
            <w:tcW w:w="1162" w:type="pct"/>
            <w:shd w:val="clear" w:color="auto" w:fill="auto"/>
            <w:noWrap/>
            <w:vAlign w:val="center"/>
            <w:hideMark/>
          </w:tcPr>
          <w:p w:rsidR="0037174C" w:rsidRPr="003A4457" w:rsidRDefault="0037174C" w:rsidP="007064CB">
            <w:pPr>
              <w:spacing w:after="0" w:line="240" w:lineRule="auto"/>
              <w:jc w:val="center"/>
              <w:rPr>
                <w:rFonts w:asciiTheme="minorHAnsi" w:hAnsiTheme="minorHAnsi" w:cstheme="minorHAnsi"/>
                <w:color w:val="000000"/>
                <w:sz w:val="22"/>
                <w:szCs w:val="22"/>
                <w:lang w:eastAsia="en-IN"/>
              </w:rPr>
            </w:pPr>
            <w:r w:rsidRPr="003A4457">
              <w:rPr>
                <w:rFonts w:asciiTheme="minorHAnsi" w:hAnsiTheme="minorHAnsi" w:cstheme="minorHAnsi"/>
                <w:color w:val="000000"/>
                <w:sz w:val="22"/>
                <w:szCs w:val="22"/>
                <w:lang w:eastAsia="en-IN"/>
              </w:rPr>
              <w:t>1,894</w:t>
            </w:r>
          </w:p>
        </w:tc>
        <w:tc>
          <w:tcPr>
            <w:tcW w:w="1161" w:type="pct"/>
            <w:shd w:val="clear" w:color="auto" w:fill="auto"/>
            <w:noWrap/>
            <w:vAlign w:val="center"/>
            <w:hideMark/>
          </w:tcPr>
          <w:p w:rsidR="0037174C" w:rsidRPr="003A4457" w:rsidRDefault="0037174C" w:rsidP="007064CB">
            <w:pPr>
              <w:spacing w:after="0" w:line="240" w:lineRule="auto"/>
              <w:jc w:val="center"/>
              <w:rPr>
                <w:rFonts w:asciiTheme="minorHAnsi" w:hAnsiTheme="minorHAnsi" w:cstheme="minorHAnsi"/>
                <w:color w:val="000000"/>
                <w:sz w:val="22"/>
                <w:szCs w:val="22"/>
                <w:lang w:eastAsia="en-IN"/>
              </w:rPr>
            </w:pPr>
            <w:r w:rsidRPr="003A4457">
              <w:rPr>
                <w:rFonts w:asciiTheme="minorHAnsi" w:hAnsiTheme="minorHAnsi" w:cstheme="minorHAnsi"/>
                <w:color w:val="000000"/>
                <w:sz w:val="22"/>
                <w:szCs w:val="22"/>
                <w:lang w:eastAsia="en-IN"/>
              </w:rPr>
              <w:t>1,844</w:t>
            </w:r>
          </w:p>
        </w:tc>
        <w:tc>
          <w:tcPr>
            <w:tcW w:w="1249" w:type="pct"/>
            <w:shd w:val="clear" w:color="auto" w:fill="auto"/>
            <w:noWrap/>
            <w:vAlign w:val="center"/>
            <w:hideMark/>
          </w:tcPr>
          <w:p w:rsidR="0037174C" w:rsidRPr="003A4457" w:rsidRDefault="0037174C" w:rsidP="007064CB">
            <w:pPr>
              <w:spacing w:after="0" w:line="240" w:lineRule="auto"/>
              <w:jc w:val="center"/>
              <w:rPr>
                <w:rFonts w:asciiTheme="minorHAnsi" w:hAnsiTheme="minorHAnsi" w:cstheme="minorHAnsi"/>
                <w:color w:val="000000"/>
                <w:sz w:val="22"/>
                <w:szCs w:val="22"/>
                <w:lang w:eastAsia="en-IN"/>
              </w:rPr>
            </w:pPr>
            <w:r w:rsidRPr="003A4457">
              <w:rPr>
                <w:rFonts w:asciiTheme="minorHAnsi" w:hAnsiTheme="minorHAnsi" w:cstheme="minorHAnsi"/>
                <w:color w:val="000000"/>
                <w:sz w:val="22"/>
                <w:szCs w:val="22"/>
                <w:lang w:eastAsia="en-IN"/>
              </w:rPr>
              <w:t>1,477</w:t>
            </w:r>
          </w:p>
        </w:tc>
      </w:tr>
      <w:tr w:rsidR="0037174C" w:rsidRPr="00F83EB1" w:rsidTr="0080275F">
        <w:trPr>
          <w:trHeight w:val="443"/>
        </w:trPr>
        <w:tc>
          <w:tcPr>
            <w:tcW w:w="1429" w:type="pct"/>
            <w:shd w:val="clear" w:color="auto" w:fill="auto"/>
            <w:noWrap/>
            <w:vAlign w:val="center"/>
            <w:hideMark/>
          </w:tcPr>
          <w:p w:rsidR="0037174C" w:rsidRPr="003A4457" w:rsidRDefault="0037174C" w:rsidP="007064CB">
            <w:pPr>
              <w:spacing w:after="0" w:line="240" w:lineRule="auto"/>
              <w:rPr>
                <w:rFonts w:asciiTheme="minorHAnsi" w:hAnsiTheme="minorHAnsi" w:cstheme="minorHAnsi"/>
                <w:color w:val="000000"/>
                <w:sz w:val="22"/>
                <w:szCs w:val="22"/>
                <w:lang w:eastAsia="en-IN"/>
              </w:rPr>
            </w:pPr>
            <w:r w:rsidRPr="003A4457">
              <w:rPr>
                <w:rFonts w:asciiTheme="minorHAnsi" w:hAnsiTheme="minorHAnsi" w:cstheme="minorHAnsi"/>
                <w:color w:val="000000"/>
                <w:sz w:val="22"/>
                <w:szCs w:val="22"/>
                <w:lang w:eastAsia="en-IN"/>
              </w:rPr>
              <w:t>EBITDA</w:t>
            </w:r>
          </w:p>
        </w:tc>
        <w:tc>
          <w:tcPr>
            <w:tcW w:w="1162" w:type="pct"/>
            <w:shd w:val="clear" w:color="auto" w:fill="auto"/>
            <w:noWrap/>
            <w:vAlign w:val="center"/>
            <w:hideMark/>
          </w:tcPr>
          <w:p w:rsidR="0037174C" w:rsidRPr="003A4457" w:rsidRDefault="0037174C" w:rsidP="007064CB">
            <w:pPr>
              <w:spacing w:after="0" w:line="240" w:lineRule="auto"/>
              <w:jc w:val="center"/>
              <w:rPr>
                <w:rFonts w:asciiTheme="minorHAnsi" w:hAnsiTheme="minorHAnsi" w:cstheme="minorHAnsi"/>
                <w:color w:val="000000"/>
                <w:sz w:val="22"/>
                <w:szCs w:val="22"/>
                <w:lang w:eastAsia="en-IN"/>
              </w:rPr>
            </w:pPr>
            <w:r w:rsidRPr="003A4457">
              <w:rPr>
                <w:rFonts w:asciiTheme="minorHAnsi" w:hAnsiTheme="minorHAnsi" w:cstheme="minorHAnsi"/>
                <w:color w:val="000000"/>
                <w:sz w:val="22"/>
                <w:szCs w:val="22"/>
                <w:lang w:eastAsia="en-IN"/>
              </w:rPr>
              <w:t>589</w:t>
            </w:r>
          </w:p>
        </w:tc>
        <w:tc>
          <w:tcPr>
            <w:tcW w:w="1161" w:type="pct"/>
            <w:shd w:val="clear" w:color="auto" w:fill="auto"/>
            <w:noWrap/>
            <w:vAlign w:val="center"/>
            <w:hideMark/>
          </w:tcPr>
          <w:p w:rsidR="0037174C" w:rsidRPr="003A4457" w:rsidRDefault="0037174C" w:rsidP="007064CB">
            <w:pPr>
              <w:spacing w:after="0" w:line="240" w:lineRule="auto"/>
              <w:jc w:val="center"/>
              <w:rPr>
                <w:rFonts w:asciiTheme="minorHAnsi" w:hAnsiTheme="minorHAnsi" w:cstheme="minorHAnsi"/>
                <w:color w:val="000000"/>
                <w:sz w:val="22"/>
                <w:szCs w:val="22"/>
                <w:lang w:eastAsia="en-IN"/>
              </w:rPr>
            </w:pPr>
            <w:r w:rsidRPr="003A4457">
              <w:rPr>
                <w:rFonts w:asciiTheme="minorHAnsi" w:hAnsiTheme="minorHAnsi" w:cstheme="minorHAnsi"/>
                <w:color w:val="000000"/>
                <w:sz w:val="22"/>
                <w:szCs w:val="22"/>
                <w:lang w:eastAsia="en-IN"/>
              </w:rPr>
              <w:t>598</w:t>
            </w:r>
          </w:p>
        </w:tc>
        <w:tc>
          <w:tcPr>
            <w:tcW w:w="1249" w:type="pct"/>
            <w:shd w:val="clear" w:color="auto" w:fill="auto"/>
            <w:noWrap/>
            <w:vAlign w:val="center"/>
            <w:hideMark/>
          </w:tcPr>
          <w:p w:rsidR="0037174C" w:rsidRPr="003A4457" w:rsidRDefault="0037174C" w:rsidP="007064CB">
            <w:pPr>
              <w:spacing w:after="0" w:line="240" w:lineRule="auto"/>
              <w:jc w:val="center"/>
              <w:rPr>
                <w:rFonts w:asciiTheme="minorHAnsi" w:hAnsiTheme="minorHAnsi" w:cstheme="minorHAnsi"/>
                <w:color w:val="000000"/>
                <w:sz w:val="22"/>
                <w:szCs w:val="22"/>
                <w:lang w:eastAsia="en-IN"/>
              </w:rPr>
            </w:pPr>
            <w:r w:rsidRPr="003A4457">
              <w:rPr>
                <w:rFonts w:asciiTheme="minorHAnsi" w:hAnsiTheme="minorHAnsi" w:cstheme="minorHAnsi"/>
                <w:color w:val="000000"/>
                <w:sz w:val="22"/>
                <w:szCs w:val="22"/>
                <w:lang w:eastAsia="en-IN"/>
              </w:rPr>
              <w:t>426</w:t>
            </w:r>
          </w:p>
        </w:tc>
      </w:tr>
      <w:tr w:rsidR="0037174C" w:rsidRPr="00F83EB1" w:rsidTr="0080275F">
        <w:trPr>
          <w:trHeight w:val="407"/>
        </w:trPr>
        <w:tc>
          <w:tcPr>
            <w:tcW w:w="1429" w:type="pct"/>
            <w:shd w:val="clear" w:color="auto" w:fill="auto"/>
            <w:noWrap/>
            <w:vAlign w:val="center"/>
            <w:hideMark/>
          </w:tcPr>
          <w:p w:rsidR="0037174C" w:rsidRPr="003A4457" w:rsidRDefault="0037174C" w:rsidP="007064CB">
            <w:pPr>
              <w:spacing w:after="0" w:line="240" w:lineRule="auto"/>
              <w:rPr>
                <w:rFonts w:asciiTheme="minorHAnsi" w:hAnsiTheme="minorHAnsi" w:cstheme="minorHAnsi"/>
                <w:color w:val="000000"/>
                <w:sz w:val="22"/>
                <w:szCs w:val="22"/>
                <w:lang w:eastAsia="en-IN"/>
              </w:rPr>
            </w:pPr>
            <w:r w:rsidRPr="003A4457">
              <w:rPr>
                <w:rFonts w:asciiTheme="minorHAnsi" w:hAnsiTheme="minorHAnsi" w:cstheme="minorHAnsi"/>
                <w:color w:val="000000"/>
                <w:sz w:val="22"/>
                <w:szCs w:val="22"/>
                <w:lang w:eastAsia="en-IN"/>
              </w:rPr>
              <w:t>Other Income</w:t>
            </w:r>
          </w:p>
        </w:tc>
        <w:tc>
          <w:tcPr>
            <w:tcW w:w="1162" w:type="pct"/>
            <w:shd w:val="clear" w:color="auto" w:fill="auto"/>
            <w:noWrap/>
            <w:vAlign w:val="center"/>
            <w:hideMark/>
          </w:tcPr>
          <w:p w:rsidR="0037174C" w:rsidRPr="003A4457" w:rsidRDefault="0037174C" w:rsidP="007064CB">
            <w:pPr>
              <w:spacing w:after="0" w:line="240" w:lineRule="auto"/>
              <w:jc w:val="center"/>
              <w:rPr>
                <w:rFonts w:asciiTheme="minorHAnsi" w:hAnsiTheme="minorHAnsi" w:cstheme="minorHAnsi"/>
                <w:color w:val="000000"/>
                <w:sz w:val="22"/>
                <w:szCs w:val="22"/>
                <w:lang w:eastAsia="en-IN"/>
              </w:rPr>
            </w:pPr>
            <w:r w:rsidRPr="003A4457">
              <w:rPr>
                <w:rFonts w:asciiTheme="minorHAnsi" w:hAnsiTheme="minorHAnsi" w:cstheme="minorHAnsi"/>
                <w:color w:val="000000"/>
                <w:sz w:val="22"/>
                <w:szCs w:val="22"/>
                <w:lang w:eastAsia="en-IN"/>
              </w:rPr>
              <w:t>29</w:t>
            </w:r>
          </w:p>
        </w:tc>
        <w:tc>
          <w:tcPr>
            <w:tcW w:w="1161" w:type="pct"/>
            <w:shd w:val="clear" w:color="auto" w:fill="auto"/>
            <w:noWrap/>
            <w:vAlign w:val="center"/>
            <w:hideMark/>
          </w:tcPr>
          <w:p w:rsidR="0037174C" w:rsidRPr="003A4457" w:rsidRDefault="0037174C" w:rsidP="007064CB">
            <w:pPr>
              <w:spacing w:after="0" w:line="240" w:lineRule="auto"/>
              <w:jc w:val="center"/>
              <w:rPr>
                <w:rFonts w:asciiTheme="minorHAnsi" w:hAnsiTheme="minorHAnsi" w:cstheme="minorHAnsi"/>
                <w:color w:val="000000"/>
                <w:sz w:val="22"/>
                <w:szCs w:val="22"/>
                <w:lang w:eastAsia="en-IN"/>
              </w:rPr>
            </w:pPr>
            <w:r w:rsidRPr="003A4457">
              <w:rPr>
                <w:rFonts w:asciiTheme="minorHAnsi" w:hAnsiTheme="minorHAnsi" w:cstheme="minorHAnsi"/>
                <w:color w:val="000000"/>
                <w:sz w:val="22"/>
                <w:szCs w:val="22"/>
                <w:lang w:eastAsia="en-IN"/>
              </w:rPr>
              <w:t>6</w:t>
            </w:r>
          </w:p>
        </w:tc>
        <w:tc>
          <w:tcPr>
            <w:tcW w:w="1249" w:type="pct"/>
            <w:shd w:val="clear" w:color="auto" w:fill="auto"/>
            <w:noWrap/>
            <w:vAlign w:val="center"/>
            <w:hideMark/>
          </w:tcPr>
          <w:p w:rsidR="0037174C" w:rsidRPr="003A4457" w:rsidRDefault="0037174C" w:rsidP="007064CB">
            <w:pPr>
              <w:spacing w:after="0" w:line="240" w:lineRule="auto"/>
              <w:jc w:val="center"/>
              <w:rPr>
                <w:rFonts w:asciiTheme="minorHAnsi" w:hAnsiTheme="minorHAnsi" w:cstheme="minorHAnsi"/>
                <w:color w:val="000000"/>
                <w:sz w:val="22"/>
                <w:szCs w:val="22"/>
                <w:lang w:eastAsia="en-IN"/>
              </w:rPr>
            </w:pPr>
            <w:r w:rsidRPr="003A4457">
              <w:rPr>
                <w:rFonts w:asciiTheme="minorHAnsi" w:hAnsiTheme="minorHAnsi" w:cstheme="minorHAnsi"/>
                <w:color w:val="000000"/>
                <w:sz w:val="22"/>
                <w:szCs w:val="22"/>
                <w:lang w:eastAsia="en-IN"/>
              </w:rPr>
              <w:t>6</w:t>
            </w:r>
          </w:p>
        </w:tc>
      </w:tr>
      <w:tr w:rsidR="0037174C" w:rsidRPr="00F83EB1" w:rsidTr="0080275F">
        <w:trPr>
          <w:trHeight w:val="413"/>
        </w:trPr>
        <w:tc>
          <w:tcPr>
            <w:tcW w:w="1429" w:type="pct"/>
            <w:shd w:val="clear" w:color="auto" w:fill="auto"/>
            <w:noWrap/>
            <w:vAlign w:val="center"/>
            <w:hideMark/>
          </w:tcPr>
          <w:p w:rsidR="0037174C" w:rsidRPr="003A4457" w:rsidRDefault="0037174C" w:rsidP="007064CB">
            <w:pPr>
              <w:spacing w:after="0" w:line="240" w:lineRule="auto"/>
              <w:rPr>
                <w:rFonts w:asciiTheme="minorHAnsi" w:hAnsiTheme="minorHAnsi" w:cstheme="minorHAnsi"/>
                <w:color w:val="000000"/>
                <w:sz w:val="22"/>
                <w:szCs w:val="22"/>
                <w:lang w:eastAsia="en-IN"/>
              </w:rPr>
            </w:pPr>
            <w:r w:rsidRPr="003A4457">
              <w:rPr>
                <w:rFonts w:asciiTheme="minorHAnsi" w:hAnsiTheme="minorHAnsi" w:cstheme="minorHAnsi"/>
                <w:color w:val="000000"/>
                <w:sz w:val="22"/>
                <w:szCs w:val="22"/>
                <w:lang w:eastAsia="en-IN"/>
              </w:rPr>
              <w:t>PBT</w:t>
            </w:r>
          </w:p>
        </w:tc>
        <w:tc>
          <w:tcPr>
            <w:tcW w:w="1162" w:type="pct"/>
            <w:shd w:val="clear" w:color="auto" w:fill="auto"/>
            <w:noWrap/>
            <w:vAlign w:val="center"/>
            <w:hideMark/>
          </w:tcPr>
          <w:p w:rsidR="0037174C" w:rsidRPr="003A4457" w:rsidRDefault="0037174C" w:rsidP="007064CB">
            <w:pPr>
              <w:spacing w:after="0" w:line="240" w:lineRule="auto"/>
              <w:jc w:val="center"/>
              <w:rPr>
                <w:rFonts w:asciiTheme="minorHAnsi" w:hAnsiTheme="minorHAnsi" w:cstheme="minorHAnsi"/>
                <w:color w:val="000000"/>
                <w:sz w:val="22"/>
                <w:szCs w:val="22"/>
                <w:lang w:eastAsia="en-IN"/>
              </w:rPr>
            </w:pPr>
            <w:r w:rsidRPr="003A4457">
              <w:rPr>
                <w:rFonts w:asciiTheme="minorHAnsi" w:hAnsiTheme="minorHAnsi" w:cstheme="minorHAnsi"/>
                <w:color w:val="000000"/>
                <w:sz w:val="22"/>
                <w:szCs w:val="22"/>
                <w:lang w:eastAsia="en-IN"/>
              </w:rPr>
              <w:t>92</w:t>
            </w:r>
          </w:p>
        </w:tc>
        <w:tc>
          <w:tcPr>
            <w:tcW w:w="1161" w:type="pct"/>
            <w:shd w:val="clear" w:color="auto" w:fill="auto"/>
            <w:noWrap/>
            <w:vAlign w:val="center"/>
            <w:hideMark/>
          </w:tcPr>
          <w:p w:rsidR="0037174C" w:rsidRPr="003A4457" w:rsidRDefault="0037174C" w:rsidP="007064CB">
            <w:pPr>
              <w:spacing w:after="0" w:line="240" w:lineRule="auto"/>
              <w:jc w:val="center"/>
              <w:rPr>
                <w:rFonts w:asciiTheme="minorHAnsi" w:hAnsiTheme="minorHAnsi" w:cstheme="minorHAnsi"/>
                <w:color w:val="000000"/>
                <w:sz w:val="22"/>
                <w:szCs w:val="22"/>
                <w:lang w:eastAsia="en-IN"/>
              </w:rPr>
            </w:pPr>
            <w:r w:rsidRPr="003A4457">
              <w:rPr>
                <w:rFonts w:asciiTheme="minorHAnsi" w:hAnsiTheme="minorHAnsi" w:cstheme="minorHAnsi"/>
                <w:color w:val="000000"/>
                <w:sz w:val="22"/>
                <w:szCs w:val="22"/>
                <w:lang w:eastAsia="en-IN"/>
              </w:rPr>
              <w:t>74</w:t>
            </w:r>
          </w:p>
        </w:tc>
        <w:tc>
          <w:tcPr>
            <w:tcW w:w="1249" w:type="pct"/>
            <w:shd w:val="clear" w:color="auto" w:fill="auto"/>
            <w:noWrap/>
            <w:vAlign w:val="center"/>
            <w:hideMark/>
          </w:tcPr>
          <w:p w:rsidR="0037174C" w:rsidRPr="003A4457" w:rsidRDefault="0037174C" w:rsidP="007064CB">
            <w:pPr>
              <w:spacing w:after="0" w:line="240" w:lineRule="auto"/>
              <w:jc w:val="center"/>
              <w:rPr>
                <w:rFonts w:asciiTheme="minorHAnsi" w:hAnsiTheme="minorHAnsi" w:cstheme="minorHAnsi"/>
                <w:color w:val="000000"/>
                <w:sz w:val="22"/>
                <w:szCs w:val="22"/>
                <w:lang w:eastAsia="en-IN"/>
              </w:rPr>
            </w:pPr>
            <w:r w:rsidRPr="003A4457">
              <w:rPr>
                <w:rFonts w:asciiTheme="minorHAnsi" w:hAnsiTheme="minorHAnsi" w:cstheme="minorHAnsi"/>
                <w:color w:val="000000"/>
                <w:sz w:val="22"/>
                <w:szCs w:val="22"/>
                <w:lang w:eastAsia="en-IN"/>
              </w:rPr>
              <w:t>-84</w:t>
            </w:r>
          </w:p>
        </w:tc>
      </w:tr>
      <w:tr w:rsidR="0037174C" w:rsidRPr="00F83EB1" w:rsidTr="0080275F">
        <w:trPr>
          <w:trHeight w:val="300"/>
        </w:trPr>
        <w:tc>
          <w:tcPr>
            <w:tcW w:w="1429" w:type="pct"/>
            <w:shd w:val="clear" w:color="auto" w:fill="auto"/>
            <w:noWrap/>
            <w:vAlign w:val="center"/>
            <w:hideMark/>
          </w:tcPr>
          <w:p w:rsidR="0037174C" w:rsidRPr="003A4457" w:rsidRDefault="0037174C" w:rsidP="007064CB">
            <w:pPr>
              <w:spacing w:after="0" w:line="240" w:lineRule="auto"/>
              <w:rPr>
                <w:rFonts w:asciiTheme="minorHAnsi" w:hAnsiTheme="minorHAnsi" w:cstheme="minorHAnsi"/>
                <w:color w:val="000000"/>
                <w:sz w:val="22"/>
                <w:szCs w:val="22"/>
                <w:lang w:eastAsia="en-IN"/>
              </w:rPr>
            </w:pPr>
            <w:r w:rsidRPr="003A4457">
              <w:rPr>
                <w:rFonts w:asciiTheme="minorHAnsi" w:hAnsiTheme="minorHAnsi" w:cstheme="minorHAnsi"/>
                <w:color w:val="000000"/>
                <w:sz w:val="22"/>
                <w:szCs w:val="22"/>
                <w:lang w:eastAsia="en-IN"/>
              </w:rPr>
              <w:t>Def. Tax Expense/(Credit)</w:t>
            </w:r>
          </w:p>
        </w:tc>
        <w:tc>
          <w:tcPr>
            <w:tcW w:w="1162" w:type="pct"/>
            <w:shd w:val="clear" w:color="auto" w:fill="auto"/>
            <w:noWrap/>
            <w:vAlign w:val="center"/>
            <w:hideMark/>
          </w:tcPr>
          <w:p w:rsidR="0037174C" w:rsidRPr="003A4457" w:rsidRDefault="0037174C" w:rsidP="007064CB">
            <w:pPr>
              <w:spacing w:after="0" w:line="240" w:lineRule="auto"/>
              <w:jc w:val="center"/>
              <w:rPr>
                <w:rFonts w:asciiTheme="minorHAnsi" w:hAnsiTheme="minorHAnsi" w:cstheme="minorHAnsi"/>
                <w:color w:val="000000"/>
                <w:sz w:val="22"/>
                <w:szCs w:val="22"/>
                <w:lang w:eastAsia="en-IN"/>
              </w:rPr>
            </w:pPr>
            <w:r w:rsidRPr="003A4457">
              <w:rPr>
                <w:rFonts w:asciiTheme="minorHAnsi" w:hAnsiTheme="minorHAnsi" w:cstheme="minorHAnsi"/>
                <w:color w:val="000000"/>
                <w:sz w:val="22"/>
                <w:szCs w:val="22"/>
                <w:lang w:eastAsia="en-IN"/>
              </w:rPr>
              <w:t>-170</w:t>
            </w:r>
          </w:p>
        </w:tc>
        <w:tc>
          <w:tcPr>
            <w:tcW w:w="1161" w:type="pct"/>
            <w:shd w:val="clear" w:color="auto" w:fill="auto"/>
            <w:noWrap/>
            <w:vAlign w:val="center"/>
            <w:hideMark/>
          </w:tcPr>
          <w:p w:rsidR="0037174C" w:rsidRPr="003A4457" w:rsidRDefault="0037174C" w:rsidP="007064CB">
            <w:pPr>
              <w:spacing w:after="0" w:line="240" w:lineRule="auto"/>
              <w:jc w:val="center"/>
              <w:rPr>
                <w:rFonts w:asciiTheme="minorHAnsi" w:hAnsiTheme="minorHAnsi" w:cstheme="minorHAnsi"/>
                <w:color w:val="000000"/>
                <w:sz w:val="22"/>
                <w:szCs w:val="22"/>
                <w:lang w:eastAsia="en-IN"/>
              </w:rPr>
            </w:pPr>
            <w:r w:rsidRPr="003A4457">
              <w:rPr>
                <w:rFonts w:asciiTheme="minorHAnsi" w:hAnsiTheme="minorHAnsi" w:cstheme="minorHAnsi"/>
                <w:color w:val="000000"/>
                <w:sz w:val="22"/>
                <w:szCs w:val="22"/>
                <w:lang w:eastAsia="en-IN"/>
              </w:rPr>
              <w:t>287</w:t>
            </w:r>
          </w:p>
        </w:tc>
        <w:tc>
          <w:tcPr>
            <w:tcW w:w="1249" w:type="pct"/>
            <w:shd w:val="clear" w:color="auto" w:fill="auto"/>
            <w:noWrap/>
            <w:vAlign w:val="center"/>
            <w:hideMark/>
          </w:tcPr>
          <w:p w:rsidR="0037174C" w:rsidRPr="003A4457" w:rsidRDefault="0037174C" w:rsidP="007064CB">
            <w:pPr>
              <w:spacing w:after="0" w:line="240" w:lineRule="auto"/>
              <w:jc w:val="center"/>
              <w:rPr>
                <w:rFonts w:asciiTheme="minorHAnsi" w:hAnsiTheme="minorHAnsi" w:cstheme="minorHAnsi"/>
                <w:color w:val="000000"/>
                <w:sz w:val="22"/>
                <w:szCs w:val="22"/>
                <w:lang w:eastAsia="en-IN"/>
              </w:rPr>
            </w:pPr>
            <w:r w:rsidRPr="003A4457">
              <w:rPr>
                <w:rFonts w:asciiTheme="minorHAnsi" w:hAnsiTheme="minorHAnsi" w:cstheme="minorHAnsi"/>
                <w:color w:val="000000"/>
                <w:sz w:val="22"/>
                <w:szCs w:val="22"/>
                <w:lang w:eastAsia="en-IN"/>
              </w:rPr>
              <w:t>-21</w:t>
            </w:r>
          </w:p>
        </w:tc>
      </w:tr>
      <w:tr w:rsidR="0037174C" w:rsidRPr="00F83EB1" w:rsidTr="0080275F">
        <w:trPr>
          <w:trHeight w:val="440"/>
        </w:trPr>
        <w:tc>
          <w:tcPr>
            <w:tcW w:w="1429" w:type="pct"/>
            <w:shd w:val="clear" w:color="auto" w:fill="auto"/>
            <w:noWrap/>
            <w:vAlign w:val="center"/>
            <w:hideMark/>
          </w:tcPr>
          <w:p w:rsidR="0037174C" w:rsidRPr="003A4457" w:rsidRDefault="0037174C" w:rsidP="007064CB">
            <w:pPr>
              <w:spacing w:after="0" w:line="240" w:lineRule="auto"/>
              <w:rPr>
                <w:rFonts w:asciiTheme="minorHAnsi" w:hAnsiTheme="minorHAnsi" w:cstheme="minorHAnsi"/>
                <w:color w:val="000000"/>
                <w:sz w:val="22"/>
                <w:szCs w:val="22"/>
                <w:lang w:eastAsia="en-IN"/>
              </w:rPr>
            </w:pPr>
            <w:r w:rsidRPr="003A4457">
              <w:rPr>
                <w:rFonts w:asciiTheme="minorHAnsi" w:hAnsiTheme="minorHAnsi" w:cstheme="minorHAnsi"/>
                <w:color w:val="000000"/>
                <w:sz w:val="22"/>
                <w:szCs w:val="22"/>
                <w:lang w:eastAsia="en-IN"/>
              </w:rPr>
              <w:t>PAT</w:t>
            </w:r>
          </w:p>
        </w:tc>
        <w:tc>
          <w:tcPr>
            <w:tcW w:w="1162" w:type="pct"/>
            <w:shd w:val="clear" w:color="auto" w:fill="auto"/>
            <w:noWrap/>
            <w:vAlign w:val="center"/>
            <w:hideMark/>
          </w:tcPr>
          <w:p w:rsidR="0037174C" w:rsidRPr="003A4457" w:rsidRDefault="0037174C" w:rsidP="007064CB">
            <w:pPr>
              <w:spacing w:after="0" w:line="240" w:lineRule="auto"/>
              <w:jc w:val="center"/>
              <w:rPr>
                <w:rFonts w:asciiTheme="minorHAnsi" w:hAnsiTheme="minorHAnsi" w:cstheme="minorHAnsi"/>
                <w:color w:val="000000"/>
                <w:sz w:val="22"/>
                <w:szCs w:val="22"/>
                <w:lang w:eastAsia="en-IN"/>
              </w:rPr>
            </w:pPr>
            <w:r w:rsidRPr="003A4457">
              <w:rPr>
                <w:rFonts w:asciiTheme="minorHAnsi" w:hAnsiTheme="minorHAnsi" w:cstheme="minorHAnsi"/>
                <w:color w:val="000000"/>
                <w:sz w:val="22"/>
                <w:szCs w:val="22"/>
                <w:lang w:eastAsia="en-IN"/>
              </w:rPr>
              <w:t>262</w:t>
            </w:r>
          </w:p>
        </w:tc>
        <w:tc>
          <w:tcPr>
            <w:tcW w:w="1161" w:type="pct"/>
            <w:shd w:val="clear" w:color="auto" w:fill="auto"/>
            <w:noWrap/>
            <w:vAlign w:val="center"/>
            <w:hideMark/>
          </w:tcPr>
          <w:p w:rsidR="0037174C" w:rsidRPr="003A4457" w:rsidRDefault="0037174C" w:rsidP="007064CB">
            <w:pPr>
              <w:spacing w:after="0" w:line="240" w:lineRule="auto"/>
              <w:jc w:val="center"/>
              <w:rPr>
                <w:rFonts w:asciiTheme="minorHAnsi" w:hAnsiTheme="minorHAnsi" w:cstheme="minorHAnsi"/>
                <w:color w:val="000000"/>
                <w:sz w:val="22"/>
                <w:szCs w:val="22"/>
                <w:lang w:eastAsia="en-IN"/>
              </w:rPr>
            </w:pPr>
            <w:r w:rsidRPr="003A4457">
              <w:rPr>
                <w:rFonts w:asciiTheme="minorHAnsi" w:hAnsiTheme="minorHAnsi" w:cstheme="minorHAnsi"/>
                <w:color w:val="000000"/>
                <w:sz w:val="22"/>
                <w:szCs w:val="22"/>
                <w:lang w:eastAsia="en-IN"/>
              </w:rPr>
              <w:t>-214</w:t>
            </w:r>
          </w:p>
        </w:tc>
        <w:tc>
          <w:tcPr>
            <w:tcW w:w="1249" w:type="pct"/>
            <w:shd w:val="clear" w:color="auto" w:fill="auto"/>
            <w:noWrap/>
            <w:vAlign w:val="center"/>
            <w:hideMark/>
          </w:tcPr>
          <w:p w:rsidR="0037174C" w:rsidRPr="003A4457" w:rsidRDefault="0037174C" w:rsidP="007064CB">
            <w:pPr>
              <w:spacing w:after="0" w:line="240" w:lineRule="auto"/>
              <w:jc w:val="center"/>
              <w:rPr>
                <w:rFonts w:asciiTheme="minorHAnsi" w:hAnsiTheme="minorHAnsi" w:cstheme="minorHAnsi"/>
                <w:color w:val="000000"/>
                <w:sz w:val="22"/>
                <w:szCs w:val="22"/>
                <w:lang w:eastAsia="en-IN"/>
              </w:rPr>
            </w:pPr>
            <w:r w:rsidRPr="003A4457">
              <w:rPr>
                <w:rFonts w:asciiTheme="minorHAnsi" w:hAnsiTheme="minorHAnsi" w:cstheme="minorHAnsi"/>
                <w:color w:val="000000"/>
                <w:sz w:val="22"/>
                <w:szCs w:val="22"/>
                <w:lang w:eastAsia="en-IN"/>
              </w:rPr>
              <w:t>-63</w:t>
            </w:r>
          </w:p>
        </w:tc>
      </w:tr>
      <w:tr w:rsidR="0037174C" w:rsidRPr="00F83EB1" w:rsidTr="0080275F">
        <w:trPr>
          <w:trHeight w:val="404"/>
        </w:trPr>
        <w:tc>
          <w:tcPr>
            <w:tcW w:w="1429" w:type="pct"/>
            <w:shd w:val="clear" w:color="auto" w:fill="auto"/>
            <w:noWrap/>
            <w:vAlign w:val="center"/>
            <w:hideMark/>
          </w:tcPr>
          <w:p w:rsidR="0037174C" w:rsidRPr="003A4457" w:rsidRDefault="0037174C" w:rsidP="007064CB">
            <w:pPr>
              <w:spacing w:after="0" w:line="240" w:lineRule="auto"/>
              <w:rPr>
                <w:rFonts w:asciiTheme="minorHAnsi" w:hAnsiTheme="minorHAnsi" w:cstheme="minorHAnsi"/>
                <w:color w:val="000000"/>
                <w:sz w:val="22"/>
                <w:szCs w:val="22"/>
                <w:lang w:eastAsia="en-IN"/>
              </w:rPr>
            </w:pPr>
            <w:r w:rsidRPr="003A4457">
              <w:rPr>
                <w:rFonts w:asciiTheme="minorHAnsi" w:hAnsiTheme="minorHAnsi" w:cstheme="minorHAnsi"/>
                <w:color w:val="000000"/>
                <w:sz w:val="22"/>
                <w:szCs w:val="22"/>
                <w:lang w:eastAsia="en-IN"/>
              </w:rPr>
              <w:t>Net fixed assets</w:t>
            </w:r>
          </w:p>
        </w:tc>
        <w:tc>
          <w:tcPr>
            <w:tcW w:w="1162" w:type="pct"/>
            <w:shd w:val="clear" w:color="auto" w:fill="auto"/>
            <w:noWrap/>
            <w:vAlign w:val="center"/>
            <w:hideMark/>
          </w:tcPr>
          <w:p w:rsidR="0037174C" w:rsidRPr="003A4457" w:rsidRDefault="0037174C" w:rsidP="007064CB">
            <w:pPr>
              <w:spacing w:after="0" w:line="240" w:lineRule="auto"/>
              <w:jc w:val="center"/>
              <w:rPr>
                <w:rFonts w:asciiTheme="minorHAnsi" w:hAnsiTheme="minorHAnsi" w:cstheme="minorHAnsi"/>
                <w:color w:val="000000"/>
                <w:sz w:val="22"/>
                <w:szCs w:val="22"/>
                <w:lang w:eastAsia="en-IN"/>
              </w:rPr>
            </w:pPr>
            <w:r w:rsidRPr="003A4457">
              <w:rPr>
                <w:rFonts w:asciiTheme="minorHAnsi" w:hAnsiTheme="minorHAnsi" w:cstheme="minorHAnsi"/>
                <w:color w:val="000000"/>
                <w:sz w:val="22"/>
                <w:szCs w:val="22"/>
                <w:lang w:eastAsia="en-IN"/>
              </w:rPr>
              <w:t>3,301</w:t>
            </w:r>
          </w:p>
        </w:tc>
        <w:tc>
          <w:tcPr>
            <w:tcW w:w="1161" w:type="pct"/>
            <w:shd w:val="clear" w:color="auto" w:fill="auto"/>
            <w:noWrap/>
            <w:vAlign w:val="center"/>
            <w:hideMark/>
          </w:tcPr>
          <w:p w:rsidR="0037174C" w:rsidRPr="003A4457" w:rsidRDefault="0037174C" w:rsidP="007064CB">
            <w:pPr>
              <w:spacing w:after="0" w:line="240" w:lineRule="auto"/>
              <w:jc w:val="center"/>
              <w:rPr>
                <w:rFonts w:asciiTheme="minorHAnsi" w:hAnsiTheme="minorHAnsi" w:cstheme="minorHAnsi"/>
                <w:color w:val="000000"/>
                <w:sz w:val="22"/>
                <w:szCs w:val="22"/>
                <w:lang w:eastAsia="en-IN"/>
              </w:rPr>
            </w:pPr>
            <w:r w:rsidRPr="003A4457">
              <w:rPr>
                <w:rFonts w:asciiTheme="minorHAnsi" w:hAnsiTheme="minorHAnsi" w:cstheme="minorHAnsi"/>
                <w:color w:val="000000"/>
                <w:sz w:val="22"/>
                <w:szCs w:val="22"/>
                <w:lang w:eastAsia="en-IN"/>
              </w:rPr>
              <w:t>3,166</w:t>
            </w:r>
          </w:p>
        </w:tc>
        <w:tc>
          <w:tcPr>
            <w:tcW w:w="1249" w:type="pct"/>
            <w:shd w:val="clear" w:color="auto" w:fill="auto"/>
            <w:noWrap/>
            <w:vAlign w:val="center"/>
            <w:hideMark/>
          </w:tcPr>
          <w:p w:rsidR="0037174C" w:rsidRPr="003A4457" w:rsidRDefault="0037174C" w:rsidP="007064CB">
            <w:pPr>
              <w:spacing w:after="0" w:line="240" w:lineRule="auto"/>
              <w:jc w:val="center"/>
              <w:rPr>
                <w:rFonts w:asciiTheme="minorHAnsi" w:hAnsiTheme="minorHAnsi" w:cstheme="minorHAnsi"/>
                <w:color w:val="000000"/>
                <w:sz w:val="22"/>
                <w:szCs w:val="22"/>
                <w:lang w:eastAsia="en-IN"/>
              </w:rPr>
            </w:pPr>
            <w:r w:rsidRPr="003A4457">
              <w:rPr>
                <w:rFonts w:asciiTheme="minorHAnsi" w:hAnsiTheme="minorHAnsi" w:cstheme="minorHAnsi"/>
                <w:color w:val="000000"/>
                <w:sz w:val="22"/>
                <w:szCs w:val="22"/>
                <w:lang w:eastAsia="en-IN"/>
              </w:rPr>
              <w:t>3,058</w:t>
            </w:r>
          </w:p>
        </w:tc>
      </w:tr>
      <w:tr w:rsidR="0037174C" w:rsidRPr="00F83EB1" w:rsidTr="0080275F">
        <w:trPr>
          <w:trHeight w:val="425"/>
        </w:trPr>
        <w:tc>
          <w:tcPr>
            <w:tcW w:w="1429" w:type="pct"/>
            <w:shd w:val="clear" w:color="auto" w:fill="auto"/>
            <w:noWrap/>
            <w:vAlign w:val="center"/>
            <w:hideMark/>
          </w:tcPr>
          <w:p w:rsidR="0037174C" w:rsidRPr="003A4457" w:rsidRDefault="0037174C" w:rsidP="007064CB">
            <w:pPr>
              <w:spacing w:after="0" w:line="240" w:lineRule="auto"/>
              <w:rPr>
                <w:rFonts w:asciiTheme="minorHAnsi" w:hAnsiTheme="minorHAnsi" w:cstheme="minorHAnsi"/>
                <w:color w:val="000000"/>
                <w:sz w:val="22"/>
                <w:szCs w:val="22"/>
                <w:lang w:eastAsia="en-IN"/>
              </w:rPr>
            </w:pPr>
            <w:r w:rsidRPr="003A4457">
              <w:rPr>
                <w:rFonts w:asciiTheme="minorHAnsi" w:hAnsiTheme="minorHAnsi" w:cstheme="minorHAnsi"/>
                <w:color w:val="000000"/>
                <w:sz w:val="22"/>
                <w:szCs w:val="22"/>
                <w:lang w:eastAsia="en-IN"/>
              </w:rPr>
              <w:t>TNW</w:t>
            </w:r>
          </w:p>
        </w:tc>
        <w:tc>
          <w:tcPr>
            <w:tcW w:w="1162" w:type="pct"/>
            <w:shd w:val="clear" w:color="auto" w:fill="auto"/>
            <w:noWrap/>
            <w:vAlign w:val="center"/>
            <w:hideMark/>
          </w:tcPr>
          <w:p w:rsidR="0037174C" w:rsidRPr="003A4457" w:rsidRDefault="0037174C" w:rsidP="007064CB">
            <w:pPr>
              <w:spacing w:after="0" w:line="240" w:lineRule="auto"/>
              <w:jc w:val="center"/>
              <w:rPr>
                <w:rFonts w:asciiTheme="minorHAnsi" w:hAnsiTheme="minorHAnsi" w:cstheme="minorHAnsi"/>
                <w:color w:val="000000"/>
                <w:sz w:val="22"/>
                <w:szCs w:val="22"/>
                <w:lang w:eastAsia="en-IN"/>
              </w:rPr>
            </w:pPr>
            <w:r w:rsidRPr="003A4457">
              <w:rPr>
                <w:rFonts w:asciiTheme="minorHAnsi" w:hAnsiTheme="minorHAnsi" w:cstheme="minorHAnsi"/>
                <w:color w:val="000000"/>
                <w:sz w:val="22"/>
                <w:szCs w:val="22"/>
                <w:lang w:eastAsia="en-IN"/>
              </w:rPr>
              <w:t>665</w:t>
            </w:r>
          </w:p>
        </w:tc>
        <w:tc>
          <w:tcPr>
            <w:tcW w:w="1161" w:type="pct"/>
            <w:shd w:val="clear" w:color="auto" w:fill="auto"/>
            <w:noWrap/>
            <w:vAlign w:val="center"/>
            <w:hideMark/>
          </w:tcPr>
          <w:p w:rsidR="0037174C" w:rsidRPr="003A4457" w:rsidRDefault="0037174C" w:rsidP="007064CB">
            <w:pPr>
              <w:spacing w:after="0" w:line="240" w:lineRule="auto"/>
              <w:jc w:val="center"/>
              <w:rPr>
                <w:rFonts w:asciiTheme="minorHAnsi" w:hAnsiTheme="minorHAnsi" w:cstheme="minorHAnsi"/>
                <w:color w:val="000000"/>
                <w:sz w:val="22"/>
                <w:szCs w:val="22"/>
                <w:lang w:eastAsia="en-IN"/>
              </w:rPr>
            </w:pPr>
            <w:r w:rsidRPr="003A4457">
              <w:rPr>
                <w:rFonts w:asciiTheme="minorHAnsi" w:hAnsiTheme="minorHAnsi" w:cstheme="minorHAnsi"/>
                <w:color w:val="000000"/>
                <w:sz w:val="22"/>
                <w:szCs w:val="22"/>
                <w:lang w:eastAsia="en-IN"/>
              </w:rPr>
              <w:t>441</w:t>
            </w:r>
          </w:p>
        </w:tc>
        <w:tc>
          <w:tcPr>
            <w:tcW w:w="1249" w:type="pct"/>
            <w:shd w:val="clear" w:color="auto" w:fill="auto"/>
            <w:noWrap/>
            <w:vAlign w:val="center"/>
            <w:hideMark/>
          </w:tcPr>
          <w:p w:rsidR="0037174C" w:rsidRPr="003A4457" w:rsidRDefault="0037174C" w:rsidP="007064CB">
            <w:pPr>
              <w:spacing w:after="0" w:line="240" w:lineRule="auto"/>
              <w:jc w:val="center"/>
              <w:rPr>
                <w:rFonts w:asciiTheme="minorHAnsi" w:hAnsiTheme="minorHAnsi" w:cstheme="minorHAnsi"/>
                <w:color w:val="000000"/>
                <w:sz w:val="22"/>
                <w:szCs w:val="22"/>
                <w:lang w:eastAsia="en-IN"/>
              </w:rPr>
            </w:pPr>
            <w:r w:rsidRPr="003A4457">
              <w:rPr>
                <w:rFonts w:asciiTheme="minorHAnsi" w:hAnsiTheme="minorHAnsi" w:cstheme="minorHAnsi"/>
                <w:color w:val="000000"/>
                <w:sz w:val="22"/>
                <w:szCs w:val="22"/>
                <w:lang w:eastAsia="en-IN"/>
              </w:rPr>
              <w:t>378</w:t>
            </w:r>
          </w:p>
        </w:tc>
      </w:tr>
      <w:tr w:rsidR="0037174C" w:rsidRPr="00F83EB1" w:rsidTr="0080275F">
        <w:trPr>
          <w:trHeight w:val="417"/>
        </w:trPr>
        <w:tc>
          <w:tcPr>
            <w:tcW w:w="1429" w:type="pct"/>
            <w:shd w:val="clear" w:color="auto" w:fill="auto"/>
            <w:noWrap/>
            <w:vAlign w:val="center"/>
            <w:hideMark/>
          </w:tcPr>
          <w:p w:rsidR="0037174C" w:rsidRPr="003A4457" w:rsidRDefault="0037174C" w:rsidP="007064CB">
            <w:pPr>
              <w:spacing w:after="0" w:line="240" w:lineRule="auto"/>
              <w:rPr>
                <w:rFonts w:asciiTheme="minorHAnsi" w:hAnsiTheme="minorHAnsi" w:cstheme="minorHAnsi"/>
                <w:color w:val="000000"/>
                <w:sz w:val="22"/>
                <w:szCs w:val="22"/>
                <w:lang w:eastAsia="en-IN"/>
              </w:rPr>
            </w:pPr>
            <w:r w:rsidRPr="003A4457">
              <w:rPr>
                <w:rFonts w:asciiTheme="minorHAnsi" w:hAnsiTheme="minorHAnsi" w:cstheme="minorHAnsi"/>
                <w:color w:val="000000"/>
                <w:sz w:val="22"/>
                <w:szCs w:val="22"/>
                <w:lang w:eastAsia="en-IN"/>
              </w:rPr>
              <w:t>LT Borrowings</w:t>
            </w:r>
          </w:p>
        </w:tc>
        <w:tc>
          <w:tcPr>
            <w:tcW w:w="1162" w:type="pct"/>
            <w:shd w:val="clear" w:color="auto" w:fill="auto"/>
            <w:noWrap/>
            <w:vAlign w:val="center"/>
            <w:hideMark/>
          </w:tcPr>
          <w:p w:rsidR="0037174C" w:rsidRPr="003A4457" w:rsidRDefault="0037174C" w:rsidP="007064CB">
            <w:pPr>
              <w:spacing w:after="0" w:line="240" w:lineRule="auto"/>
              <w:jc w:val="center"/>
              <w:rPr>
                <w:rFonts w:asciiTheme="minorHAnsi" w:hAnsiTheme="minorHAnsi" w:cstheme="minorHAnsi"/>
                <w:color w:val="000000"/>
                <w:sz w:val="22"/>
                <w:szCs w:val="22"/>
                <w:lang w:eastAsia="en-IN"/>
              </w:rPr>
            </w:pPr>
            <w:r w:rsidRPr="003A4457">
              <w:rPr>
                <w:rFonts w:asciiTheme="minorHAnsi" w:hAnsiTheme="minorHAnsi" w:cstheme="minorHAnsi"/>
                <w:color w:val="000000"/>
                <w:sz w:val="22"/>
                <w:szCs w:val="22"/>
                <w:lang w:eastAsia="en-IN"/>
              </w:rPr>
              <w:t>3,080</w:t>
            </w:r>
          </w:p>
        </w:tc>
        <w:tc>
          <w:tcPr>
            <w:tcW w:w="1161" w:type="pct"/>
            <w:shd w:val="clear" w:color="auto" w:fill="auto"/>
            <w:noWrap/>
            <w:vAlign w:val="center"/>
            <w:hideMark/>
          </w:tcPr>
          <w:p w:rsidR="0037174C" w:rsidRPr="003A4457" w:rsidRDefault="0037174C" w:rsidP="007064CB">
            <w:pPr>
              <w:spacing w:after="0" w:line="240" w:lineRule="auto"/>
              <w:jc w:val="center"/>
              <w:rPr>
                <w:rFonts w:asciiTheme="minorHAnsi" w:hAnsiTheme="minorHAnsi" w:cstheme="minorHAnsi"/>
                <w:color w:val="000000"/>
                <w:sz w:val="22"/>
                <w:szCs w:val="22"/>
                <w:lang w:eastAsia="en-IN"/>
              </w:rPr>
            </w:pPr>
            <w:r w:rsidRPr="003A4457">
              <w:rPr>
                <w:rFonts w:asciiTheme="minorHAnsi" w:hAnsiTheme="minorHAnsi" w:cstheme="minorHAnsi"/>
                <w:color w:val="000000"/>
                <w:sz w:val="22"/>
                <w:szCs w:val="22"/>
                <w:lang w:eastAsia="en-IN"/>
              </w:rPr>
              <w:t>2,876</w:t>
            </w:r>
          </w:p>
        </w:tc>
        <w:tc>
          <w:tcPr>
            <w:tcW w:w="1249" w:type="pct"/>
            <w:shd w:val="clear" w:color="auto" w:fill="auto"/>
            <w:noWrap/>
            <w:vAlign w:val="center"/>
            <w:hideMark/>
          </w:tcPr>
          <w:p w:rsidR="0037174C" w:rsidRPr="003A4457" w:rsidRDefault="0037174C" w:rsidP="007064CB">
            <w:pPr>
              <w:spacing w:after="0" w:line="240" w:lineRule="auto"/>
              <w:jc w:val="center"/>
              <w:rPr>
                <w:rFonts w:asciiTheme="minorHAnsi" w:hAnsiTheme="minorHAnsi" w:cstheme="minorHAnsi"/>
                <w:color w:val="000000"/>
                <w:sz w:val="22"/>
                <w:szCs w:val="22"/>
                <w:lang w:eastAsia="en-IN"/>
              </w:rPr>
            </w:pPr>
            <w:r w:rsidRPr="003A4457">
              <w:rPr>
                <w:rFonts w:asciiTheme="minorHAnsi" w:hAnsiTheme="minorHAnsi" w:cstheme="minorHAnsi"/>
                <w:color w:val="000000"/>
                <w:sz w:val="22"/>
                <w:szCs w:val="22"/>
                <w:lang w:eastAsia="en-IN"/>
              </w:rPr>
              <w:t>2,914</w:t>
            </w:r>
          </w:p>
        </w:tc>
      </w:tr>
      <w:tr w:rsidR="0037174C" w:rsidRPr="00F83EB1" w:rsidTr="0080275F">
        <w:trPr>
          <w:trHeight w:val="408"/>
        </w:trPr>
        <w:tc>
          <w:tcPr>
            <w:tcW w:w="1429" w:type="pct"/>
            <w:shd w:val="clear" w:color="auto" w:fill="auto"/>
            <w:noWrap/>
            <w:vAlign w:val="center"/>
            <w:hideMark/>
          </w:tcPr>
          <w:p w:rsidR="0037174C" w:rsidRPr="003A4457" w:rsidRDefault="0037174C" w:rsidP="007064CB">
            <w:pPr>
              <w:spacing w:after="0" w:line="240" w:lineRule="auto"/>
              <w:rPr>
                <w:rFonts w:asciiTheme="minorHAnsi" w:hAnsiTheme="minorHAnsi" w:cstheme="minorHAnsi"/>
                <w:color w:val="000000"/>
                <w:sz w:val="22"/>
                <w:szCs w:val="22"/>
                <w:lang w:eastAsia="en-IN"/>
              </w:rPr>
            </w:pPr>
            <w:r w:rsidRPr="003A4457">
              <w:rPr>
                <w:rFonts w:asciiTheme="minorHAnsi" w:hAnsiTheme="minorHAnsi" w:cstheme="minorHAnsi"/>
                <w:color w:val="000000"/>
                <w:sz w:val="22"/>
                <w:szCs w:val="22"/>
                <w:lang w:eastAsia="en-IN"/>
              </w:rPr>
              <w:t>Cash Credit</w:t>
            </w:r>
          </w:p>
        </w:tc>
        <w:tc>
          <w:tcPr>
            <w:tcW w:w="1162" w:type="pct"/>
            <w:shd w:val="clear" w:color="auto" w:fill="auto"/>
            <w:noWrap/>
            <w:vAlign w:val="center"/>
            <w:hideMark/>
          </w:tcPr>
          <w:p w:rsidR="0037174C" w:rsidRPr="003A4457" w:rsidRDefault="0037174C" w:rsidP="007064CB">
            <w:pPr>
              <w:spacing w:after="0" w:line="240" w:lineRule="auto"/>
              <w:jc w:val="center"/>
              <w:rPr>
                <w:rFonts w:asciiTheme="minorHAnsi" w:hAnsiTheme="minorHAnsi" w:cstheme="minorHAnsi"/>
                <w:color w:val="000000"/>
                <w:sz w:val="22"/>
                <w:szCs w:val="22"/>
                <w:lang w:eastAsia="en-IN"/>
              </w:rPr>
            </w:pPr>
            <w:r w:rsidRPr="003A4457">
              <w:rPr>
                <w:rFonts w:asciiTheme="minorHAnsi" w:hAnsiTheme="minorHAnsi" w:cstheme="minorHAnsi"/>
                <w:color w:val="000000"/>
                <w:sz w:val="22"/>
                <w:szCs w:val="22"/>
                <w:lang w:eastAsia="en-IN"/>
              </w:rPr>
              <w:t>298</w:t>
            </w:r>
          </w:p>
        </w:tc>
        <w:tc>
          <w:tcPr>
            <w:tcW w:w="1161" w:type="pct"/>
            <w:shd w:val="clear" w:color="auto" w:fill="auto"/>
            <w:noWrap/>
            <w:vAlign w:val="center"/>
            <w:hideMark/>
          </w:tcPr>
          <w:p w:rsidR="0037174C" w:rsidRPr="003A4457" w:rsidRDefault="0037174C" w:rsidP="007064CB">
            <w:pPr>
              <w:spacing w:after="0" w:line="240" w:lineRule="auto"/>
              <w:jc w:val="center"/>
              <w:rPr>
                <w:rFonts w:asciiTheme="minorHAnsi" w:hAnsiTheme="minorHAnsi" w:cstheme="minorHAnsi"/>
                <w:color w:val="000000"/>
                <w:sz w:val="22"/>
                <w:szCs w:val="22"/>
                <w:lang w:eastAsia="en-IN"/>
              </w:rPr>
            </w:pPr>
            <w:r w:rsidRPr="003A4457">
              <w:rPr>
                <w:rFonts w:asciiTheme="minorHAnsi" w:hAnsiTheme="minorHAnsi" w:cstheme="minorHAnsi"/>
                <w:color w:val="000000"/>
                <w:sz w:val="22"/>
                <w:szCs w:val="22"/>
                <w:lang w:eastAsia="en-IN"/>
              </w:rPr>
              <w:t>306</w:t>
            </w:r>
          </w:p>
        </w:tc>
        <w:tc>
          <w:tcPr>
            <w:tcW w:w="1249" w:type="pct"/>
            <w:shd w:val="clear" w:color="auto" w:fill="auto"/>
            <w:noWrap/>
            <w:vAlign w:val="center"/>
            <w:hideMark/>
          </w:tcPr>
          <w:p w:rsidR="0037174C" w:rsidRPr="003A4457" w:rsidRDefault="0037174C" w:rsidP="007064CB">
            <w:pPr>
              <w:spacing w:after="0" w:line="240" w:lineRule="auto"/>
              <w:jc w:val="center"/>
              <w:rPr>
                <w:rFonts w:asciiTheme="minorHAnsi" w:hAnsiTheme="minorHAnsi" w:cstheme="minorHAnsi"/>
                <w:color w:val="000000"/>
                <w:sz w:val="22"/>
                <w:szCs w:val="22"/>
                <w:lang w:eastAsia="en-IN"/>
              </w:rPr>
            </w:pPr>
            <w:r w:rsidRPr="003A4457">
              <w:rPr>
                <w:rFonts w:asciiTheme="minorHAnsi" w:hAnsiTheme="minorHAnsi" w:cstheme="minorHAnsi"/>
                <w:color w:val="000000"/>
                <w:sz w:val="22"/>
                <w:szCs w:val="22"/>
                <w:lang w:eastAsia="en-IN"/>
              </w:rPr>
              <w:t>320</w:t>
            </w:r>
          </w:p>
        </w:tc>
      </w:tr>
    </w:tbl>
    <w:p w:rsidR="00F83EB1" w:rsidRDefault="00604255" w:rsidP="00604255">
      <w:pPr>
        <w:pStyle w:val="ListParagraph"/>
        <w:tabs>
          <w:tab w:val="left" w:pos="284"/>
        </w:tabs>
        <w:spacing w:before="240" w:line="360" w:lineRule="auto"/>
        <w:ind w:left="0" w:right="-613"/>
        <w:jc w:val="both"/>
        <w:rPr>
          <w:rFonts w:ascii="Arial" w:hAnsi="Arial" w:cs="Arial"/>
          <w:sz w:val="22"/>
          <w:szCs w:val="22"/>
        </w:rPr>
      </w:pPr>
      <w:r w:rsidRPr="0072616B">
        <w:rPr>
          <w:rFonts w:ascii="Arial" w:hAnsi="Arial" w:cs="Arial"/>
          <w:sz w:val="22"/>
          <w:szCs w:val="22"/>
        </w:rPr>
        <w:t xml:space="preserve">As </w:t>
      </w:r>
      <w:r>
        <w:rPr>
          <w:rFonts w:ascii="Arial" w:hAnsi="Arial" w:cs="Arial"/>
          <w:sz w:val="22"/>
          <w:szCs w:val="22"/>
        </w:rPr>
        <w:t>per the historical analysis, which can be seen above</w:t>
      </w:r>
      <w:r w:rsidR="0037174C">
        <w:rPr>
          <w:rFonts w:ascii="Arial" w:hAnsi="Arial" w:cs="Arial"/>
          <w:sz w:val="22"/>
          <w:szCs w:val="22"/>
        </w:rPr>
        <w:t>,</w:t>
      </w:r>
      <w:r>
        <w:rPr>
          <w:rFonts w:ascii="Arial" w:hAnsi="Arial" w:cs="Arial"/>
          <w:sz w:val="22"/>
          <w:szCs w:val="22"/>
        </w:rPr>
        <w:t xml:space="preserve"> revenue growth rate and all the margins are continuously declining which can be attributed to the financial stress faced by the company.</w:t>
      </w:r>
    </w:p>
    <w:p w:rsidR="00F83EB1" w:rsidRDefault="00F83EB1" w:rsidP="00F83EB1">
      <w:pPr>
        <w:pStyle w:val="ListParagraph"/>
        <w:spacing w:before="240" w:line="360" w:lineRule="auto"/>
        <w:ind w:left="0" w:right="-613"/>
        <w:jc w:val="both"/>
        <w:rPr>
          <w:rFonts w:ascii="Arial" w:hAnsi="Arial" w:cs="Arial"/>
          <w:sz w:val="22"/>
          <w:szCs w:val="22"/>
        </w:rPr>
      </w:pPr>
      <w:r>
        <w:rPr>
          <w:rFonts w:ascii="Arial" w:hAnsi="Arial" w:cs="Arial"/>
          <w:sz w:val="22"/>
          <w:szCs w:val="22"/>
        </w:rPr>
        <w:t>Below table shows the Operational performance of the company from FY 2019 to HY 2022:</w:t>
      </w:r>
    </w:p>
    <w:tbl>
      <w:tblPr>
        <w:tblW w:w="520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
        <w:gridCol w:w="1284"/>
        <w:gridCol w:w="1196"/>
        <w:gridCol w:w="1284"/>
        <w:gridCol w:w="1088"/>
        <w:gridCol w:w="1284"/>
        <w:gridCol w:w="1049"/>
        <w:gridCol w:w="1284"/>
      </w:tblGrid>
      <w:tr w:rsidR="00E61B0A" w:rsidRPr="003C2558" w:rsidTr="00E61B0A">
        <w:trPr>
          <w:trHeight w:val="300"/>
        </w:trPr>
        <w:tc>
          <w:tcPr>
            <w:tcW w:w="5000" w:type="pct"/>
            <w:gridSpan w:val="8"/>
            <w:shd w:val="clear" w:color="auto" w:fill="002060"/>
            <w:noWrap/>
            <w:vAlign w:val="bottom"/>
            <w:hideMark/>
          </w:tcPr>
          <w:p w:rsidR="00E61B0A" w:rsidRPr="003C2558" w:rsidRDefault="00E61B0A" w:rsidP="007064CB">
            <w:pPr>
              <w:spacing w:after="0" w:line="240" w:lineRule="auto"/>
              <w:jc w:val="center"/>
              <w:rPr>
                <w:b/>
                <w:sz w:val="20"/>
                <w:szCs w:val="20"/>
                <w:lang w:eastAsia="en-IN"/>
              </w:rPr>
            </w:pPr>
            <w:r w:rsidRPr="003C2558">
              <w:rPr>
                <w:rFonts w:ascii="Calibri" w:hAnsi="Calibri" w:cs="Calibri"/>
                <w:b/>
                <w:color w:val="FFFFFF" w:themeColor="background1"/>
                <w:lang w:eastAsia="en-IN"/>
              </w:rPr>
              <w:lastRenderedPageBreak/>
              <w:t>Operational Performance</w:t>
            </w:r>
          </w:p>
        </w:tc>
      </w:tr>
      <w:tr w:rsidR="00E61B0A" w:rsidRPr="003C2558" w:rsidTr="00E61B0A">
        <w:trPr>
          <w:trHeight w:val="300"/>
        </w:trPr>
        <w:tc>
          <w:tcPr>
            <w:tcW w:w="1218" w:type="pct"/>
            <w:gridSpan w:val="2"/>
            <w:shd w:val="clear" w:color="auto" w:fill="8EAADB" w:themeFill="accent5" w:themeFillTint="99"/>
            <w:noWrap/>
            <w:vAlign w:val="center"/>
            <w:hideMark/>
          </w:tcPr>
          <w:p w:rsidR="00E61B0A" w:rsidRPr="003C2558" w:rsidRDefault="00E61B0A" w:rsidP="007064CB">
            <w:pPr>
              <w:spacing w:after="0" w:line="240" w:lineRule="auto"/>
              <w:jc w:val="center"/>
              <w:rPr>
                <w:rFonts w:ascii="Calibri" w:hAnsi="Calibri" w:cs="Calibri"/>
                <w:b/>
                <w:color w:val="000000"/>
                <w:lang w:eastAsia="en-IN"/>
              </w:rPr>
            </w:pPr>
            <w:r w:rsidRPr="003C2558">
              <w:rPr>
                <w:rFonts w:ascii="Calibri" w:hAnsi="Calibri" w:cs="Calibri"/>
                <w:b/>
                <w:color w:val="000000"/>
                <w:lang w:eastAsia="en-IN"/>
              </w:rPr>
              <w:t>FY19</w:t>
            </w:r>
          </w:p>
        </w:tc>
        <w:tc>
          <w:tcPr>
            <w:tcW w:w="1306" w:type="pct"/>
            <w:gridSpan w:val="2"/>
            <w:shd w:val="clear" w:color="auto" w:fill="8EAADB" w:themeFill="accent5" w:themeFillTint="99"/>
            <w:noWrap/>
            <w:vAlign w:val="center"/>
            <w:hideMark/>
          </w:tcPr>
          <w:p w:rsidR="00E61B0A" w:rsidRPr="003C2558" w:rsidRDefault="00E61B0A" w:rsidP="007064CB">
            <w:pPr>
              <w:spacing w:after="0" w:line="240" w:lineRule="auto"/>
              <w:jc w:val="center"/>
              <w:rPr>
                <w:rFonts w:ascii="Calibri" w:hAnsi="Calibri" w:cs="Calibri"/>
                <w:b/>
                <w:color w:val="000000"/>
                <w:lang w:eastAsia="en-IN"/>
              </w:rPr>
            </w:pPr>
            <w:r w:rsidRPr="003C2558">
              <w:rPr>
                <w:rFonts w:ascii="Calibri" w:hAnsi="Calibri" w:cs="Calibri"/>
                <w:b/>
                <w:color w:val="000000"/>
                <w:lang w:eastAsia="en-IN"/>
              </w:rPr>
              <w:t>FY20</w:t>
            </w:r>
          </w:p>
        </w:tc>
        <w:tc>
          <w:tcPr>
            <w:tcW w:w="1249" w:type="pct"/>
            <w:gridSpan w:val="2"/>
            <w:shd w:val="clear" w:color="auto" w:fill="8EAADB" w:themeFill="accent5" w:themeFillTint="99"/>
            <w:noWrap/>
            <w:vAlign w:val="center"/>
            <w:hideMark/>
          </w:tcPr>
          <w:p w:rsidR="00E61B0A" w:rsidRPr="003C2558" w:rsidRDefault="00E61B0A" w:rsidP="007064CB">
            <w:pPr>
              <w:spacing w:after="0" w:line="240" w:lineRule="auto"/>
              <w:jc w:val="center"/>
              <w:rPr>
                <w:rFonts w:ascii="Calibri" w:hAnsi="Calibri" w:cs="Calibri"/>
                <w:b/>
                <w:color w:val="000000"/>
                <w:lang w:eastAsia="en-IN"/>
              </w:rPr>
            </w:pPr>
            <w:r w:rsidRPr="003C2558">
              <w:rPr>
                <w:rFonts w:ascii="Calibri" w:hAnsi="Calibri" w:cs="Calibri"/>
                <w:b/>
                <w:color w:val="000000"/>
                <w:lang w:eastAsia="en-IN"/>
              </w:rPr>
              <w:t>FY21</w:t>
            </w:r>
          </w:p>
        </w:tc>
        <w:tc>
          <w:tcPr>
            <w:tcW w:w="1228" w:type="pct"/>
            <w:gridSpan w:val="2"/>
            <w:shd w:val="clear" w:color="auto" w:fill="8EAADB" w:themeFill="accent5" w:themeFillTint="99"/>
            <w:noWrap/>
            <w:vAlign w:val="center"/>
            <w:hideMark/>
          </w:tcPr>
          <w:p w:rsidR="00E61B0A" w:rsidRPr="003C2558" w:rsidRDefault="00E61B0A" w:rsidP="007064CB">
            <w:pPr>
              <w:spacing w:after="0" w:line="240" w:lineRule="auto"/>
              <w:jc w:val="center"/>
              <w:rPr>
                <w:rFonts w:ascii="Calibri" w:hAnsi="Calibri" w:cs="Calibri"/>
                <w:b/>
                <w:color w:val="000000"/>
                <w:lang w:eastAsia="en-IN"/>
              </w:rPr>
            </w:pPr>
            <w:r w:rsidRPr="003C2558">
              <w:rPr>
                <w:rFonts w:ascii="Calibri" w:hAnsi="Calibri" w:cs="Calibri"/>
                <w:b/>
                <w:color w:val="000000"/>
                <w:lang w:eastAsia="en-IN"/>
              </w:rPr>
              <w:t>H1 FY22</w:t>
            </w:r>
          </w:p>
        </w:tc>
      </w:tr>
      <w:tr w:rsidR="00E61B0A" w:rsidRPr="003C2558" w:rsidTr="00E61B0A">
        <w:trPr>
          <w:trHeight w:val="300"/>
        </w:trPr>
        <w:tc>
          <w:tcPr>
            <w:tcW w:w="542" w:type="pct"/>
            <w:shd w:val="clear" w:color="auto" w:fill="auto"/>
            <w:noWrap/>
            <w:vAlign w:val="center"/>
            <w:hideMark/>
          </w:tcPr>
          <w:p w:rsidR="00E61B0A" w:rsidRPr="003C2558" w:rsidRDefault="00E61B0A" w:rsidP="007064CB">
            <w:pPr>
              <w:spacing w:after="0" w:line="240" w:lineRule="auto"/>
              <w:jc w:val="center"/>
              <w:rPr>
                <w:rFonts w:ascii="Calibri" w:hAnsi="Calibri" w:cs="Calibri"/>
                <w:color w:val="000000"/>
                <w:lang w:eastAsia="en-IN"/>
              </w:rPr>
            </w:pPr>
            <w:r w:rsidRPr="003C2558">
              <w:rPr>
                <w:rFonts w:ascii="Calibri" w:hAnsi="Calibri" w:cs="Calibri"/>
                <w:color w:val="000000"/>
                <w:lang w:eastAsia="en-IN"/>
              </w:rPr>
              <w:t>PLF</w:t>
            </w:r>
          </w:p>
        </w:tc>
        <w:tc>
          <w:tcPr>
            <w:tcW w:w="676" w:type="pct"/>
            <w:shd w:val="clear" w:color="auto" w:fill="auto"/>
            <w:noWrap/>
            <w:vAlign w:val="center"/>
            <w:hideMark/>
          </w:tcPr>
          <w:p w:rsidR="00E61B0A" w:rsidRPr="003C2558" w:rsidRDefault="00E61B0A" w:rsidP="007064CB">
            <w:pPr>
              <w:spacing w:after="0" w:line="240" w:lineRule="auto"/>
              <w:jc w:val="center"/>
              <w:rPr>
                <w:rFonts w:ascii="Calibri" w:hAnsi="Calibri" w:cs="Calibri"/>
                <w:color w:val="000000"/>
                <w:lang w:eastAsia="en-IN"/>
              </w:rPr>
            </w:pPr>
            <w:r w:rsidRPr="003C2558">
              <w:rPr>
                <w:rFonts w:ascii="Calibri" w:hAnsi="Calibri" w:cs="Calibri"/>
                <w:color w:val="000000"/>
                <w:lang w:eastAsia="en-IN"/>
              </w:rPr>
              <w:t>Availability</w:t>
            </w:r>
          </w:p>
        </w:tc>
        <w:tc>
          <w:tcPr>
            <w:tcW w:w="630" w:type="pct"/>
            <w:shd w:val="clear" w:color="auto" w:fill="auto"/>
            <w:noWrap/>
            <w:vAlign w:val="center"/>
            <w:hideMark/>
          </w:tcPr>
          <w:p w:rsidR="00E61B0A" w:rsidRPr="003C2558" w:rsidRDefault="00E61B0A" w:rsidP="007064CB">
            <w:pPr>
              <w:spacing w:after="0" w:line="240" w:lineRule="auto"/>
              <w:jc w:val="center"/>
              <w:rPr>
                <w:rFonts w:ascii="Calibri" w:hAnsi="Calibri" w:cs="Calibri"/>
                <w:color w:val="000000"/>
                <w:lang w:eastAsia="en-IN"/>
              </w:rPr>
            </w:pPr>
            <w:r w:rsidRPr="003C2558">
              <w:rPr>
                <w:rFonts w:ascii="Calibri" w:hAnsi="Calibri" w:cs="Calibri"/>
                <w:color w:val="000000"/>
                <w:lang w:eastAsia="en-IN"/>
              </w:rPr>
              <w:t>PLF</w:t>
            </w:r>
          </w:p>
        </w:tc>
        <w:tc>
          <w:tcPr>
            <w:tcW w:w="676" w:type="pct"/>
            <w:shd w:val="clear" w:color="auto" w:fill="auto"/>
            <w:noWrap/>
            <w:vAlign w:val="center"/>
            <w:hideMark/>
          </w:tcPr>
          <w:p w:rsidR="00E61B0A" w:rsidRPr="003C2558" w:rsidRDefault="00E61B0A" w:rsidP="007064CB">
            <w:pPr>
              <w:spacing w:after="0" w:line="240" w:lineRule="auto"/>
              <w:jc w:val="center"/>
              <w:rPr>
                <w:rFonts w:ascii="Calibri" w:hAnsi="Calibri" w:cs="Calibri"/>
                <w:color w:val="000000"/>
                <w:lang w:eastAsia="en-IN"/>
              </w:rPr>
            </w:pPr>
            <w:r w:rsidRPr="003C2558">
              <w:rPr>
                <w:rFonts w:ascii="Calibri" w:hAnsi="Calibri" w:cs="Calibri"/>
                <w:color w:val="000000"/>
                <w:lang w:eastAsia="en-IN"/>
              </w:rPr>
              <w:t>Availability</w:t>
            </w:r>
          </w:p>
        </w:tc>
        <w:tc>
          <w:tcPr>
            <w:tcW w:w="573" w:type="pct"/>
            <w:shd w:val="clear" w:color="auto" w:fill="auto"/>
            <w:noWrap/>
            <w:vAlign w:val="center"/>
            <w:hideMark/>
          </w:tcPr>
          <w:p w:rsidR="00E61B0A" w:rsidRPr="003C2558" w:rsidRDefault="00E61B0A" w:rsidP="007064CB">
            <w:pPr>
              <w:spacing w:after="0" w:line="240" w:lineRule="auto"/>
              <w:jc w:val="center"/>
              <w:rPr>
                <w:rFonts w:ascii="Calibri" w:hAnsi="Calibri" w:cs="Calibri"/>
                <w:color w:val="000000"/>
                <w:lang w:eastAsia="en-IN"/>
              </w:rPr>
            </w:pPr>
            <w:r w:rsidRPr="003C2558">
              <w:rPr>
                <w:rFonts w:ascii="Calibri" w:hAnsi="Calibri" w:cs="Calibri"/>
                <w:color w:val="000000"/>
                <w:lang w:eastAsia="en-IN"/>
              </w:rPr>
              <w:t>PLF</w:t>
            </w:r>
          </w:p>
        </w:tc>
        <w:tc>
          <w:tcPr>
            <w:tcW w:w="676" w:type="pct"/>
            <w:shd w:val="clear" w:color="auto" w:fill="auto"/>
            <w:noWrap/>
            <w:vAlign w:val="center"/>
            <w:hideMark/>
          </w:tcPr>
          <w:p w:rsidR="00E61B0A" w:rsidRPr="003C2558" w:rsidRDefault="00E61B0A" w:rsidP="007064CB">
            <w:pPr>
              <w:spacing w:after="0" w:line="240" w:lineRule="auto"/>
              <w:jc w:val="center"/>
              <w:rPr>
                <w:rFonts w:ascii="Calibri" w:hAnsi="Calibri" w:cs="Calibri"/>
                <w:color w:val="000000"/>
                <w:lang w:eastAsia="en-IN"/>
              </w:rPr>
            </w:pPr>
            <w:r w:rsidRPr="003C2558">
              <w:rPr>
                <w:rFonts w:ascii="Calibri" w:hAnsi="Calibri" w:cs="Calibri"/>
                <w:color w:val="000000"/>
                <w:lang w:eastAsia="en-IN"/>
              </w:rPr>
              <w:t>Availability</w:t>
            </w:r>
          </w:p>
        </w:tc>
        <w:tc>
          <w:tcPr>
            <w:tcW w:w="552" w:type="pct"/>
            <w:shd w:val="clear" w:color="auto" w:fill="auto"/>
            <w:noWrap/>
            <w:vAlign w:val="center"/>
            <w:hideMark/>
          </w:tcPr>
          <w:p w:rsidR="00E61B0A" w:rsidRPr="003C2558" w:rsidRDefault="00E61B0A" w:rsidP="007064CB">
            <w:pPr>
              <w:spacing w:after="0" w:line="240" w:lineRule="auto"/>
              <w:jc w:val="center"/>
              <w:rPr>
                <w:rFonts w:ascii="Calibri" w:hAnsi="Calibri" w:cs="Calibri"/>
                <w:color w:val="000000"/>
                <w:lang w:eastAsia="en-IN"/>
              </w:rPr>
            </w:pPr>
            <w:r w:rsidRPr="003C2558">
              <w:rPr>
                <w:rFonts w:ascii="Calibri" w:hAnsi="Calibri" w:cs="Calibri"/>
                <w:color w:val="000000"/>
                <w:lang w:eastAsia="en-IN"/>
              </w:rPr>
              <w:t>PLF</w:t>
            </w:r>
          </w:p>
        </w:tc>
        <w:tc>
          <w:tcPr>
            <w:tcW w:w="676" w:type="pct"/>
            <w:shd w:val="clear" w:color="auto" w:fill="auto"/>
            <w:noWrap/>
            <w:vAlign w:val="center"/>
            <w:hideMark/>
          </w:tcPr>
          <w:p w:rsidR="00E61B0A" w:rsidRPr="003C2558" w:rsidRDefault="00E61B0A" w:rsidP="007064CB">
            <w:pPr>
              <w:spacing w:after="0" w:line="240" w:lineRule="auto"/>
              <w:jc w:val="center"/>
              <w:rPr>
                <w:rFonts w:ascii="Calibri" w:hAnsi="Calibri" w:cs="Calibri"/>
                <w:color w:val="000000"/>
                <w:lang w:eastAsia="en-IN"/>
              </w:rPr>
            </w:pPr>
            <w:r w:rsidRPr="003C2558">
              <w:rPr>
                <w:rFonts w:ascii="Calibri" w:hAnsi="Calibri" w:cs="Calibri"/>
                <w:color w:val="000000"/>
                <w:lang w:eastAsia="en-IN"/>
              </w:rPr>
              <w:t>Availability</w:t>
            </w:r>
          </w:p>
        </w:tc>
      </w:tr>
      <w:tr w:rsidR="00E61B0A" w:rsidRPr="003C2558" w:rsidTr="00E61B0A">
        <w:trPr>
          <w:trHeight w:val="300"/>
        </w:trPr>
        <w:tc>
          <w:tcPr>
            <w:tcW w:w="542" w:type="pct"/>
            <w:shd w:val="clear" w:color="auto" w:fill="auto"/>
            <w:noWrap/>
            <w:vAlign w:val="center"/>
            <w:hideMark/>
          </w:tcPr>
          <w:p w:rsidR="00E61B0A" w:rsidRPr="003C2558" w:rsidRDefault="00E61B0A" w:rsidP="007064CB">
            <w:pPr>
              <w:spacing w:after="0" w:line="240" w:lineRule="auto"/>
              <w:jc w:val="center"/>
              <w:rPr>
                <w:rFonts w:ascii="Calibri" w:hAnsi="Calibri" w:cs="Calibri"/>
                <w:color w:val="000000"/>
                <w:lang w:eastAsia="en-IN"/>
              </w:rPr>
            </w:pPr>
            <w:r w:rsidRPr="003C2558">
              <w:rPr>
                <w:rFonts w:ascii="Calibri" w:hAnsi="Calibri" w:cs="Calibri"/>
                <w:color w:val="000000"/>
                <w:lang w:eastAsia="en-IN"/>
              </w:rPr>
              <w:t>74%</w:t>
            </w:r>
          </w:p>
        </w:tc>
        <w:tc>
          <w:tcPr>
            <w:tcW w:w="676" w:type="pct"/>
            <w:shd w:val="clear" w:color="auto" w:fill="auto"/>
            <w:noWrap/>
            <w:vAlign w:val="center"/>
            <w:hideMark/>
          </w:tcPr>
          <w:p w:rsidR="00E61B0A" w:rsidRPr="003C2558" w:rsidRDefault="00E61B0A" w:rsidP="007064CB">
            <w:pPr>
              <w:spacing w:after="0" w:line="240" w:lineRule="auto"/>
              <w:jc w:val="center"/>
              <w:rPr>
                <w:rFonts w:ascii="Calibri" w:hAnsi="Calibri" w:cs="Calibri"/>
                <w:color w:val="000000"/>
                <w:lang w:eastAsia="en-IN"/>
              </w:rPr>
            </w:pPr>
            <w:r w:rsidRPr="003C2558">
              <w:rPr>
                <w:rFonts w:ascii="Calibri" w:hAnsi="Calibri" w:cs="Calibri"/>
                <w:color w:val="000000"/>
                <w:lang w:eastAsia="en-IN"/>
              </w:rPr>
              <w:t>89%</w:t>
            </w:r>
          </w:p>
        </w:tc>
        <w:tc>
          <w:tcPr>
            <w:tcW w:w="630" w:type="pct"/>
            <w:shd w:val="clear" w:color="auto" w:fill="auto"/>
            <w:noWrap/>
            <w:vAlign w:val="center"/>
            <w:hideMark/>
          </w:tcPr>
          <w:p w:rsidR="00E61B0A" w:rsidRPr="003C2558" w:rsidRDefault="00E61B0A" w:rsidP="007064CB">
            <w:pPr>
              <w:spacing w:after="0" w:line="240" w:lineRule="auto"/>
              <w:jc w:val="center"/>
              <w:rPr>
                <w:rFonts w:ascii="Calibri" w:hAnsi="Calibri" w:cs="Calibri"/>
                <w:color w:val="000000"/>
                <w:lang w:eastAsia="en-IN"/>
              </w:rPr>
            </w:pPr>
            <w:r w:rsidRPr="003C2558">
              <w:rPr>
                <w:rFonts w:ascii="Calibri" w:hAnsi="Calibri" w:cs="Calibri"/>
                <w:color w:val="000000"/>
                <w:lang w:eastAsia="en-IN"/>
              </w:rPr>
              <w:t>79%</w:t>
            </w:r>
          </w:p>
        </w:tc>
        <w:tc>
          <w:tcPr>
            <w:tcW w:w="676" w:type="pct"/>
            <w:shd w:val="clear" w:color="auto" w:fill="auto"/>
            <w:noWrap/>
            <w:vAlign w:val="center"/>
            <w:hideMark/>
          </w:tcPr>
          <w:p w:rsidR="00E61B0A" w:rsidRPr="003C2558" w:rsidRDefault="00E61B0A" w:rsidP="007064CB">
            <w:pPr>
              <w:spacing w:after="0" w:line="240" w:lineRule="auto"/>
              <w:jc w:val="center"/>
              <w:rPr>
                <w:rFonts w:ascii="Calibri" w:hAnsi="Calibri" w:cs="Calibri"/>
                <w:color w:val="000000"/>
                <w:lang w:eastAsia="en-IN"/>
              </w:rPr>
            </w:pPr>
            <w:r w:rsidRPr="003C2558">
              <w:rPr>
                <w:rFonts w:ascii="Calibri" w:hAnsi="Calibri" w:cs="Calibri"/>
                <w:color w:val="000000"/>
                <w:lang w:eastAsia="en-IN"/>
              </w:rPr>
              <w:t>90%</w:t>
            </w:r>
          </w:p>
        </w:tc>
        <w:tc>
          <w:tcPr>
            <w:tcW w:w="573" w:type="pct"/>
            <w:shd w:val="clear" w:color="auto" w:fill="auto"/>
            <w:noWrap/>
            <w:vAlign w:val="center"/>
            <w:hideMark/>
          </w:tcPr>
          <w:p w:rsidR="00E61B0A" w:rsidRPr="003C2558" w:rsidRDefault="00E61B0A" w:rsidP="007064CB">
            <w:pPr>
              <w:spacing w:after="0" w:line="240" w:lineRule="auto"/>
              <w:jc w:val="center"/>
              <w:rPr>
                <w:rFonts w:ascii="Calibri" w:hAnsi="Calibri" w:cs="Calibri"/>
                <w:color w:val="000000"/>
                <w:lang w:eastAsia="en-IN"/>
              </w:rPr>
            </w:pPr>
            <w:r w:rsidRPr="003C2558">
              <w:rPr>
                <w:rFonts w:ascii="Calibri" w:hAnsi="Calibri" w:cs="Calibri"/>
                <w:color w:val="000000"/>
                <w:lang w:eastAsia="en-IN"/>
              </w:rPr>
              <w:t>74%</w:t>
            </w:r>
          </w:p>
        </w:tc>
        <w:tc>
          <w:tcPr>
            <w:tcW w:w="676" w:type="pct"/>
            <w:shd w:val="clear" w:color="auto" w:fill="auto"/>
            <w:noWrap/>
            <w:vAlign w:val="center"/>
            <w:hideMark/>
          </w:tcPr>
          <w:p w:rsidR="00E61B0A" w:rsidRPr="003C2558" w:rsidRDefault="00E61B0A" w:rsidP="007064CB">
            <w:pPr>
              <w:spacing w:after="0" w:line="240" w:lineRule="auto"/>
              <w:jc w:val="center"/>
              <w:rPr>
                <w:rFonts w:ascii="Calibri" w:hAnsi="Calibri" w:cs="Calibri"/>
                <w:color w:val="000000"/>
                <w:lang w:eastAsia="en-IN"/>
              </w:rPr>
            </w:pPr>
            <w:r w:rsidRPr="003C2558">
              <w:rPr>
                <w:rFonts w:ascii="Calibri" w:hAnsi="Calibri" w:cs="Calibri"/>
                <w:color w:val="000000"/>
                <w:lang w:eastAsia="en-IN"/>
              </w:rPr>
              <w:t>92%</w:t>
            </w:r>
          </w:p>
        </w:tc>
        <w:tc>
          <w:tcPr>
            <w:tcW w:w="552" w:type="pct"/>
            <w:shd w:val="clear" w:color="auto" w:fill="auto"/>
            <w:noWrap/>
            <w:vAlign w:val="center"/>
            <w:hideMark/>
          </w:tcPr>
          <w:p w:rsidR="00E61B0A" w:rsidRPr="003C2558" w:rsidRDefault="00E61B0A" w:rsidP="007064CB">
            <w:pPr>
              <w:spacing w:after="0" w:line="240" w:lineRule="auto"/>
              <w:jc w:val="center"/>
              <w:rPr>
                <w:rFonts w:ascii="Calibri" w:hAnsi="Calibri" w:cs="Calibri"/>
                <w:color w:val="000000"/>
                <w:lang w:eastAsia="en-IN"/>
              </w:rPr>
            </w:pPr>
            <w:r w:rsidRPr="003C2558">
              <w:rPr>
                <w:rFonts w:ascii="Calibri" w:hAnsi="Calibri" w:cs="Calibri"/>
                <w:color w:val="000000"/>
                <w:lang w:eastAsia="en-IN"/>
              </w:rPr>
              <w:t>53%</w:t>
            </w:r>
          </w:p>
        </w:tc>
        <w:tc>
          <w:tcPr>
            <w:tcW w:w="676" w:type="pct"/>
            <w:shd w:val="clear" w:color="auto" w:fill="auto"/>
            <w:noWrap/>
            <w:vAlign w:val="center"/>
            <w:hideMark/>
          </w:tcPr>
          <w:p w:rsidR="00E61B0A" w:rsidRPr="003C2558" w:rsidRDefault="00E61B0A" w:rsidP="007064CB">
            <w:pPr>
              <w:spacing w:after="0" w:line="240" w:lineRule="auto"/>
              <w:jc w:val="center"/>
              <w:rPr>
                <w:rFonts w:ascii="Calibri" w:hAnsi="Calibri" w:cs="Calibri"/>
                <w:color w:val="000000"/>
                <w:lang w:eastAsia="en-IN"/>
              </w:rPr>
            </w:pPr>
            <w:r w:rsidRPr="003C2558">
              <w:rPr>
                <w:rFonts w:ascii="Calibri" w:hAnsi="Calibri" w:cs="Calibri"/>
                <w:color w:val="000000"/>
                <w:lang w:eastAsia="en-IN"/>
              </w:rPr>
              <w:t>63%</w:t>
            </w:r>
          </w:p>
        </w:tc>
      </w:tr>
    </w:tbl>
    <w:p w:rsidR="00E61B0A" w:rsidRDefault="00E61B0A" w:rsidP="00E61B0A">
      <w:pPr>
        <w:pStyle w:val="ListParagraph"/>
        <w:spacing w:after="0" w:line="360" w:lineRule="auto"/>
        <w:ind w:left="426" w:right="-613"/>
        <w:jc w:val="both"/>
        <w:rPr>
          <w:rFonts w:ascii="Arial" w:hAnsi="Arial" w:cs="Arial"/>
          <w:sz w:val="22"/>
          <w:szCs w:val="22"/>
        </w:rPr>
      </w:pPr>
    </w:p>
    <w:p w:rsidR="00E61B0A" w:rsidRDefault="00E61B0A" w:rsidP="00A0081D">
      <w:pPr>
        <w:pStyle w:val="ListParagraph"/>
        <w:numPr>
          <w:ilvl w:val="0"/>
          <w:numId w:val="8"/>
        </w:numPr>
        <w:spacing w:line="360" w:lineRule="auto"/>
        <w:ind w:left="426" w:right="-613" w:hanging="426"/>
        <w:jc w:val="both"/>
        <w:rPr>
          <w:rFonts w:ascii="Arial" w:hAnsi="Arial" w:cs="Arial"/>
          <w:sz w:val="22"/>
          <w:szCs w:val="22"/>
        </w:rPr>
      </w:pPr>
      <w:r w:rsidRPr="00E61B0A">
        <w:rPr>
          <w:rFonts w:ascii="Arial" w:hAnsi="Arial" w:cs="Arial"/>
          <w:sz w:val="22"/>
          <w:szCs w:val="22"/>
        </w:rPr>
        <w:t>During the FY 2019, FY 2020 and FY2021, the auxiliary power consumption was 8.3%. However, post FGD implementation, the auxiliary power consumption is expected to go up to 9.5%.</w:t>
      </w:r>
    </w:p>
    <w:p w:rsidR="00E61B0A" w:rsidRDefault="00E61B0A" w:rsidP="00A0081D">
      <w:pPr>
        <w:pStyle w:val="ListParagraph"/>
        <w:numPr>
          <w:ilvl w:val="0"/>
          <w:numId w:val="8"/>
        </w:numPr>
        <w:spacing w:after="0" w:line="360" w:lineRule="auto"/>
        <w:ind w:left="426" w:right="-613" w:hanging="426"/>
        <w:jc w:val="both"/>
        <w:rPr>
          <w:rFonts w:ascii="Arial" w:hAnsi="Arial" w:cs="Arial"/>
          <w:sz w:val="22"/>
          <w:szCs w:val="22"/>
        </w:rPr>
      </w:pPr>
      <w:r w:rsidRPr="00E61B0A">
        <w:rPr>
          <w:rFonts w:ascii="Arial" w:hAnsi="Arial" w:cs="Arial"/>
          <w:sz w:val="22"/>
          <w:szCs w:val="22"/>
        </w:rPr>
        <w:t>During H1 FY22, PLF is low due to intermittent shortage of coal.</w:t>
      </w:r>
    </w:p>
    <w:p w:rsidR="004F1865" w:rsidRDefault="004F1865" w:rsidP="00F6083B">
      <w:pPr>
        <w:pStyle w:val="ListParagraph"/>
        <w:spacing w:after="0" w:line="360" w:lineRule="auto"/>
        <w:ind w:left="0" w:right="-613"/>
        <w:jc w:val="both"/>
        <w:rPr>
          <w:rFonts w:ascii="Arial" w:hAnsi="Arial" w:cs="Arial"/>
          <w:sz w:val="22"/>
          <w:szCs w:val="22"/>
        </w:rPr>
      </w:pPr>
    </w:p>
    <w:p w:rsidR="00272A33" w:rsidRDefault="00272A33" w:rsidP="00272A33">
      <w:pPr>
        <w:pStyle w:val="ListParagraph"/>
        <w:numPr>
          <w:ilvl w:val="0"/>
          <w:numId w:val="2"/>
        </w:numPr>
        <w:spacing w:line="360" w:lineRule="auto"/>
        <w:ind w:left="0" w:right="-613" w:hanging="284"/>
        <w:jc w:val="both"/>
        <w:rPr>
          <w:rFonts w:ascii="Arial" w:hAnsi="Arial" w:cs="Arial"/>
          <w:b/>
          <w:sz w:val="22"/>
          <w:szCs w:val="22"/>
        </w:rPr>
      </w:pPr>
      <w:r w:rsidRPr="00272A33">
        <w:rPr>
          <w:rFonts w:ascii="Arial" w:hAnsi="Arial" w:cs="Arial"/>
          <w:b/>
          <w:sz w:val="22"/>
          <w:szCs w:val="22"/>
        </w:rPr>
        <w:t>REASONS FOR FINANCIAL STRESS</w:t>
      </w:r>
      <w:r>
        <w:rPr>
          <w:rFonts w:ascii="Arial" w:hAnsi="Arial" w:cs="Arial"/>
          <w:b/>
          <w:sz w:val="22"/>
          <w:szCs w:val="22"/>
        </w:rPr>
        <w:t>:</w:t>
      </w:r>
    </w:p>
    <w:p w:rsidR="00272A33" w:rsidRDefault="00272A33" w:rsidP="00272A33">
      <w:pPr>
        <w:pStyle w:val="ListParagraph"/>
        <w:spacing w:line="360" w:lineRule="auto"/>
        <w:ind w:left="0" w:right="-613"/>
        <w:jc w:val="both"/>
        <w:rPr>
          <w:rFonts w:ascii="Arial" w:hAnsi="Arial" w:cs="Arial"/>
          <w:sz w:val="22"/>
          <w:szCs w:val="22"/>
        </w:rPr>
      </w:pPr>
      <w:r w:rsidRPr="00272A33">
        <w:rPr>
          <w:rFonts w:ascii="Arial" w:hAnsi="Arial" w:cs="Arial"/>
          <w:sz w:val="22"/>
          <w:szCs w:val="22"/>
        </w:rPr>
        <w:t>GWEL faced financial issues from FY 21 mainly on account of the following reasons:</w:t>
      </w:r>
    </w:p>
    <w:p w:rsidR="00272A33" w:rsidRPr="00272A33" w:rsidRDefault="00272A33" w:rsidP="00A0081D">
      <w:pPr>
        <w:pStyle w:val="ListParagraph"/>
        <w:numPr>
          <w:ilvl w:val="0"/>
          <w:numId w:val="9"/>
        </w:numPr>
        <w:spacing w:line="360" w:lineRule="auto"/>
        <w:ind w:left="426" w:right="-613" w:hanging="426"/>
        <w:jc w:val="both"/>
        <w:rPr>
          <w:rFonts w:ascii="Arial" w:hAnsi="Arial" w:cs="Arial"/>
          <w:b/>
          <w:sz w:val="22"/>
          <w:szCs w:val="22"/>
        </w:rPr>
      </w:pPr>
      <w:r w:rsidRPr="00272A33">
        <w:rPr>
          <w:rFonts w:ascii="Arial" w:hAnsi="Arial" w:cs="Arial"/>
          <w:b/>
          <w:sz w:val="22"/>
          <w:szCs w:val="22"/>
        </w:rPr>
        <w:t>Lower power demand during COVID-19</w:t>
      </w:r>
      <w:r w:rsidRPr="00272A33">
        <w:rPr>
          <w:rFonts w:ascii="Arial" w:hAnsi="Arial" w:cs="Arial"/>
          <w:sz w:val="22"/>
          <w:szCs w:val="22"/>
        </w:rPr>
        <w:t xml:space="preserve"> –Project operated at a much lower PLF of ~49% during Q1FY21 due to complete lockdown in the wake of COVID-19 pandemic and the resultant lower demand for power. The annualized PLF for FY21 at 74% was about ~5% lower when compared to PLF of 79% in FY20. Due to ongoing pandemic situation, Project’s operational and financial performance has been impacted in the past 18 months.</w:t>
      </w:r>
    </w:p>
    <w:p w:rsidR="00272A33" w:rsidRPr="00272A33" w:rsidRDefault="00272A33" w:rsidP="00A0081D">
      <w:pPr>
        <w:pStyle w:val="ListParagraph"/>
        <w:numPr>
          <w:ilvl w:val="0"/>
          <w:numId w:val="9"/>
        </w:numPr>
        <w:spacing w:line="360" w:lineRule="auto"/>
        <w:ind w:left="426" w:right="-613" w:hanging="426"/>
        <w:jc w:val="both"/>
        <w:rPr>
          <w:rFonts w:ascii="Arial" w:hAnsi="Arial" w:cs="Arial"/>
          <w:b/>
          <w:sz w:val="22"/>
          <w:szCs w:val="22"/>
        </w:rPr>
      </w:pPr>
      <w:r w:rsidRPr="00272A33">
        <w:rPr>
          <w:rFonts w:ascii="Arial" w:hAnsi="Arial" w:cs="Arial"/>
          <w:b/>
          <w:sz w:val="22"/>
          <w:szCs w:val="22"/>
        </w:rPr>
        <w:t>Non-tie up of plant capacity with PPAs</w:t>
      </w:r>
      <w:r w:rsidRPr="00272A33">
        <w:rPr>
          <w:rFonts w:ascii="Arial" w:hAnsi="Arial" w:cs="Arial"/>
          <w:sz w:val="22"/>
          <w:szCs w:val="22"/>
        </w:rPr>
        <w:t xml:space="preserve"> - During Q1FY21, under post-C</w:t>
      </w:r>
      <w:r>
        <w:rPr>
          <w:rFonts w:ascii="Arial" w:hAnsi="Arial" w:cs="Arial"/>
          <w:sz w:val="22"/>
          <w:szCs w:val="22"/>
        </w:rPr>
        <w:t>ovid “Atmanirbhar” scheme of Government of India</w:t>
      </w:r>
      <w:r w:rsidRPr="00272A33">
        <w:rPr>
          <w:rFonts w:ascii="Arial" w:hAnsi="Arial" w:cs="Arial"/>
          <w:sz w:val="22"/>
          <w:szCs w:val="22"/>
        </w:rPr>
        <w:t>, privatization of all power distribution companies in Union Territories, including that for Dadra &amp; Nagar Haveli was announced. In the given situation, renewal of PPA is limited.</w:t>
      </w:r>
    </w:p>
    <w:p w:rsidR="00272A33" w:rsidRPr="00272A33" w:rsidRDefault="00272A33" w:rsidP="00A0081D">
      <w:pPr>
        <w:pStyle w:val="ListParagraph"/>
        <w:numPr>
          <w:ilvl w:val="0"/>
          <w:numId w:val="9"/>
        </w:numPr>
        <w:spacing w:line="360" w:lineRule="auto"/>
        <w:ind w:left="426" w:right="-613" w:hanging="426"/>
        <w:jc w:val="both"/>
        <w:rPr>
          <w:rFonts w:ascii="Arial" w:hAnsi="Arial" w:cs="Arial"/>
          <w:b/>
          <w:sz w:val="22"/>
          <w:szCs w:val="22"/>
        </w:rPr>
      </w:pPr>
      <w:r w:rsidRPr="00272A33">
        <w:rPr>
          <w:rFonts w:ascii="Arial" w:hAnsi="Arial" w:cs="Arial"/>
          <w:b/>
          <w:sz w:val="22"/>
          <w:szCs w:val="22"/>
        </w:rPr>
        <w:t>Untied Capacity</w:t>
      </w:r>
      <w:r w:rsidRPr="00272A33">
        <w:rPr>
          <w:rFonts w:ascii="Arial" w:hAnsi="Arial" w:cs="Arial"/>
          <w:sz w:val="22"/>
          <w:szCs w:val="22"/>
        </w:rPr>
        <w:t xml:space="preserve"> - In absence of DNH PPA in FY2021, the Company had an untied capacity of 200 MW since July 2020 (till tie up of PPA with GUVNL in October 21), which was sold in merchant/ short term market at average realization of Rs. 3.11 / kWh in FY’21 against average realization of ~Rs. 5+/ kWh from DNH PPA. Non-remunerative realisations from merchant market impacted the company’s EBIDTA.</w:t>
      </w:r>
    </w:p>
    <w:p w:rsidR="00272A33" w:rsidRPr="00272A33" w:rsidRDefault="00272A33" w:rsidP="00A0081D">
      <w:pPr>
        <w:pStyle w:val="ListParagraph"/>
        <w:numPr>
          <w:ilvl w:val="0"/>
          <w:numId w:val="9"/>
        </w:numPr>
        <w:spacing w:line="360" w:lineRule="auto"/>
        <w:ind w:left="426" w:right="-613" w:hanging="426"/>
        <w:jc w:val="both"/>
        <w:rPr>
          <w:rFonts w:ascii="Arial" w:hAnsi="Arial" w:cs="Arial"/>
          <w:b/>
          <w:sz w:val="22"/>
          <w:szCs w:val="22"/>
        </w:rPr>
      </w:pPr>
      <w:r w:rsidRPr="00272A33">
        <w:rPr>
          <w:rFonts w:ascii="Arial" w:hAnsi="Arial" w:cs="Arial"/>
          <w:b/>
          <w:sz w:val="22"/>
          <w:szCs w:val="22"/>
        </w:rPr>
        <w:t xml:space="preserve">Non-realization of Receivables from DNH Discom </w:t>
      </w:r>
      <w:r w:rsidRPr="00272A33">
        <w:rPr>
          <w:rFonts w:ascii="Arial" w:hAnsi="Arial" w:cs="Arial"/>
          <w:sz w:val="22"/>
          <w:szCs w:val="22"/>
        </w:rPr>
        <w:t>- DNH refused to pay capacity charges amounting to Rs.132 Crore billed during the COVID-19 induced lockdown period (in 2020). Company has filed a petition for the same with CERC. However, delay in realisation put cash flows of the Company in stress. CERC vide order dated Jan 20, 2022 has directed DNH to make payment of capacity charges (with Late Payment Surcharge) for the period of Apr 2020 till June 2020 within 60 days from the date of this order.</w:t>
      </w:r>
    </w:p>
    <w:p w:rsidR="00F83EB1" w:rsidRDefault="00272A33" w:rsidP="00272A33">
      <w:pPr>
        <w:pStyle w:val="ListParagraph"/>
        <w:spacing w:line="360" w:lineRule="auto"/>
        <w:ind w:left="0" w:right="-613"/>
        <w:jc w:val="both"/>
        <w:rPr>
          <w:rFonts w:ascii="Arial" w:hAnsi="Arial" w:cs="Arial"/>
          <w:sz w:val="22"/>
          <w:szCs w:val="22"/>
        </w:rPr>
      </w:pPr>
      <w:r w:rsidRPr="00272A33">
        <w:rPr>
          <w:rFonts w:ascii="Arial" w:hAnsi="Arial" w:cs="Arial"/>
          <w:b/>
          <w:sz w:val="22"/>
          <w:szCs w:val="22"/>
        </w:rPr>
        <w:lastRenderedPageBreak/>
        <w:t>Overdue Receivables</w:t>
      </w:r>
      <w:r w:rsidRPr="00272A33">
        <w:rPr>
          <w:rFonts w:ascii="Arial" w:hAnsi="Arial" w:cs="Arial"/>
          <w:sz w:val="22"/>
          <w:szCs w:val="22"/>
        </w:rPr>
        <w:t>: In addition to the capacity charge of Rs. 132 Crore pertaining to DNH, receivables (incl. regulatory receivables) of Rs. 239 Crore related to DNH and MSEDCL have been outstanding for a period of more than 180 days leading to stretched liquidity position.</w:t>
      </w:r>
    </w:p>
    <w:p w:rsidR="00272A33" w:rsidRDefault="00272A33" w:rsidP="00272A33">
      <w:pPr>
        <w:spacing w:line="360" w:lineRule="auto"/>
        <w:ind w:right="-613"/>
        <w:jc w:val="both"/>
        <w:rPr>
          <w:rFonts w:ascii="Arial" w:hAnsi="Arial" w:cs="Arial"/>
          <w:sz w:val="22"/>
          <w:szCs w:val="22"/>
        </w:rPr>
      </w:pPr>
      <w:r w:rsidRPr="00272A33">
        <w:rPr>
          <w:rFonts w:ascii="Arial" w:hAnsi="Arial" w:cs="Arial"/>
          <w:b/>
          <w:sz w:val="22"/>
          <w:szCs w:val="22"/>
        </w:rPr>
        <w:t xml:space="preserve">Past Efforts at Recovery / Resolution: </w:t>
      </w:r>
      <w:r w:rsidRPr="00272A33">
        <w:rPr>
          <w:rFonts w:ascii="Arial" w:hAnsi="Arial" w:cs="Arial"/>
          <w:sz w:val="22"/>
          <w:szCs w:val="22"/>
        </w:rPr>
        <w:t>The Lenders had considered the request of Company vide letter dated 26 October 2020 and November 16, 2020, for availing One Time Restructuring (OTR) under Resolution Framework for COVID-19-related Stress of RBI Circular dated 06 August 2020.</w:t>
      </w:r>
      <w:r>
        <w:rPr>
          <w:rFonts w:ascii="Arial" w:hAnsi="Arial" w:cs="Arial"/>
          <w:sz w:val="22"/>
          <w:szCs w:val="22"/>
        </w:rPr>
        <w:t xml:space="preserve"> </w:t>
      </w:r>
      <w:r w:rsidRPr="00272A33">
        <w:rPr>
          <w:rFonts w:ascii="Arial" w:hAnsi="Arial" w:cs="Arial"/>
          <w:sz w:val="22"/>
          <w:szCs w:val="22"/>
        </w:rPr>
        <w:t>The invocation of resolution process was done on 30 December 2020. However, the Resolution Plan could not be implemented within the specified timelines due to lapse of time.</w:t>
      </w:r>
    </w:p>
    <w:p w:rsidR="00272A33" w:rsidRPr="0080275F" w:rsidRDefault="00272A33" w:rsidP="00272A33">
      <w:pPr>
        <w:spacing w:line="360" w:lineRule="auto"/>
        <w:ind w:right="-613"/>
        <w:jc w:val="both"/>
        <w:rPr>
          <w:rFonts w:ascii="Arial" w:hAnsi="Arial" w:cs="Arial"/>
          <w:i/>
          <w:color w:val="000000"/>
          <w:sz w:val="22"/>
          <w:szCs w:val="22"/>
        </w:rPr>
      </w:pPr>
      <w:r w:rsidRPr="0080275F">
        <w:rPr>
          <w:rFonts w:ascii="Arial" w:hAnsi="Arial" w:cs="Arial"/>
          <w:b/>
          <w:sz w:val="22"/>
          <w:szCs w:val="22"/>
        </w:rPr>
        <w:t xml:space="preserve">Present Resolution Plan: </w:t>
      </w:r>
      <w:r w:rsidRPr="0080275F">
        <w:rPr>
          <w:rFonts w:ascii="Arial" w:hAnsi="Arial" w:cs="Arial"/>
          <w:sz w:val="22"/>
          <w:szCs w:val="22"/>
        </w:rPr>
        <w:t xml:space="preserve">The Project cash flows continue to be under stress. Subsequent to failure of effort to resolve the stress under Resolution Framework for COVID-19-related Stress of RBI Circular dated August 06, 2020, it was agreed among the Lenders and the company to resolve the stress under </w:t>
      </w:r>
      <w:r w:rsidR="0080275F" w:rsidRPr="0080275F">
        <w:rPr>
          <w:rFonts w:ascii="Arial" w:hAnsi="Arial" w:cs="Arial"/>
          <w:sz w:val="22"/>
          <w:szCs w:val="22"/>
          <w:lang w:val="en-IN"/>
        </w:rPr>
        <w:t xml:space="preserve">the Provision 158 (6) (a) of Chapter V Preferential Issue of SEBI ICDR, which in turn refers to </w:t>
      </w:r>
      <w:r w:rsidR="0080275F" w:rsidRPr="0080275F">
        <w:rPr>
          <w:rFonts w:ascii="Arial" w:hAnsi="Arial" w:cs="Arial"/>
          <w:sz w:val="22"/>
        </w:rPr>
        <w:t xml:space="preserve">the </w:t>
      </w:r>
      <w:r w:rsidR="0080275F" w:rsidRPr="0080275F">
        <w:rPr>
          <w:rFonts w:ascii="Arial" w:hAnsi="Arial" w:cs="Arial"/>
          <w:sz w:val="22"/>
          <w:szCs w:val="22"/>
        </w:rPr>
        <w:t xml:space="preserve">Prudential Framework for Resolution of Stressed Assets vide RBI Circular dated June 07, 2019 </w:t>
      </w:r>
      <w:r w:rsidR="0080275F" w:rsidRPr="0080275F">
        <w:rPr>
          <w:rFonts w:ascii="Arial" w:hAnsi="Arial" w:cs="Arial"/>
          <w:sz w:val="22"/>
          <w:szCs w:val="22"/>
          <w:lang w:val="en-IN"/>
        </w:rPr>
        <w:t>Clause 32</w:t>
      </w:r>
      <w:r w:rsidR="0080275F" w:rsidRPr="0080275F">
        <w:rPr>
          <w:rFonts w:ascii="Arial" w:hAnsi="Arial" w:cs="Arial"/>
          <w:color w:val="000000"/>
          <w:sz w:val="22"/>
          <w:szCs w:val="22"/>
        </w:rPr>
        <w:t>.</w:t>
      </w:r>
    </w:p>
    <w:p w:rsidR="005210ED" w:rsidRDefault="00272A33" w:rsidP="00A0081D">
      <w:pPr>
        <w:pStyle w:val="ListParagraph"/>
        <w:numPr>
          <w:ilvl w:val="0"/>
          <w:numId w:val="10"/>
        </w:numPr>
        <w:tabs>
          <w:tab w:val="left" w:pos="426"/>
        </w:tabs>
        <w:spacing w:before="240" w:line="360" w:lineRule="auto"/>
        <w:ind w:left="426" w:right="-613" w:hanging="426"/>
        <w:jc w:val="both"/>
        <w:rPr>
          <w:rFonts w:ascii="Arial" w:hAnsi="Arial" w:cs="Arial"/>
          <w:b/>
          <w:sz w:val="22"/>
          <w:szCs w:val="22"/>
        </w:rPr>
      </w:pPr>
      <w:r w:rsidRPr="00272A33">
        <w:rPr>
          <w:rFonts w:ascii="Arial" w:hAnsi="Arial" w:cs="Arial"/>
          <w:b/>
          <w:sz w:val="22"/>
          <w:szCs w:val="22"/>
        </w:rPr>
        <w:t>Resolution Plan</w:t>
      </w:r>
      <w:r>
        <w:rPr>
          <w:rFonts w:ascii="Arial" w:hAnsi="Arial" w:cs="Arial"/>
          <w:b/>
          <w:sz w:val="22"/>
          <w:szCs w:val="22"/>
        </w:rPr>
        <w:t xml:space="preserve">: </w:t>
      </w:r>
    </w:p>
    <w:p w:rsidR="005210ED" w:rsidRDefault="005210ED" w:rsidP="005210ED">
      <w:pPr>
        <w:pStyle w:val="ListParagraph"/>
        <w:tabs>
          <w:tab w:val="left" w:pos="426"/>
        </w:tabs>
        <w:spacing w:before="240" w:line="360" w:lineRule="auto"/>
        <w:ind w:left="426" w:right="-613"/>
        <w:jc w:val="both"/>
        <w:rPr>
          <w:rFonts w:ascii="Arial" w:hAnsi="Arial" w:cs="Arial"/>
          <w:sz w:val="22"/>
          <w:szCs w:val="22"/>
        </w:rPr>
      </w:pPr>
      <w:r>
        <w:rPr>
          <w:rFonts w:ascii="Arial" w:hAnsi="Arial" w:cs="Arial"/>
          <w:sz w:val="22"/>
          <w:szCs w:val="22"/>
        </w:rPr>
        <w:t>Below table shows the details of t</w:t>
      </w:r>
      <w:r w:rsidRPr="005210ED">
        <w:rPr>
          <w:rFonts w:ascii="Arial" w:hAnsi="Arial" w:cs="Arial"/>
          <w:sz w:val="22"/>
          <w:szCs w:val="22"/>
        </w:rPr>
        <w:t>he Res</w:t>
      </w:r>
      <w:r>
        <w:rPr>
          <w:rFonts w:ascii="Arial" w:hAnsi="Arial" w:cs="Arial"/>
          <w:sz w:val="22"/>
          <w:szCs w:val="22"/>
        </w:rPr>
        <w:t>olution Plan</w:t>
      </w:r>
      <w:r w:rsidRPr="005210ED">
        <w:rPr>
          <w:rFonts w:ascii="Arial" w:hAnsi="Arial" w:cs="Arial"/>
          <w:sz w:val="22"/>
          <w:szCs w:val="22"/>
        </w:rPr>
        <w:t>:</w:t>
      </w:r>
    </w:p>
    <w:tbl>
      <w:tblPr>
        <w:tblW w:w="4895"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261"/>
        <w:gridCol w:w="4819"/>
      </w:tblGrid>
      <w:tr w:rsidR="005210ED" w:rsidRPr="0080275F" w:rsidTr="0080275F">
        <w:trPr>
          <w:trHeight w:val="431"/>
        </w:trPr>
        <w:tc>
          <w:tcPr>
            <w:tcW w:w="476" w:type="pct"/>
            <w:shd w:val="clear" w:color="auto" w:fill="002060"/>
            <w:noWrap/>
            <w:vAlign w:val="center"/>
            <w:hideMark/>
          </w:tcPr>
          <w:p w:rsidR="005210ED" w:rsidRPr="0080275F" w:rsidRDefault="005210ED" w:rsidP="005210ED">
            <w:pPr>
              <w:spacing w:after="0" w:line="360" w:lineRule="auto"/>
              <w:rPr>
                <w:rFonts w:asciiTheme="minorHAnsi" w:hAnsiTheme="minorHAnsi" w:cstheme="minorHAnsi"/>
                <w:b/>
                <w:color w:val="FFFFFF" w:themeColor="background1"/>
                <w:sz w:val="22"/>
                <w:szCs w:val="22"/>
                <w:lang w:eastAsia="en-IN"/>
              </w:rPr>
            </w:pPr>
            <w:r w:rsidRPr="0080275F">
              <w:rPr>
                <w:rFonts w:asciiTheme="minorHAnsi" w:hAnsiTheme="minorHAnsi" w:cstheme="minorHAnsi"/>
                <w:b/>
                <w:color w:val="FFFFFF" w:themeColor="background1"/>
                <w:sz w:val="22"/>
                <w:szCs w:val="22"/>
                <w:lang w:eastAsia="en-IN"/>
              </w:rPr>
              <w:t>S. No.</w:t>
            </w:r>
          </w:p>
        </w:tc>
        <w:tc>
          <w:tcPr>
            <w:tcW w:w="1826" w:type="pct"/>
            <w:shd w:val="clear" w:color="auto" w:fill="002060"/>
            <w:noWrap/>
            <w:vAlign w:val="center"/>
          </w:tcPr>
          <w:p w:rsidR="005210ED" w:rsidRPr="0080275F" w:rsidRDefault="005210ED" w:rsidP="005210ED">
            <w:pPr>
              <w:spacing w:after="0" w:line="360" w:lineRule="auto"/>
              <w:jc w:val="center"/>
              <w:rPr>
                <w:rFonts w:asciiTheme="minorHAnsi" w:hAnsiTheme="minorHAnsi" w:cstheme="minorHAnsi"/>
                <w:b/>
                <w:color w:val="FFFFFF" w:themeColor="background1"/>
                <w:sz w:val="22"/>
                <w:szCs w:val="22"/>
                <w:lang w:eastAsia="en-IN"/>
              </w:rPr>
            </w:pPr>
            <w:r w:rsidRPr="0080275F">
              <w:rPr>
                <w:rFonts w:asciiTheme="minorHAnsi" w:hAnsiTheme="minorHAnsi" w:cstheme="minorHAnsi"/>
                <w:b/>
                <w:color w:val="FFFFFF" w:themeColor="background1"/>
                <w:sz w:val="22"/>
                <w:szCs w:val="22"/>
                <w:lang w:eastAsia="en-IN"/>
              </w:rPr>
              <w:t>Particular</w:t>
            </w:r>
          </w:p>
        </w:tc>
        <w:tc>
          <w:tcPr>
            <w:tcW w:w="2698" w:type="pct"/>
            <w:shd w:val="clear" w:color="auto" w:fill="002060"/>
            <w:noWrap/>
            <w:vAlign w:val="center"/>
          </w:tcPr>
          <w:p w:rsidR="005210ED" w:rsidRPr="0080275F" w:rsidRDefault="005210ED" w:rsidP="005210ED">
            <w:pPr>
              <w:spacing w:after="0" w:line="360" w:lineRule="auto"/>
              <w:jc w:val="center"/>
              <w:rPr>
                <w:rFonts w:asciiTheme="minorHAnsi" w:hAnsiTheme="minorHAnsi" w:cstheme="minorHAnsi"/>
                <w:b/>
                <w:color w:val="FFFFFF" w:themeColor="background1"/>
                <w:sz w:val="22"/>
                <w:szCs w:val="22"/>
                <w:lang w:eastAsia="en-IN"/>
              </w:rPr>
            </w:pPr>
            <w:r w:rsidRPr="0080275F">
              <w:rPr>
                <w:rFonts w:asciiTheme="minorHAnsi" w:hAnsiTheme="minorHAnsi" w:cstheme="minorHAnsi"/>
                <w:b/>
                <w:color w:val="FFFFFF" w:themeColor="background1"/>
                <w:sz w:val="22"/>
                <w:szCs w:val="22"/>
                <w:lang w:eastAsia="en-IN"/>
              </w:rPr>
              <w:t>Description</w:t>
            </w:r>
          </w:p>
        </w:tc>
      </w:tr>
      <w:tr w:rsidR="005210ED" w:rsidRPr="0080275F" w:rsidTr="0080275F">
        <w:trPr>
          <w:trHeight w:val="300"/>
        </w:trPr>
        <w:tc>
          <w:tcPr>
            <w:tcW w:w="476" w:type="pct"/>
            <w:shd w:val="clear" w:color="auto" w:fill="auto"/>
            <w:noWrap/>
            <w:vAlign w:val="center"/>
          </w:tcPr>
          <w:p w:rsidR="005210ED" w:rsidRPr="0080275F" w:rsidRDefault="005210ED" w:rsidP="00A0081D">
            <w:pPr>
              <w:pStyle w:val="ListParagraph"/>
              <w:numPr>
                <w:ilvl w:val="6"/>
                <w:numId w:val="3"/>
              </w:numPr>
              <w:spacing w:after="0" w:line="360" w:lineRule="auto"/>
              <w:ind w:hanging="4865"/>
              <w:rPr>
                <w:rFonts w:asciiTheme="minorHAnsi" w:hAnsiTheme="minorHAnsi" w:cstheme="minorHAnsi"/>
                <w:color w:val="000000"/>
                <w:sz w:val="22"/>
                <w:szCs w:val="22"/>
                <w:lang w:eastAsia="en-IN"/>
              </w:rPr>
            </w:pPr>
          </w:p>
        </w:tc>
        <w:tc>
          <w:tcPr>
            <w:tcW w:w="1826" w:type="pct"/>
            <w:shd w:val="clear" w:color="auto" w:fill="auto"/>
            <w:noWrap/>
            <w:vAlign w:val="center"/>
          </w:tcPr>
          <w:p w:rsidR="005210ED" w:rsidRPr="0080275F" w:rsidRDefault="005210ED" w:rsidP="005210ED">
            <w:pPr>
              <w:spacing w:after="0" w:line="360" w:lineRule="auto"/>
              <w:jc w:val="center"/>
              <w:rPr>
                <w:rFonts w:asciiTheme="minorHAnsi" w:hAnsiTheme="minorHAnsi" w:cstheme="minorHAnsi"/>
                <w:color w:val="000000"/>
                <w:sz w:val="22"/>
                <w:szCs w:val="22"/>
                <w:lang w:eastAsia="en-IN"/>
              </w:rPr>
            </w:pPr>
            <w:r w:rsidRPr="0080275F">
              <w:rPr>
                <w:rFonts w:asciiTheme="minorHAnsi" w:hAnsiTheme="minorHAnsi" w:cstheme="minorHAnsi"/>
                <w:sz w:val="22"/>
                <w:szCs w:val="22"/>
              </w:rPr>
              <w:t>Restructuring Framework</w:t>
            </w:r>
          </w:p>
        </w:tc>
        <w:tc>
          <w:tcPr>
            <w:tcW w:w="2698" w:type="pct"/>
            <w:shd w:val="clear" w:color="auto" w:fill="auto"/>
            <w:noWrap/>
            <w:vAlign w:val="center"/>
          </w:tcPr>
          <w:p w:rsidR="005210ED" w:rsidRPr="0080275F" w:rsidRDefault="005210ED" w:rsidP="005210ED">
            <w:pPr>
              <w:spacing w:after="0" w:line="360" w:lineRule="auto"/>
              <w:jc w:val="center"/>
              <w:rPr>
                <w:rFonts w:asciiTheme="minorHAnsi" w:hAnsiTheme="minorHAnsi" w:cstheme="minorHAnsi"/>
                <w:color w:val="000000"/>
                <w:sz w:val="22"/>
                <w:szCs w:val="22"/>
                <w:lang w:eastAsia="en-IN"/>
              </w:rPr>
            </w:pPr>
            <w:r w:rsidRPr="0080275F">
              <w:rPr>
                <w:rFonts w:asciiTheme="minorHAnsi" w:hAnsiTheme="minorHAnsi" w:cstheme="minorHAnsi"/>
                <w:sz w:val="22"/>
                <w:szCs w:val="22"/>
              </w:rPr>
              <w:t>Prudential Framework for Resolution of Stressed Assets dated June 07, 2019</w:t>
            </w:r>
          </w:p>
        </w:tc>
      </w:tr>
      <w:tr w:rsidR="005210ED" w:rsidRPr="0080275F" w:rsidTr="0080275F">
        <w:trPr>
          <w:trHeight w:val="300"/>
        </w:trPr>
        <w:tc>
          <w:tcPr>
            <w:tcW w:w="476" w:type="pct"/>
            <w:shd w:val="clear" w:color="auto" w:fill="auto"/>
            <w:noWrap/>
            <w:vAlign w:val="center"/>
          </w:tcPr>
          <w:p w:rsidR="005210ED" w:rsidRPr="0080275F" w:rsidRDefault="005210ED" w:rsidP="00A0081D">
            <w:pPr>
              <w:pStyle w:val="ListParagraph"/>
              <w:numPr>
                <w:ilvl w:val="6"/>
                <w:numId w:val="3"/>
              </w:numPr>
              <w:spacing w:after="0" w:line="360" w:lineRule="auto"/>
              <w:ind w:hanging="4865"/>
              <w:rPr>
                <w:rFonts w:asciiTheme="minorHAnsi" w:hAnsiTheme="minorHAnsi" w:cstheme="minorHAnsi"/>
                <w:color w:val="000000"/>
                <w:sz w:val="22"/>
                <w:szCs w:val="22"/>
                <w:lang w:eastAsia="en-IN"/>
              </w:rPr>
            </w:pPr>
          </w:p>
        </w:tc>
        <w:tc>
          <w:tcPr>
            <w:tcW w:w="1826" w:type="pct"/>
            <w:shd w:val="clear" w:color="auto" w:fill="auto"/>
            <w:noWrap/>
            <w:vAlign w:val="center"/>
          </w:tcPr>
          <w:p w:rsidR="005210ED" w:rsidRPr="0080275F" w:rsidRDefault="005210ED" w:rsidP="005210ED">
            <w:pPr>
              <w:spacing w:after="0" w:line="360" w:lineRule="auto"/>
              <w:jc w:val="center"/>
              <w:rPr>
                <w:rFonts w:asciiTheme="minorHAnsi" w:hAnsiTheme="minorHAnsi" w:cstheme="minorHAnsi"/>
                <w:color w:val="000000"/>
                <w:sz w:val="22"/>
                <w:szCs w:val="22"/>
                <w:lang w:eastAsia="en-IN"/>
              </w:rPr>
            </w:pPr>
            <w:r w:rsidRPr="0080275F">
              <w:rPr>
                <w:rFonts w:asciiTheme="minorHAnsi" w:hAnsiTheme="minorHAnsi" w:cstheme="minorHAnsi"/>
                <w:color w:val="000000"/>
                <w:sz w:val="22"/>
                <w:szCs w:val="22"/>
                <w:lang w:eastAsia="en-IN"/>
              </w:rPr>
              <w:t>Reference Date</w:t>
            </w:r>
          </w:p>
        </w:tc>
        <w:tc>
          <w:tcPr>
            <w:tcW w:w="2698" w:type="pct"/>
            <w:shd w:val="clear" w:color="auto" w:fill="auto"/>
            <w:noWrap/>
            <w:vAlign w:val="center"/>
          </w:tcPr>
          <w:p w:rsidR="005210ED" w:rsidRPr="0080275F" w:rsidRDefault="005210ED" w:rsidP="005210ED">
            <w:pPr>
              <w:spacing w:after="0" w:line="360" w:lineRule="auto"/>
              <w:jc w:val="center"/>
              <w:rPr>
                <w:rFonts w:asciiTheme="minorHAnsi" w:hAnsiTheme="minorHAnsi" w:cstheme="minorHAnsi"/>
                <w:color w:val="000000"/>
                <w:sz w:val="22"/>
                <w:szCs w:val="22"/>
                <w:lang w:eastAsia="en-IN"/>
              </w:rPr>
            </w:pPr>
            <w:r w:rsidRPr="0080275F">
              <w:rPr>
                <w:rFonts w:asciiTheme="minorHAnsi" w:hAnsiTheme="minorHAnsi" w:cstheme="minorHAnsi"/>
                <w:color w:val="000000"/>
                <w:sz w:val="22"/>
                <w:szCs w:val="22"/>
                <w:lang w:eastAsia="en-IN"/>
              </w:rPr>
              <w:t>June 28, 2021</w:t>
            </w:r>
          </w:p>
        </w:tc>
      </w:tr>
      <w:tr w:rsidR="005210ED" w:rsidRPr="0080275F" w:rsidTr="0080275F">
        <w:trPr>
          <w:trHeight w:val="300"/>
        </w:trPr>
        <w:tc>
          <w:tcPr>
            <w:tcW w:w="476" w:type="pct"/>
            <w:shd w:val="clear" w:color="auto" w:fill="auto"/>
            <w:noWrap/>
            <w:vAlign w:val="center"/>
          </w:tcPr>
          <w:p w:rsidR="005210ED" w:rsidRPr="0080275F" w:rsidRDefault="005210ED" w:rsidP="00A0081D">
            <w:pPr>
              <w:pStyle w:val="ListParagraph"/>
              <w:numPr>
                <w:ilvl w:val="6"/>
                <w:numId w:val="3"/>
              </w:numPr>
              <w:spacing w:after="0" w:line="360" w:lineRule="auto"/>
              <w:ind w:hanging="4865"/>
              <w:rPr>
                <w:rFonts w:asciiTheme="minorHAnsi" w:hAnsiTheme="minorHAnsi" w:cstheme="minorHAnsi"/>
                <w:color w:val="000000"/>
                <w:sz w:val="22"/>
                <w:szCs w:val="22"/>
                <w:lang w:eastAsia="en-IN"/>
              </w:rPr>
            </w:pPr>
          </w:p>
        </w:tc>
        <w:tc>
          <w:tcPr>
            <w:tcW w:w="1826" w:type="pct"/>
            <w:shd w:val="clear" w:color="auto" w:fill="auto"/>
            <w:noWrap/>
            <w:vAlign w:val="center"/>
          </w:tcPr>
          <w:p w:rsidR="005210ED" w:rsidRPr="0080275F" w:rsidRDefault="005210ED" w:rsidP="005210ED">
            <w:pPr>
              <w:spacing w:after="0" w:line="360" w:lineRule="auto"/>
              <w:jc w:val="center"/>
              <w:rPr>
                <w:rFonts w:asciiTheme="minorHAnsi" w:hAnsiTheme="minorHAnsi" w:cstheme="minorHAnsi"/>
                <w:color w:val="000000"/>
                <w:sz w:val="22"/>
                <w:szCs w:val="22"/>
                <w:lang w:eastAsia="en-IN"/>
              </w:rPr>
            </w:pPr>
            <w:r w:rsidRPr="0080275F">
              <w:rPr>
                <w:rFonts w:asciiTheme="minorHAnsi" w:hAnsiTheme="minorHAnsi" w:cstheme="minorHAnsi"/>
                <w:color w:val="000000"/>
                <w:sz w:val="22"/>
                <w:szCs w:val="22"/>
                <w:lang w:eastAsia="en-IN"/>
              </w:rPr>
              <w:t>Date of ICA</w:t>
            </w:r>
          </w:p>
        </w:tc>
        <w:tc>
          <w:tcPr>
            <w:tcW w:w="2698" w:type="pct"/>
            <w:shd w:val="clear" w:color="auto" w:fill="auto"/>
            <w:noWrap/>
            <w:vAlign w:val="center"/>
          </w:tcPr>
          <w:p w:rsidR="005210ED" w:rsidRPr="0080275F" w:rsidRDefault="005210ED" w:rsidP="005210ED">
            <w:pPr>
              <w:spacing w:after="0" w:line="360" w:lineRule="auto"/>
              <w:jc w:val="center"/>
              <w:rPr>
                <w:rFonts w:asciiTheme="minorHAnsi" w:hAnsiTheme="minorHAnsi" w:cstheme="minorHAnsi"/>
                <w:color w:val="000000"/>
                <w:sz w:val="22"/>
                <w:szCs w:val="22"/>
                <w:lang w:eastAsia="en-IN"/>
              </w:rPr>
            </w:pPr>
            <w:r w:rsidRPr="0080275F">
              <w:rPr>
                <w:rFonts w:asciiTheme="minorHAnsi" w:hAnsiTheme="minorHAnsi" w:cstheme="minorHAnsi"/>
                <w:color w:val="000000"/>
                <w:sz w:val="22"/>
                <w:szCs w:val="22"/>
                <w:lang w:eastAsia="en-IN"/>
              </w:rPr>
              <w:t>July 27, 2021</w:t>
            </w:r>
          </w:p>
        </w:tc>
      </w:tr>
      <w:tr w:rsidR="005210ED" w:rsidRPr="0080275F" w:rsidTr="0080275F">
        <w:trPr>
          <w:trHeight w:val="300"/>
        </w:trPr>
        <w:tc>
          <w:tcPr>
            <w:tcW w:w="476" w:type="pct"/>
            <w:shd w:val="clear" w:color="auto" w:fill="auto"/>
            <w:noWrap/>
            <w:vAlign w:val="center"/>
          </w:tcPr>
          <w:p w:rsidR="005210ED" w:rsidRPr="0080275F" w:rsidRDefault="005210ED" w:rsidP="00A0081D">
            <w:pPr>
              <w:pStyle w:val="ListParagraph"/>
              <w:numPr>
                <w:ilvl w:val="6"/>
                <w:numId w:val="3"/>
              </w:numPr>
              <w:spacing w:after="0" w:line="360" w:lineRule="auto"/>
              <w:ind w:hanging="4865"/>
              <w:rPr>
                <w:rFonts w:asciiTheme="minorHAnsi" w:hAnsiTheme="minorHAnsi" w:cstheme="minorHAnsi"/>
                <w:color w:val="000000"/>
                <w:sz w:val="22"/>
                <w:szCs w:val="22"/>
                <w:lang w:eastAsia="en-IN"/>
              </w:rPr>
            </w:pPr>
          </w:p>
        </w:tc>
        <w:tc>
          <w:tcPr>
            <w:tcW w:w="1826" w:type="pct"/>
            <w:shd w:val="clear" w:color="auto" w:fill="auto"/>
            <w:noWrap/>
            <w:vAlign w:val="center"/>
          </w:tcPr>
          <w:p w:rsidR="005210ED" w:rsidRPr="0080275F" w:rsidRDefault="005210ED" w:rsidP="005210ED">
            <w:pPr>
              <w:spacing w:after="0" w:line="360" w:lineRule="auto"/>
              <w:jc w:val="center"/>
              <w:rPr>
                <w:rFonts w:asciiTheme="minorHAnsi" w:hAnsiTheme="minorHAnsi" w:cstheme="minorHAnsi"/>
                <w:color w:val="000000"/>
                <w:sz w:val="22"/>
                <w:szCs w:val="22"/>
                <w:lang w:eastAsia="en-IN"/>
              </w:rPr>
            </w:pPr>
            <w:r w:rsidRPr="0080275F">
              <w:rPr>
                <w:rFonts w:asciiTheme="minorHAnsi" w:hAnsiTheme="minorHAnsi" w:cstheme="minorHAnsi"/>
                <w:color w:val="000000"/>
                <w:sz w:val="22"/>
                <w:szCs w:val="22"/>
                <w:lang w:eastAsia="en-IN"/>
              </w:rPr>
              <w:t>Effective date</w:t>
            </w:r>
          </w:p>
        </w:tc>
        <w:tc>
          <w:tcPr>
            <w:tcW w:w="2698" w:type="pct"/>
            <w:shd w:val="clear" w:color="auto" w:fill="auto"/>
            <w:noWrap/>
            <w:vAlign w:val="center"/>
          </w:tcPr>
          <w:p w:rsidR="005210ED" w:rsidRPr="0080275F" w:rsidRDefault="005210ED" w:rsidP="005210ED">
            <w:pPr>
              <w:spacing w:after="0" w:line="360" w:lineRule="auto"/>
              <w:jc w:val="center"/>
              <w:rPr>
                <w:rFonts w:asciiTheme="minorHAnsi" w:hAnsiTheme="minorHAnsi" w:cstheme="minorHAnsi"/>
                <w:color w:val="000000"/>
                <w:sz w:val="22"/>
                <w:szCs w:val="22"/>
                <w:lang w:eastAsia="en-IN"/>
              </w:rPr>
            </w:pPr>
            <w:r w:rsidRPr="0080275F">
              <w:rPr>
                <w:rFonts w:asciiTheme="minorHAnsi" w:hAnsiTheme="minorHAnsi" w:cstheme="minorHAnsi"/>
                <w:color w:val="000000"/>
                <w:sz w:val="22"/>
                <w:szCs w:val="22"/>
                <w:lang w:eastAsia="en-IN"/>
              </w:rPr>
              <w:t>April 01, 2021</w:t>
            </w:r>
          </w:p>
        </w:tc>
      </w:tr>
      <w:tr w:rsidR="005210ED" w:rsidRPr="0080275F" w:rsidTr="0080275F">
        <w:trPr>
          <w:trHeight w:val="300"/>
        </w:trPr>
        <w:tc>
          <w:tcPr>
            <w:tcW w:w="476" w:type="pct"/>
            <w:shd w:val="clear" w:color="auto" w:fill="auto"/>
            <w:noWrap/>
            <w:vAlign w:val="center"/>
          </w:tcPr>
          <w:p w:rsidR="005210ED" w:rsidRPr="0080275F" w:rsidRDefault="005210ED" w:rsidP="00A0081D">
            <w:pPr>
              <w:pStyle w:val="ListParagraph"/>
              <w:numPr>
                <w:ilvl w:val="6"/>
                <w:numId w:val="3"/>
              </w:numPr>
              <w:spacing w:after="0" w:line="360" w:lineRule="auto"/>
              <w:ind w:hanging="4865"/>
              <w:rPr>
                <w:rFonts w:asciiTheme="minorHAnsi" w:hAnsiTheme="minorHAnsi" w:cstheme="minorHAnsi"/>
                <w:color w:val="000000"/>
                <w:sz w:val="22"/>
                <w:szCs w:val="22"/>
                <w:lang w:eastAsia="en-IN"/>
              </w:rPr>
            </w:pPr>
          </w:p>
        </w:tc>
        <w:tc>
          <w:tcPr>
            <w:tcW w:w="1826" w:type="pct"/>
            <w:shd w:val="clear" w:color="auto" w:fill="auto"/>
            <w:noWrap/>
            <w:vAlign w:val="center"/>
          </w:tcPr>
          <w:p w:rsidR="005210ED" w:rsidRPr="0080275F" w:rsidRDefault="005210ED" w:rsidP="005210ED">
            <w:pPr>
              <w:spacing w:after="0" w:line="360" w:lineRule="auto"/>
              <w:jc w:val="center"/>
              <w:rPr>
                <w:rFonts w:asciiTheme="minorHAnsi" w:hAnsiTheme="minorHAnsi" w:cstheme="minorHAnsi"/>
                <w:color w:val="000000"/>
                <w:sz w:val="22"/>
                <w:szCs w:val="22"/>
                <w:lang w:eastAsia="en-IN"/>
              </w:rPr>
            </w:pPr>
            <w:r w:rsidRPr="0080275F">
              <w:rPr>
                <w:rFonts w:asciiTheme="minorHAnsi" w:hAnsiTheme="minorHAnsi" w:cstheme="minorHAnsi"/>
                <w:color w:val="000000"/>
                <w:sz w:val="22"/>
                <w:szCs w:val="22"/>
                <w:lang w:eastAsia="en-IN"/>
              </w:rPr>
              <w:t>Cut-off date</w:t>
            </w:r>
          </w:p>
        </w:tc>
        <w:tc>
          <w:tcPr>
            <w:tcW w:w="2698" w:type="pct"/>
            <w:shd w:val="clear" w:color="auto" w:fill="auto"/>
            <w:noWrap/>
            <w:vAlign w:val="center"/>
          </w:tcPr>
          <w:p w:rsidR="005210ED" w:rsidRPr="0080275F" w:rsidRDefault="005210ED" w:rsidP="005210ED">
            <w:pPr>
              <w:spacing w:after="0" w:line="360" w:lineRule="auto"/>
              <w:jc w:val="center"/>
              <w:rPr>
                <w:rFonts w:asciiTheme="minorHAnsi" w:hAnsiTheme="minorHAnsi" w:cstheme="minorHAnsi"/>
                <w:color w:val="000000"/>
                <w:sz w:val="22"/>
                <w:szCs w:val="22"/>
                <w:lang w:eastAsia="en-IN"/>
              </w:rPr>
            </w:pPr>
            <w:r w:rsidRPr="0080275F">
              <w:rPr>
                <w:rFonts w:asciiTheme="minorHAnsi" w:hAnsiTheme="minorHAnsi" w:cstheme="minorHAnsi"/>
                <w:color w:val="000000"/>
                <w:sz w:val="22"/>
                <w:szCs w:val="22"/>
                <w:lang w:eastAsia="en-IN"/>
              </w:rPr>
              <w:t>April 01, 2021</w:t>
            </w:r>
          </w:p>
        </w:tc>
      </w:tr>
    </w:tbl>
    <w:p w:rsidR="005210ED" w:rsidRDefault="005210ED" w:rsidP="005210ED">
      <w:pPr>
        <w:tabs>
          <w:tab w:val="left" w:pos="426"/>
        </w:tabs>
        <w:spacing w:after="0" w:line="360" w:lineRule="auto"/>
        <w:ind w:right="-613"/>
        <w:jc w:val="both"/>
        <w:rPr>
          <w:rFonts w:ascii="Arial" w:hAnsi="Arial" w:cs="Arial"/>
          <w:b/>
          <w:sz w:val="22"/>
          <w:szCs w:val="22"/>
        </w:rPr>
      </w:pPr>
    </w:p>
    <w:p w:rsidR="005210ED" w:rsidRDefault="005210ED" w:rsidP="00F6083B">
      <w:pPr>
        <w:pStyle w:val="ListParagraph"/>
        <w:spacing w:after="0" w:line="360" w:lineRule="auto"/>
        <w:ind w:left="0" w:right="-613"/>
        <w:jc w:val="both"/>
        <w:rPr>
          <w:rFonts w:ascii="Arial" w:hAnsi="Arial" w:cs="Arial"/>
          <w:sz w:val="22"/>
          <w:szCs w:val="22"/>
        </w:rPr>
      </w:pPr>
      <w:r w:rsidRPr="005210ED">
        <w:rPr>
          <w:rFonts w:ascii="Arial" w:hAnsi="Arial" w:cs="Arial"/>
          <w:b/>
          <w:sz w:val="22"/>
          <w:szCs w:val="22"/>
        </w:rPr>
        <w:t>Advisors for Resolution Plan</w:t>
      </w:r>
      <w:r>
        <w:rPr>
          <w:rFonts w:ascii="Arial" w:hAnsi="Arial" w:cs="Arial"/>
          <w:b/>
          <w:sz w:val="22"/>
          <w:szCs w:val="22"/>
        </w:rPr>
        <w:t xml:space="preserve">: </w:t>
      </w:r>
      <w:r w:rsidRPr="00F7704C">
        <w:rPr>
          <w:rFonts w:ascii="Arial" w:hAnsi="Arial" w:cs="Arial"/>
          <w:sz w:val="22"/>
          <w:szCs w:val="22"/>
        </w:rPr>
        <w:t>SBI Capital Markets Limited (“SBICAP”) and Link Legal India Law Services (“Link Legal”) have been mandated by State Bank of India (“SBI”), on behalf of consortium of lenders, to act as the “Lenders’ Financial Advisor” and “Legal Advisor” respectively for the proposed Transaction.</w:t>
      </w:r>
    </w:p>
    <w:p w:rsidR="00F6083B" w:rsidRPr="005210ED" w:rsidRDefault="00F6083B" w:rsidP="00F6083B">
      <w:pPr>
        <w:pStyle w:val="ListParagraph"/>
        <w:spacing w:after="0" w:line="360" w:lineRule="auto"/>
        <w:ind w:left="0" w:right="-613"/>
        <w:jc w:val="both"/>
        <w:rPr>
          <w:rFonts w:ascii="Arial" w:hAnsi="Arial" w:cs="Arial"/>
          <w:b/>
          <w:sz w:val="22"/>
          <w:szCs w:val="22"/>
        </w:rPr>
      </w:pPr>
    </w:p>
    <w:p w:rsidR="0098129A" w:rsidRDefault="00F7704C" w:rsidP="0098129A">
      <w:pPr>
        <w:pStyle w:val="ListParagraph"/>
        <w:numPr>
          <w:ilvl w:val="0"/>
          <w:numId w:val="2"/>
        </w:numPr>
        <w:spacing w:line="360" w:lineRule="auto"/>
        <w:ind w:left="0" w:right="-613" w:hanging="284"/>
        <w:jc w:val="both"/>
        <w:rPr>
          <w:rFonts w:ascii="Arial" w:hAnsi="Arial" w:cs="Arial"/>
          <w:b/>
          <w:sz w:val="22"/>
          <w:szCs w:val="22"/>
        </w:rPr>
      </w:pPr>
      <w:r w:rsidRPr="00F7704C">
        <w:rPr>
          <w:rFonts w:ascii="Arial" w:hAnsi="Arial" w:cs="Arial"/>
          <w:b/>
          <w:sz w:val="22"/>
          <w:szCs w:val="22"/>
        </w:rPr>
        <w:t>Debt Outstanding</w:t>
      </w:r>
      <w:r>
        <w:rPr>
          <w:rFonts w:ascii="Arial" w:hAnsi="Arial" w:cs="Arial"/>
          <w:b/>
          <w:sz w:val="22"/>
          <w:szCs w:val="22"/>
        </w:rPr>
        <w:t xml:space="preserve">: </w:t>
      </w:r>
    </w:p>
    <w:p w:rsidR="00272A33" w:rsidRDefault="00F7704C" w:rsidP="00272A33">
      <w:pPr>
        <w:tabs>
          <w:tab w:val="left" w:pos="426"/>
        </w:tabs>
        <w:spacing w:before="240" w:line="360" w:lineRule="auto"/>
        <w:ind w:right="-613"/>
        <w:jc w:val="both"/>
        <w:rPr>
          <w:rFonts w:ascii="Arial" w:hAnsi="Arial" w:cs="Arial"/>
          <w:sz w:val="22"/>
          <w:szCs w:val="22"/>
        </w:rPr>
      </w:pPr>
      <w:r w:rsidRPr="00F7704C">
        <w:rPr>
          <w:rFonts w:ascii="Arial" w:hAnsi="Arial" w:cs="Arial"/>
          <w:sz w:val="22"/>
          <w:szCs w:val="22"/>
        </w:rPr>
        <w:t>Below table shows the lender-wise outstanding debt position as on March</w:t>
      </w:r>
      <w:r>
        <w:rPr>
          <w:rFonts w:ascii="Arial" w:hAnsi="Arial" w:cs="Arial"/>
          <w:sz w:val="22"/>
          <w:szCs w:val="22"/>
        </w:rPr>
        <w:t xml:space="preserve"> 31, 2021</w:t>
      </w:r>
      <w:r w:rsidRPr="00F7704C">
        <w:rPr>
          <w:rFonts w:ascii="Arial" w:hAnsi="Arial" w:cs="Arial"/>
          <w:sz w:val="22"/>
          <w:szCs w:val="22"/>
        </w:rPr>
        <w:t>:</w:t>
      </w:r>
    </w:p>
    <w:p w:rsidR="0080275F" w:rsidRPr="0098129A" w:rsidRDefault="0098129A" w:rsidP="0080275F">
      <w:pPr>
        <w:tabs>
          <w:tab w:val="left" w:pos="426"/>
        </w:tabs>
        <w:spacing w:before="240" w:line="360" w:lineRule="auto"/>
        <w:ind w:right="-613"/>
        <w:jc w:val="both"/>
        <w:rPr>
          <w:rFonts w:ascii="Arial" w:hAnsi="Arial" w:cs="Arial"/>
          <w:b/>
          <w:sz w:val="22"/>
          <w:szCs w:val="22"/>
        </w:rPr>
      </w:pPr>
      <w:r w:rsidRPr="0098129A">
        <w:rPr>
          <w:rFonts w:ascii="Arial" w:hAnsi="Arial" w:cs="Arial"/>
          <w:b/>
          <w:sz w:val="22"/>
          <w:szCs w:val="22"/>
        </w:rPr>
        <w:lastRenderedPageBreak/>
        <w:t>Long Term Loans/ NCDs:</w:t>
      </w:r>
    </w:p>
    <w:tbl>
      <w:tblPr>
        <w:tblW w:w="520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828"/>
        <w:gridCol w:w="2268"/>
        <w:gridCol w:w="2694"/>
      </w:tblGrid>
      <w:tr w:rsidR="00F7704C" w:rsidRPr="0080275F" w:rsidTr="00D279DD">
        <w:trPr>
          <w:trHeight w:val="300"/>
        </w:trPr>
        <w:tc>
          <w:tcPr>
            <w:tcW w:w="373" w:type="pct"/>
            <w:shd w:val="clear" w:color="auto" w:fill="002060"/>
            <w:noWrap/>
            <w:vAlign w:val="center"/>
          </w:tcPr>
          <w:p w:rsidR="00F7704C" w:rsidRPr="0080275F" w:rsidRDefault="00F7704C" w:rsidP="00F7704C">
            <w:pPr>
              <w:spacing w:after="0" w:line="360" w:lineRule="auto"/>
              <w:rPr>
                <w:rFonts w:asciiTheme="minorHAnsi" w:hAnsiTheme="minorHAnsi" w:cstheme="minorHAnsi"/>
                <w:b/>
                <w:color w:val="FFFFFF" w:themeColor="background1"/>
                <w:sz w:val="22"/>
                <w:szCs w:val="22"/>
                <w:lang w:eastAsia="en-IN"/>
              </w:rPr>
            </w:pPr>
            <w:r w:rsidRPr="0080275F">
              <w:rPr>
                <w:rFonts w:asciiTheme="minorHAnsi" w:hAnsiTheme="minorHAnsi" w:cstheme="minorHAnsi"/>
                <w:b/>
                <w:color w:val="FFFFFF" w:themeColor="background1"/>
                <w:sz w:val="22"/>
                <w:szCs w:val="22"/>
                <w:lang w:eastAsia="en-IN"/>
              </w:rPr>
              <w:t>S.No.</w:t>
            </w:r>
          </w:p>
        </w:tc>
        <w:tc>
          <w:tcPr>
            <w:tcW w:w="2015" w:type="pct"/>
            <w:shd w:val="clear" w:color="auto" w:fill="002060"/>
            <w:noWrap/>
            <w:vAlign w:val="center"/>
          </w:tcPr>
          <w:p w:rsidR="00F7704C" w:rsidRPr="0080275F" w:rsidRDefault="00F7704C" w:rsidP="00F7704C">
            <w:pPr>
              <w:spacing w:after="0" w:line="360" w:lineRule="auto"/>
              <w:jc w:val="center"/>
              <w:rPr>
                <w:rFonts w:asciiTheme="minorHAnsi" w:hAnsiTheme="minorHAnsi" w:cstheme="minorHAnsi"/>
                <w:b/>
                <w:color w:val="FFFFFF" w:themeColor="background1"/>
                <w:sz w:val="22"/>
                <w:szCs w:val="22"/>
                <w:lang w:eastAsia="en-IN"/>
              </w:rPr>
            </w:pPr>
            <w:r w:rsidRPr="0080275F">
              <w:rPr>
                <w:rFonts w:asciiTheme="minorHAnsi" w:hAnsiTheme="minorHAnsi" w:cstheme="minorHAnsi"/>
                <w:b/>
                <w:color w:val="FFFFFF" w:themeColor="background1"/>
                <w:sz w:val="22"/>
                <w:szCs w:val="22"/>
                <w:lang w:eastAsia="en-IN"/>
              </w:rPr>
              <w:t>Lenders</w:t>
            </w:r>
          </w:p>
        </w:tc>
        <w:tc>
          <w:tcPr>
            <w:tcW w:w="1194" w:type="pct"/>
            <w:shd w:val="clear" w:color="auto" w:fill="002060"/>
            <w:noWrap/>
            <w:vAlign w:val="center"/>
          </w:tcPr>
          <w:p w:rsidR="00F7704C" w:rsidRPr="0080275F" w:rsidRDefault="00F7704C" w:rsidP="00F7704C">
            <w:pPr>
              <w:spacing w:after="0" w:line="360" w:lineRule="auto"/>
              <w:jc w:val="center"/>
              <w:rPr>
                <w:rFonts w:asciiTheme="minorHAnsi" w:hAnsiTheme="minorHAnsi" w:cstheme="minorHAnsi"/>
                <w:b/>
                <w:color w:val="FFFFFF" w:themeColor="background1"/>
                <w:sz w:val="22"/>
                <w:szCs w:val="22"/>
                <w:lang w:eastAsia="en-IN"/>
              </w:rPr>
            </w:pPr>
            <w:r w:rsidRPr="0080275F">
              <w:rPr>
                <w:rFonts w:asciiTheme="minorHAnsi" w:hAnsiTheme="minorHAnsi" w:cstheme="minorHAnsi"/>
                <w:b/>
                <w:color w:val="FFFFFF" w:themeColor="background1"/>
                <w:sz w:val="22"/>
                <w:szCs w:val="22"/>
                <w:lang w:eastAsia="en-IN"/>
              </w:rPr>
              <w:t>Sanctioned</w:t>
            </w:r>
            <w:r w:rsidR="0080275F">
              <w:rPr>
                <w:rFonts w:asciiTheme="minorHAnsi" w:hAnsiTheme="minorHAnsi" w:cstheme="minorHAnsi"/>
                <w:b/>
                <w:color w:val="FFFFFF" w:themeColor="background1"/>
                <w:sz w:val="22"/>
                <w:szCs w:val="22"/>
                <w:lang w:eastAsia="en-IN"/>
              </w:rPr>
              <w:t xml:space="preserve"> (INR Crore)</w:t>
            </w:r>
          </w:p>
        </w:tc>
        <w:tc>
          <w:tcPr>
            <w:tcW w:w="1418" w:type="pct"/>
            <w:shd w:val="clear" w:color="auto" w:fill="002060"/>
            <w:noWrap/>
            <w:vAlign w:val="center"/>
          </w:tcPr>
          <w:p w:rsidR="00F7704C" w:rsidRPr="0080275F" w:rsidRDefault="00F7704C" w:rsidP="00F7704C">
            <w:pPr>
              <w:spacing w:after="0" w:line="360" w:lineRule="auto"/>
              <w:jc w:val="center"/>
              <w:rPr>
                <w:rFonts w:asciiTheme="minorHAnsi" w:hAnsiTheme="minorHAnsi" w:cstheme="minorHAnsi"/>
                <w:b/>
                <w:color w:val="FFFFFF" w:themeColor="background1"/>
                <w:sz w:val="22"/>
                <w:szCs w:val="22"/>
                <w:lang w:eastAsia="en-IN"/>
              </w:rPr>
            </w:pPr>
            <w:r w:rsidRPr="0080275F">
              <w:rPr>
                <w:rFonts w:asciiTheme="minorHAnsi" w:hAnsiTheme="minorHAnsi" w:cstheme="minorHAnsi"/>
                <w:b/>
                <w:color w:val="FFFFFF" w:themeColor="background1"/>
                <w:sz w:val="22"/>
                <w:szCs w:val="22"/>
                <w:lang w:eastAsia="en-IN"/>
              </w:rPr>
              <w:t>Outstanding</w:t>
            </w:r>
            <w:r w:rsidR="0080275F">
              <w:rPr>
                <w:rFonts w:asciiTheme="minorHAnsi" w:hAnsiTheme="minorHAnsi" w:cstheme="minorHAnsi"/>
                <w:b/>
                <w:color w:val="FFFFFF" w:themeColor="background1"/>
                <w:sz w:val="22"/>
                <w:szCs w:val="22"/>
                <w:lang w:eastAsia="en-IN"/>
              </w:rPr>
              <w:t xml:space="preserve"> (INR Cr.)</w:t>
            </w:r>
          </w:p>
        </w:tc>
      </w:tr>
      <w:tr w:rsidR="00F7704C" w:rsidRPr="0080275F" w:rsidTr="00D279DD">
        <w:trPr>
          <w:trHeight w:val="300"/>
        </w:trPr>
        <w:tc>
          <w:tcPr>
            <w:tcW w:w="373" w:type="pct"/>
            <w:shd w:val="clear" w:color="auto" w:fill="auto"/>
            <w:noWrap/>
            <w:vAlign w:val="center"/>
          </w:tcPr>
          <w:p w:rsidR="00F7704C" w:rsidRPr="0080275F" w:rsidRDefault="00F7704C" w:rsidP="00A0081D">
            <w:pPr>
              <w:pStyle w:val="ListParagraph"/>
              <w:numPr>
                <w:ilvl w:val="0"/>
                <w:numId w:val="11"/>
              </w:numPr>
              <w:spacing w:after="0" w:line="360" w:lineRule="auto"/>
              <w:ind w:hanging="578"/>
              <w:rPr>
                <w:rFonts w:asciiTheme="minorHAnsi" w:hAnsiTheme="minorHAnsi" w:cstheme="minorHAnsi"/>
                <w:color w:val="000000"/>
                <w:sz w:val="22"/>
                <w:szCs w:val="22"/>
                <w:lang w:eastAsia="en-IN"/>
              </w:rPr>
            </w:pPr>
          </w:p>
        </w:tc>
        <w:tc>
          <w:tcPr>
            <w:tcW w:w="2015" w:type="pct"/>
            <w:shd w:val="clear" w:color="auto" w:fill="auto"/>
            <w:noWrap/>
            <w:vAlign w:val="center"/>
          </w:tcPr>
          <w:p w:rsidR="00F7704C" w:rsidRPr="0080275F" w:rsidRDefault="00F7704C" w:rsidP="0080275F">
            <w:pPr>
              <w:spacing w:after="0" w:line="360" w:lineRule="auto"/>
              <w:rPr>
                <w:rFonts w:asciiTheme="minorHAnsi" w:hAnsiTheme="minorHAnsi" w:cstheme="minorHAnsi"/>
                <w:color w:val="000000"/>
                <w:sz w:val="22"/>
                <w:szCs w:val="22"/>
                <w:lang w:eastAsia="en-IN"/>
              </w:rPr>
            </w:pPr>
            <w:r w:rsidRPr="0080275F">
              <w:rPr>
                <w:rFonts w:asciiTheme="minorHAnsi" w:hAnsiTheme="minorHAnsi" w:cstheme="minorHAnsi"/>
                <w:color w:val="000000"/>
                <w:sz w:val="22"/>
                <w:szCs w:val="22"/>
                <w:lang w:eastAsia="en-IN"/>
              </w:rPr>
              <w:t>State Bank of India</w:t>
            </w:r>
          </w:p>
        </w:tc>
        <w:tc>
          <w:tcPr>
            <w:tcW w:w="1194" w:type="pct"/>
            <w:shd w:val="clear" w:color="auto" w:fill="auto"/>
            <w:noWrap/>
            <w:vAlign w:val="center"/>
          </w:tcPr>
          <w:p w:rsidR="00F7704C" w:rsidRPr="0080275F" w:rsidRDefault="00F7704C" w:rsidP="00F7704C">
            <w:pPr>
              <w:spacing w:after="0" w:line="360" w:lineRule="auto"/>
              <w:jc w:val="center"/>
              <w:rPr>
                <w:rFonts w:asciiTheme="minorHAnsi" w:hAnsiTheme="minorHAnsi" w:cstheme="minorHAnsi"/>
                <w:color w:val="000000"/>
                <w:sz w:val="22"/>
                <w:szCs w:val="22"/>
                <w:lang w:eastAsia="en-IN"/>
              </w:rPr>
            </w:pPr>
            <w:r w:rsidRPr="0080275F">
              <w:rPr>
                <w:rFonts w:asciiTheme="minorHAnsi" w:hAnsiTheme="minorHAnsi" w:cstheme="minorHAnsi"/>
                <w:color w:val="000000"/>
                <w:sz w:val="22"/>
                <w:szCs w:val="22"/>
                <w:lang w:eastAsia="en-IN"/>
              </w:rPr>
              <w:t>1,200</w:t>
            </w:r>
          </w:p>
        </w:tc>
        <w:tc>
          <w:tcPr>
            <w:tcW w:w="1418" w:type="pct"/>
            <w:shd w:val="clear" w:color="auto" w:fill="auto"/>
            <w:noWrap/>
            <w:vAlign w:val="center"/>
          </w:tcPr>
          <w:p w:rsidR="00F7704C" w:rsidRPr="0080275F" w:rsidRDefault="0098129A" w:rsidP="00F7704C">
            <w:pPr>
              <w:spacing w:after="0" w:line="360" w:lineRule="auto"/>
              <w:jc w:val="center"/>
              <w:rPr>
                <w:rFonts w:asciiTheme="minorHAnsi" w:hAnsiTheme="minorHAnsi" w:cstheme="minorHAnsi"/>
                <w:color w:val="000000"/>
                <w:sz w:val="22"/>
                <w:szCs w:val="22"/>
                <w:lang w:eastAsia="en-IN"/>
              </w:rPr>
            </w:pPr>
            <w:r w:rsidRPr="0080275F">
              <w:rPr>
                <w:rFonts w:asciiTheme="minorHAnsi" w:hAnsiTheme="minorHAnsi" w:cstheme="minorHAnsi"/>
                <w:color w:val="000000"/>
                <w:sz w:val="22"/>
                <w:szCs w:val="22"/>
                <w:lang w:eastAsia="en-IN"/>
              </w:rPr>
              <w:t>992</w:t>
            </w:r>
          </w:p>
        </w:tc>
      </w:tr>
      <w:tr w:rsidR="00F7704C" w:rsidRPr="0080275F" w:rsidTr="00D279DD">
        <w:trPr>
          <w:trHeight w:val="300"/>
        </w:trPr>
        <w:tc>
          <w:tcPr>
            <w:tcW w:w="373" w:type="pct"/>
            <w:shd w:val="clear" w:color="auto" w:fill="auto"/>
            <w:noWrap/>
            <w:vAlign w:val="center"/>
          </w:tcPr>
          <w:p w:rsidR="00F7704C" w:rsidRPr="0080275F" w:rsidRDefault="00F7704C" w:rsidP="00A0081D">
            <w:pPr>
              <w:pStyle w:val="ListParagraph"/>
              <w:numPr>
                <w:ilvl w:val="0"/>
                <w:numId w:val="11"/>
              </w:numPr>
              <w:spacing w:after="0" w:line="360" w:lineRule="auto"/>
              <w:ind w:hanging="578"/>
              <w:rPr>
                <w:rFonts w:asciiTheme="minorHAnsi" w:hAnsiTheme="minorHAnsi" w:cstheme="minorHAnsi"/>
                <w:color w:val="000000"/>
                <w:sz w:val="22"/>
                <w:szCs w:val="22"/>
                <w:lang w:eastAsia="en-IN"/>
              </w:rPr>
            </w:pPr>
          </w:p>
        </w:tc>
        <w:tc>
          <w:tcPr>
            <w:tcW w:w="2015" w:type="pct"/>
            <w:shd w:val="clear" w:color="auto" w:fill="auto"/>
            <w:noWrap/>
            <w:vAlign w:val="center"/>
          </w:tcPr>
          <w:p w:rsidR="00F7704C" w:rsidRPr="0080275F" w:rsidRDefault="00F7704C" w:rsidP="0080275F">
            <w:pPr>
              <w:spacing w:after="0" w:line="360" w:lineRule="auto"/>
              <w:rPr>
                <w:rFonts w:asciiTheme="minorHAnsi" w:hAnsiTheme="minorHAnsi" w:cstheme="minorHAnsi"/>
                <w:color w:val="000000"/>
                <w:sz w:val="22"/>
                <w:szCs w:val="22"/>
                <w:lang w:eastAsia="en-IN"/>
              </w:rPr>
            </w:pPr>
            <w:r w:rsidRPr="0080275F">
              <w:rPr>
                <w:rFonts w:asciiTheme="minorHAnsi" w:hAnsiTheme="minorHAnsi" w:cstheme="minorHAnsi"/>
                <w:color w:val="000000"/>
                <w:sz w:val="22"/>
                <w:szCs w:val="22"/>
                <w:lang w:eastAsia="en-IN"/>
              </w:rPr>
              <w:t xml:space="preserve">Union Bank of </w:t>
            </w:r>
            <w:r w:rsidR="0080275F" w:rsidRPr="0080275F">
              <w:rPr>
                <w:rFonts w:asciiTheme="minorHAnsi" w:hAnsiTheme="minorHAnsi" w:cstheme="minorHAnsi"/>
                <w:color w:val="000000"/>
                <w:sz w:val="22"/>
                <w:szCs w:val="22"/>
                <w:lang w:eastAsia="en-IN"/>
              </w:rPr>
              <w:t xml:space="preserve">India </w:t>
            </w:r>
            <w:r w:rsidR="0080275F">
              <w:rPr>
                <w:rFonts w:asciiTheme="minorHAnsi" w:hAnsiTheme="minorHAnsi" w:cstheme="minorHAnsi"/>
                <w:color w:val="000000"/>
                <w:sz w:val="22"/>
                <w:szCs w:val="22"/>
                <w:lang w:eastAsia="en-IN"/>
              </w:rPr>
              <w:t>(</w:t>
            </w:r>
            <w:r w:rsidRPr="0080275F">
              <w:rPr>
                <w:rFonts w:asciiTheme="minorHAnsi" w:hAnsiTheme="minorHAnsi" w:cstheme="minorHAnsi"/>
                <w:color w:val="000000"/>
                <w:sz w:val="22"/>
                <w:szCs w:val="22"/>
                <w:lang w:eastAsia="en-IN"/>
              </w:rPr>
              <w:t>Erstwhile Corporation Bank. &amp; Andhra Bank)</w:t>
            </w:r>
          </w:p>
        </w:tc>
        <w:tc>
          <w:tcPr>
            <w:tcW w:w="1194" w:type="pct"/>
            <w:shd w:val="clear" w:color="auto" w:fill="auto"/>
            <w:noWrap/>
            <w:vAlign w:val="center"/>
          </w:tcPr>
          <w:p w:rsidR="00F7704C" w:rsidRPr="0080275F" w:rsidRDefault="0098129A" w:rsidP="0098129A">
            <w:pPr>
              <w:spacing w:after="0" w:line="360" w:lineRule="auto"/>
              <w:jc w:val="center"/>
              <w:rPr>
                <w:rFonts w:asciiTheme="minorHAnsi" w:hAnsiTheme="minorHAnsi" w:cstheme="minorHAnsi"/>
                <w:color w:val="000000"/>
                <w:sz w:val="22"/>
                <w:szCs w:val="22"/>
                <w:lang w:eastAsia="en-IN"/>
              </w:rPr>
            </w:pPr>
            <w:r w:rsidRPr="0080275F">
              <w:rPr>
                <w:rFonts w:asciiTheme="minorHAnsi" w:hAnsiTheme="minorHAnsi" w:cstheme="minorHAnsi"/>
                <w:color w:val="000000"/>
                <w:sz w:val="22"/>
                <w:szCs w:val="22"/>
                <w:lang w:eastAsia="en-IN"/>
              </w:rPr>
              <w:t>864</w:t>
            </w:r>
          </w:p>
        </w:tc>
        <w:tc>
          <w:tcPr>
            <w:tcW w:w="1418" w:type="pct"/>
            <w:shd w:val="clear" w:color="auto" w:fill="auto"/>
            <w:noWrap/>
            <w:vAlign w:val="center"/>
          </w:tcPr>
          <w:p w:rsidR="00F7704C" w:rsidRPr="0080275F" w:rsidRDefault="0098129A" w:rsidP="00F7704C">
            <w:pPr>
              <w:spacing w:after="0" w:line="360" w:lineRule="auto"/>
              <w:jc w:val="center"/>
              <w:rPr>
                <w:rFonts w:asciiTheme="minorHAnsi" w:hAnsiTheme="minorHAnsi" w:cstheme="minorHAnsi"/>
                <w:color w:val="000000"/>
                <w:sz w:val="22"/>
                <w:szCs w:val="22"/>
                <w:lang w:eastAsia="en-IN"/>
              </w:rPr>
            </w:pPr>
            <w:r w:rsidRPr="0080275F">
              <w:rPr>
                <w:rFonts w:asciiTheme="minorHAnsi" w:hAnsiTheme="minorHAnsi" w:cstheme="minorHAnsi"/>
                <w:color w:val="000000"/>
                <w:sz w:val="22"/>
                <w:szCs w:val="22"/>
                <w:lang w:eastAsia="en-IN"/>
              </w:rPr>
              <w:t>728</w:t>
            </w:r>
          </w:p>
        </w:tc>
      </w:tr>
      <w:tr w:rsidR="00F7704C" w:rsidRPr="0080275F" w:rsidTr="00D279DD">
        <w:trPr>
          <w:trHeight w:val="300"/>
        </w:trPr>
        <w:tc>
          <w:tcPr>
            <w:tcW w:w="373" w:type="pct"/>
            <w:shd w:val="clear" w:color="auto" w:fill="auto"/>
            <w:noWrap/>
            <w:vAlign w:val="center"/>
          </w:tcPr>
          <w:p w:rsidR="00F7704C" w:rsidRPr="0080275F" w:rsidRDefault="00F7704C" w:rsidP="00A0081D">
            <w:pPr>
              <w:pStyle w:val="ListParagraph"/>
              <w:numPr>
                <w:ilvl w:val="0"/>
                <w:numId w:val="11"/>
              </w:numPr>
              <w:spacing w:after="0" w:line="360" w:lineRule="auto"/>
              <w:ind w:hanging="578"/>
              <w:rPr>
                <w:rFonts w:asciiTheme="minorHAnsi" w:hAnsiTheme="minorHAnsi" w:cstheme="minorHAnsi"/>
                <w:color w:val="000000"/>
                <w:sz w:val="22"/>
                <w:szCs w:val="22"/>
                <w:lang w:eastAsia="en-IN"/>
              </w:rPr>
            </w:pPr>
          </w:p>
        </w:tc>
        <w:tc>
          <w:tcPr>
            <w:tcW w:w="2015" w:type="pct"/>
            <w:shd w:val="clear" w:color="auto" w:fill="auto"/>
            <w:noWrap/>
            <w:vAlign w:val="center"/>
          </w:tcPr>
          <w:p w:rsidR="00F7704C" w:rsidRPr="0080275F" w:rsidRDefault="00F7704C" w:rsidP="0080275F">
            <w:pPr>
              <w:spacing w:after="0" w:line="360" w:lineRule="auto"/>
              <w:rPr>
                <w:rFonts w:asciiTheme="minorHAnsi" w:hAnsiTheme="minorHAnsi" w:cstheme="minorHAnsi"/>
                <w:color w:val="000000"/>
                <w:sz w:val="22"/>
                <w:szCs w:val="22"/>
                <w:lang w:eastAsia="en-IN"/>
              </w:rPr>
            </w:pPr>
            <w:r w:rsidRPr="0080275F">
              <w:rPr>
                <w:rFonts w:asciiTheme="minorHAnsi" w:hAnsiTheme="minorHAnsi" w:cstheme="minorHAnsi"/>
                <w:color w:val="000000"/>
                <w:sz w:val="22"/>
                <w:szCs w:val="22"/>
                <w:lang w:eastAsia="en-IN"/>
              </w:rPr>
              <w:t>Punjab National Bank (erstwhile United Bank &amp; Oriental Bank of Commerce)</w:t>
            </w:r>
          </w:p>
        </w:tc>
        <w:tc>
          <w:tcPr>
            <w:tcW w:w="1194" w:type="pct"/>
            <w:shd w:val="clear" w:color="auto" w:fill="auto"/>
            <w:noWrap/>
            <w:vAlign w:val="center"/>
          </w:tcPr>
          <w:p w:rsidR="00F7704C" w:rsidRPr="0080275F" w:rsidRDefault="0098129A" w:rsidP="0098129A">
            <w:pPr>
              <w:spacing w:after="0" w:line="360" w:lineRule="auto"/>
              <w:jc w:val="center"/>
              <w:rPr>
                <w:rFonts w:asciiTheme="minorHAnsi" w:hAnsiTheme="minorHAnsi" w:cstheme="minorHAnsi"/>
                <w:color w:val="000000"/>
                <w:sz w:val="22"/>
                <w:szCs w:val="22"/>
                <w:lang w:eastAsia="en-IN"/>
              </w:rPr>
            </w:pPr>
            <w:r w:rsidRPr="0080275F">
              <w:rPr>
                <w:rFonts w:asciiTheme="minorHAnsi" w:hAnsiTheme="minorHAnsi" w:cstheme="minorHAnsi"/>
                <w:color w:val="000000"/>
                <w:sz w:val="22"/>
                <w:szCs w:val="22"/>
                <w:lang w:eastAsia="en-IN"/>
              </w:rPr>
              <w:t>431</w:t>
            </w:r>
          </w:p>
        </w:tc>
        <w:tc>
          <w:tcPr>
            <w:tcW w:w="1418" w:type="pct"/>
            <w:shd w:val="clear" w:color="auto" w:fill="auto"/>
            <w:noWrap/>
            <w:vAlign w:val="center"/>
          </w:tcPr>
          <w:p w:rsidR="00F7704C" w:rsidRPr="0080275F" w:rsidRDefault="0098129A" w:rsidP="00F7704C">
            <w:pPr>
              <w:spacing w:after="0" w:line="360" w:lineRule="auto"/>
              <w:jc w:val="center"/>
              <w:rPr>
                <w:rFonts w:asciiTheme="minorHAnsi" w:hAnsiTheme="minorHAnsi" w:cstheme="minorHAnsi"/>
                <w:color w:val="000000"/>
                <w:sz w:val="22"/>
                <w:szCs w:val="22"/>
                <w:lang w:eastAsia="en-IN"/>
              </w:rPr>
            </w:pPr>
            <w:r w:rsidRPr="0080275F">
              <w:rPr>
                <w:rFonts w:asciiTheme="minorHAnsi" w:hAnsiTheme="minorHAnsi" w:cstheme="minorHAnsi"/>
                <w:color w:val="000000"/>
                <w:sz w:val="22"/>
                <w:szCs w:val="22"/>
                <w:lang w:eastAsia="en-IN"/>
              </w:rPr>
              <w:t>364</w:t>
            </w:r>
          </w:p>
        </w:tc>
      </w:tr>
      <w:tr w:rsidR="00F7704C" w:rsidRPr="0080275F" w:rsidTr="00D279DD">
        <w:trPr>
          <w:trHeight w:val="300"/>
        </w:trPr>
        <w:tc>
          <w:tcPr>
            <w:tcW w:w="373" w:type="pct"/>
            <w:shd w:val="clear" w:color="auto" w:fill="auto"/>
            <w:noWrap/>
            <w:vAlign w:val="center"/>
          </w:tcPr>
          <w:p w:rsidR="00F7704C" w:rsidRPr="0080275F" w:rsidRDefault="00F7704C" w:rsidP="00A0081D">
            <w:pPr>
              <w:pStyle w:val="ListParagraph"/>
              <w:numPr>
                <w:ilvl w:val="0"/>
                <w:numId w:val="11"/>
              </w:numPr>
              <w:spacing w:after="0" w:line="360" w:lineRule="auto"/>
              <w:ind w:hanging="578"/>
              <w:rPr>
                <w:rFonts w:asciiTheme="minorHAnsi" w:hAnsiTheme="minorHAnsi" w:cstheme="minorHAnsi"/>
                <w:color w:val="000000"/>
                <w:sz w:val="22"/>
                <w:szCs w:val="22"/>
                <w:lang w:eastAsia="en-IN"/>
              </w:rPr>
            </w:pPr>
          </w:p>
        </w:tc>
        <w:tc>
          <w:tcPr>
            <w:tcW w:w="2015" w:type="pct"/>
            <w:shd w:val="clear" w:color="auto" w:fill="auto"/>
            <w:noWrap/>
            <w:vAlign w:val="center"/>
          </w:tcPr>
          <w:p w:rsidR="00F7704C" w:rsidRPr="0080275F" w:rsidRDefault="00F7704C" w:rsidP="0080275F">
            <w:pPr>
              <w:spacing w:after="0" w:line="360" w:lineRule="auto"/>
              <w:rPr>
                <w:rFonts w:asciiTheme="minorHAnsi" w:hAnsiTheme="minorHAnsi" w:cstheme="minorHAnsi"/>
                <w:color w:val="000000"/>
                <w:sz w:val="22"/>
                <w:szCs w:val="22"/>
                <w:lang w:eastAsia="en-IN"/>
              </w:rPr>
            </w:pPr>
            <w:r w:rsidRPr="0080275F">
              <w:rPr>
                <w:rFonts w:asciiTheme="minorHAnsi" w:hAnsiTheme="minorHAnsi" w:cstheme="minorHAnsi"/>
                <w:color w:val="000000"/>
                <w:sz w:val="22"/>
                <w:szCs w:val="22"/>
                <w:lang w:eastAsia="en-IN"/>
              </w:rPr>
              <w:t>UCO Bank</w:t>
            </w:r>
          </w:p>
        </w:tc>
        <w:tc>
          <w:tcPr>
            <w:tcW w:w="1194" w:type="pct"/>
            <w:shd w:val="clear" w:color="auto" w:fill="auto"/>
            <w:noWrap/>
            <w:vAlign w:val="center"/>
          </w:tcPr>
          <w:p w:rsidR="00F7704C" w:rsidRPr="0080275F" w:rsidRDefault="0098129A" w:rsidP="0098129A">
            <w:pPr>
              <w:spacing w:after="0" w:line="360" w:lineRule="auto"/>
              <w:jc w:val="center"/>
              <w:rPr>
                <w:rFonts w:asciiTheme="minorHAnsi" w:hAnsiTheme="minorHAnsi" w:cstheme="minorHAnsi"/>
                <w:color w:val="000000"/>
                <w:sz w:val="22"/>
                <w:szCs w:val="22"/>
                <w:lang w:eastAsia="en-IN"/>
              </w:rPr>
            </w:pPr>
            <w:r w:rsidRPr="0080275F">
              <w:rPr>
                <w:rFonts w:asciiTheme="minorHAnsi" w:hAnsiTheme="minorHAnsi" w:cstheme="minorHAnsi"/>
                <w:color w:val="000000"/>
                <w:sz w:val="22"/>
                <w:szCs w:val="22"/>
                <w:lang w:eastAsia="en-IN"/>
              </w:rPr>
              <w:t>271</w:t>
            </w:r>
          </w:p>
        </w:tc>
        <w:tc>
          <w:tcPr>
            <w:tcW w:w="1418" w:type="pct"/>
            <w:shd w:val="clear" w:color="auto" w:fill="auto"/>
            <w:noWrap/>
            <w:vAlign w:val="center"/>
          </w:tcPr>
          <w:p w:rsidR="00F7704C" w:rsidRPr="0080275F" w:rsidRDefault="0098129A" w:rsidP="00F7704C">
            <w:pPr>
              <w:spacing w:after="0" w:line="360" w:lineRule="auto"/>
              <w:jc w:val="center"/>
              <w:rPr>
                <w:rFonts w:asciiTheme="minorHAnsi" w:hAnsiTheme="minorHAnsi" w:cstheme="minorHAnsi"/>
                <w:color w:val="000000"/>
                <w:sz w:val="22"/>
                <w:szCs w:val="22"/>
                <w:lang w:eastAsia="en-IN"/>
              </w:rPr>
            </w:pPr>
            <w:r w:rsidRPr="0080275F">
              <w:rPr>
                <w:rFonts w:asciiTheme="minorHAnsi" w:hAnsiTheme="minorHAnsi" w:cstheme="minorHAnsi"/>
                <w:color w:val="000000"/>
                <w:sz w:val="22"/>
                <w:szCs w:val="22"/>
                <w:lang w:eastAsia="en-IN"/>
              </w:rPr>
              <w:t>228</w:t>
            </w:r>
          </w:p>
        </w:tc>
      </w:tr>
      <w:tr w:rsidR="00F7704C" w:rsidRPr="0080275F" w:rsidTr="00D279DD">
        <w:trPr>
          <w:trHeight w:val="300"/>
        </w:trPr>
        <w:tc>
          <w:tcPr>
            <w:tcW w:w="373" w:type="pct"/>
            <w:shd w:val="clear" w:color="auto" w:fill="auto"/>
            <w:noWrap/>
            <w:vAlign w:val="center"/>
          </w:tcPr>
          <w:p w:rsidR="00F7704C" w:rsidRPr="0080275F" w:rsidRDefault="00F7704C" w:rsidP="00A0081D">
            <w:pPr>
              <w:pStyle w:val="ListParagraph"/>
              <w:numPr>
                <w:ilvl w:val="0"/>
                <w:numId w:val="11"/>
              </w:numPr>
              <w:spacing w:after="0" w:line="360" w:lineRule="auto"/>
              <w:ind w:hanging="578"/>
              <w:rPr>
                <w:rFonts w:asciiTheme="minorHAnsi" w:hAnsiTheme="minorHAnsi" w:cstheme="minorHAnsi"/>
                <w:color w:val="000000"/>
                <w:sz w:val="22"/>
                <w:szCs w:val="22"/>
                <w:lang w:eastAsia="en-IN"/>
              </w:rPr>
            </w:pPr>
          </w:p>
        </w:tc>
        <w:tc>
          <w:tcPr>
            <w:tcW w:w="2015" w:type="pct"/>
            <w:shd w:val="clear" w:color="auto" w:fill="auto"/>
            <w:noWrap/>
            <w:vAlign w:val="center"/>
          </w:tcPr>
          <w:p w:rsidR="00F7704C" w:rsidRPr="0080275F" w:rsidRDefault="00F7704C" w:rsidP="0080275F">
            <w:pPr>
              <w:spacing w:after="0" w:line="360" w:lineRule="auto"/>
              <w:rPr>
                <w:rFonts w:asciiTheme="minorHAnsi" w:hAnsiTheme="minorHAnsi" w:cstheme="minorHAnsi"/>
                <w:color w:val="000000"/>
                <w:sz w:val="22"/>
                <w:szCs w:val="22"/>
                <w:lang w:eastAsia="en-IN"/>
              </w:rPr>
            </w:pPr>
            <w:r w:rsidRPr="0080275F">
              <w:rPr>
                <w:rFonts w:asciiTheme="minorHAnsi" w:hAnsiTheme="minorHAnsi" w:cstheme="minorHAnsi"/>
                <w:color w:val="000000"/>
                <w:sz w:val="22"/>
                <w:szCs w:val="22"/>
                <w:lang w:eastAsia="en-IN"/>
              </w:rPr>
              <w:t>Bank of Baroda</w:t>
            </w:r>
          </w:p>
        </w:tc>
        <w:tc>
          <w:tcPr>
            <w:tcW w:w="1194" w:type="pct"/>
            <w:shd w:val="clear" w:color="auto" w:fill="auto"/>
            <w:noWrap/>
            <w:vAlign w:val="center"/>
          </w:tcPr>
          <w:p w:rsidR="00F7704C" w:rsidRPr="0080275F" w:rsidRDefault="0098129A" w:rsidP="00F7704C">
            <w:pPr>
              <w:spacing w:after="0" w:line="360" w:lineRule="auto"/>
              <w:jc w:val="center"/>
              <w:rPr>
                <w:rFonts w:asciiTheme="minorHAnsi" w:hAnsiTheme="minorHAnsi" w:cstheme="minorHAnsi"/>
                <w:color w:val="000000"/>
                <w:sz w:val="22"/>
                <w:szCs w:val="22"/>
                <w:lang w:eastAsia="en-IN"/>
              </w:rPr>
            </w:pPr>
            <w:r w:rsidRPr="0080275F">
              <w:rPr>
                <w:rFonts w:asciiTheme="minorHAnsi" w:hAnsiTheme="minorHAnsi" w:cstheme="minorHAnsi"/>
                <w:color w:val="000000"/>
                <w:sz w:val="22"/>
                <w:szCs w:val="22"/>
                <w:lang w:eastAsia="en-IN"/>
              </w:rPr>
              <w:t>202</w:t>
            </w:r>
          </w:p>
        </w:tc>
        <w:tc>
          <w:tcPr>
            <w:tcW w:w="1418" w:type="pct"/>
            <w:shd w:val="clear" w:color="auto" w:fill="auto"/>
            <w:noWrap/>
            <w:vAlign w:val="center"/>
          </w:tcPr>
          <w:p w:rsidR="00F7704C" w:rsidRPr="0080275F" w:rsidRDefault="0098129A" w:rsidP="00F7704C">
            <w:pPr>
              <w:spacing w:after="0" w:line="360" w:lineRule="auto"/>
              <w:jc w:val="center"/>
              <w:rPr>
                <w:rFonts w:asciiTheme="minorHAnsi" w:hAnsiTheme="minorHAnsi" w:cstheme="minorHAnsi"/>
                <w:color w:val="000000"/>
                <w:sz w:val="22"/>
                <w:szCs w:val="22"/>
                <w:lang w:eastAsia="en-IN"/>
              </w:rPr>
            </w:pPr>
            <w:r w:rsidRPr="0080275F">
              <w:rPr>
                <w:rFonts w:asciiTheme="minorHAnsi" w:hAnsiTheme="minorHAnsi" w:cstheme="minorHAnsi"/>
                <w:color w:val="000000"/>
                <w:sz w:val="22"/>
                <w:szCs w:val="22"/>
                <w:lang w:eastAsia="en-IN"/>
              </w:rPr>
              <w:t>170</w:t>
            </w:r>
          </w:p>
        </w:tc>
      </w:tr>
      <w:tr w:rsidR="0098129A" w:rsidRPr="0080275F" w:rsidTr="00D279DD">
        <w:trPr>
          <w:trHeight w:val="300"/>
        </w:trPr>
        <w:tc>
          <w:tcPr>
            <w:tcW w:w="373" w:type="pct"/>
            <w:shd w:val="clear" w:color="auto" w:fill="auto"/>
            <w:noWrap/>
            <w:vAlign w:val="center"/>
          </w:tcPr>
          <w:p w:rsidR="0098129A" w:rsidRPr="0080275F" w:rsidRDefault="0098129A" w:rsidP="00A0081D">
            <w:pPr>
              <w:pStyle w:val="ListParagraph"/>
              <w:numPr>
                <w:ilvl w:val="0"/>
                <w:numId w:val="11"/>
              </w:numPr>
              <w:spacing w:after="0" w:line="360" w:lineRule="auto"/>
              <w:ind w:hanging="578"/>
              <w:rPr>
                <w:rFonts w:asciiTheme="minorHAnsi" w:hAnsiTheme="minorHAnsi" w:cstheme="minorHAnsi"/>
                <w:color w:val="000000"/>
                <w:sz w:val="22"/>
                <w:szCs w:val="22"/>
                <w:lang w:eastAsia="en-IN"/>
              </w:rPr>
            </w:pPr>
          </w:p>
        </w:tc>
        <w:tc>
          <w:tcPr>
            <w:tcW w:w="2015" w:type="pct"/>
            <w:shd w:val="clear" w:color="auto" w:fill="auto"/>
            <w:noWrap/>
            <w:vAlign w:val="center"/>
          </w:tcPr>
          <w:p w:rsidR="0098129A" w:rsidRPr="0080275F" w:rsidRDefault="0098129A" w:rsidP="0080275F">
            <w:pPr>
              <w:spacing w:after="0" w:line="360" w:lineRule="auto"/>
              <w:rPr>
                <w:rFonts w:asciiTheme="minorHAnsi" w:hAnsiTheme="minorHAnsi" w:cstheme="minorHAnsi"/>
                <w:color w:val="000000"/>
                <w:sz w:val="22"/>
                <w:szCs w:val="22"/>
                <w:lang w:eastAsia="en-IN"/>
              </w:rPr>
            </w:pPr>
            <w:r w:rsidRPr="0080275F">
              <w:rPr>
                <w:rFonts w:asciiTheme="minorHAnsi" w:hAnsiTheme="minorHAnsi" w:cstheme="minorHAnsi"/>
                <w:color w:val="000000"/>
                <w:sz w:val="22"/>
                <w:szCs w:val="22"/>
                <w:lang w:eastAsia="en-IN"/>
              </w:rPr>
              <w:t>ICICI Bank Ltd</w:t>
            </w:r>
          </w:p>
        </w:tc>
        <w:tc>
          <w:tcPr>
            <w:tcW w:w="1194" w:type="pct"/>
            <w:shd w:val="clear" w:color="auto" w:fill="auto"/>
            <w:noWrap/>
            <w:vAlign w:val="center"/>
          </w:tcPr>
          <w:p w:rsidR="0098129A" w:rsidRPr="0080275F" w:rsidRDefault="0098129A" w:rsidP="0098129A">
            <w:pPr>
              <w:spacing w:after="0" w:line="360" w:lineRule="auto"/>
              <w:jc w:val="center"/>
              <w:rPr>
                <w:rFonts w:asciiTheme="minorHAnsi" w:hAnsiTheme="minorHAnsi" w:cstheme="minorHAnsi"/>
                <w:color w:val="000000"/>
                <w:sz w:val="22"/>
                <w:szCs w:val="22"/>
                <w:lang w:eastAsia="en-IN"/>
              </w:rPr>
            </w:pPr>
            <w:r w:rsidRPr="0080275F">
              <w:rPr>
                <w:rFonts w:asciiTheme="minorHAnsi" w:hAnsiTheme="minorHAnsi" w:cstheme="minorHAnsi"/>
                <w:color w:val="000000"/>
                <w:sz w:val="22"/>
                <w:szCs w:val="22"/>
                <w:lang w:eastAsia="en-IN"/>
              </w:rPr>
              <w:t>300</w:t>
            </w:r>
          </w:p>
        </w:tc>
        <w:tc>
          <w:tcPr>
            <w:tcW w:w="1418" w:type="pct"/>
            <w:shd w:val="clear" w:color="auto" w:fill="auto"/>
            <w:noWrap/>
            <w:vAlign w:val="center"/>
          </w:tcPr>
          <w:p w:rsidR="0098129A" w:rsidRPr="0080275F" w:rsidRDefault="0098129A" w:rsidP="0098129A">
            <w:pPr>
              <w:spacing w:after="0" w:line="360" w:lineRule="auto"/>
              <w:jc w:val="center"/>
              <w:rPr>
                <w:rFonts w:asciiTheme="minorHAnsi" w:hAnsiTheme="minorHAnsi" w:cstheme="minorHAnsi"/>
                <w:color w:val="000000"/>
                <w:sz w:val="22"/>
                <w:szCs w:val="22"/>
                <w:lang w:eastAsia="en-IN"/>
              </w:rPr>
            </w:pPr>
            <w:r w:rsidRPr="0080275F">
              <w:rPr>
                <w:rFonts w:asciiTheme="minorHAnsi" w:hAnsiTheme="minorHAnsi" w:cstheme="minorHAnsi"/>
                <w:color w:val="000000"/>
                <w:sz w:val="22"/>
                <w:szCs w:val="22"/>
                <w:lang w:eastAsia="en-IN"/>
              </w:rPr>
              <w:t>197</w:t>
            </w:r>
          </w:p>
        </w:tc>
      </w:tr>
      <w:tr w:rsidR="0098129A" w:rsidRPr="0080275F" w:rsidTr="00D279DD">
        <w:trPr>
          <w:trHeight w:val="300"/>
        </w:trPr>
        <w:tc>
          <w:tcPr>
            <w:tcW w:w="373" w:type="pct"/>
            <w:shd w:val="clear" w:color="auto" w:fill="auto"/>
            <w:noWrap/>
            <w:vAlign w:val="center"/>
          </w:tcPr>
          <w:p w:rsidR="0098129A" w:rsidRPr="0080275F" w:rsidRDefault="0098129A" w:rsidP="00A0081D">
            <w:pPr>
              <w:pStyle w:val="ListParagraph"/>
              <w:numPr>
                <w:ilvl w:val="0"/>
                <w:numId w:val="11"/>
              </w:numPr>
              <w:spacing w:after="0" w:line="360" w:lineRule="auto"/>
              <w:ind w:hanging="578"/>
              <w:rPr>
                <w:rFonts w:asciiTheme="minorHAnsi" w:hAnsiTheme="minorHAnsi" w:cstheme="minorHAnsi"/>
                <w:color w:val="000000"/>
                <w:sz w:val="22"/>
                <w:szCs w:val="22"/>
                <w:lang w:eastAsia="en-IN"/>
              </w:rPr>
            </w:pPr>
          </w:p>
        </w:tc>
        <w:tc>
          <w:tcPr>
            <w:tcW w:w="2015" w:type="pct"/>
            <w:shd w:val="clear" w:color="auto" w:fill="auto"/>
            <w:noWrap/>
            <w:vAlign w:val="center"/>
          </w:tcPr>
          <w:p w:rsidR="0098129A" w:rsidRPr="0080275F" w:rsidRDefault="0098129A" w:rsidP="0080275F">
            <w:pPr>
              <w:spacing w:after="0" w:line="360" w:lineRule="auto"/>
              <w:rPr>
                <w:rFonts w:asciiTheme="minorHAnsi" w:hAnsiTheme="minorHAnsi" w:cstheme="minorHAnsi"/>
                <w:color w:val="000000"/>
                <w:sz w:val="22"/>
                <w:szCs w:val="22"/>
                <w:lang w:eastAsia="en-IN"/>
              </w:rPr>
            </w:pPr>
            <w:r w:rsidRPr="0080275F">
              <w:rPr>
                <w:rFonts w:asciiTheme="minorHAnsi" w:hAnsiTheme="minorHAnsi" w:cstheme="minorHAnsi"/>
                <w:color w:val="000000"/>
                <w:sz w:val="22"/>
                <w:szCs w:val="22"/>
                <w:lang w:eastAsia="en-IN"/>
              </w:rPr>
              <w:t>Punjab &amp; Sind Bank</w:t>
            </w:r>
          </w:p>
        </w:tc>
        <w:tc>
          <w:tcPr>
            <w:tcW w:w="1194" w:type="pct"/>
            <w:shd w:val="clear" w:color="auto" w:fill="auto"/>
            <w:noWrap/>
            <w:vAlign w:val="center"/>
          </w:tcPr>
          <w:p w:rsidR="0098129A" w:rsidRPr="0080275F" w:rsidRDefault="0098129A" w:rsidP="0098129A">
            <w:pPr>
              <w:spacing w:after="0" w:line="360" w:lineRule="auto"/>
              <w:jc w:val="center"/>
              <w:rPr>
                <w:rFonts w:asciiTheme="minorHAnsi" w:hAnsiTheme="minorHAnsi" w:cstheme="minorHAnsi"/>
                <w:color w:val="000000"/>
                <w:sz w:val="22"/>
                <w:szCs w:val="22"/>
                <w:lang w:eastAsia="en-IN"/>
              </w:rPr>
            </w:pPr>
            <w:r w:rsidRPr="0080275F">
              <w:rPr>
                <w:rFonts w:asciiTheme="minorHAnsi" w:hAnsiTheme="minorHAnsi" w:cstheme="minorHAnsi"/>
                <w:color w:val="000000"/>
                <w:sz w:val="22"/>
                <w:szCs w:val="22"/>
                <w:lang w:eastAsia="en-IN"/>
              </w:rPr>
              <w:t>144</w:t>
            </w:r>
          </w:p>
        </w:tc>
        <w:tc>
          <w:tcPr>
            <w:tcW w:w="1418" w:type="pct"/>
            <w:shd w:val="clear" w:color="auto" w:fill="auto"/>
            <w:noWrap/>
            <w:vAlign w:val="center"/>
          </w:tcPr>
          <w:p w:rsidR="0098129A" w:rsidRPr="0080275F" w:rsidRDefault="0098129A" w:rsidP="0098129A">
            <w:pPr>
              <w:spacing w:after="0" w:line="360" w:lineRule="auto"/>
              <w:jc w:val="center"/>
              <w:rPr>
                <w:rFonts w:asciiTheme="minorHAnsi" w:hAnsiTheme="minorHAnsi" w:cstheme="minorHAnsi"/>
                <w:color w:val="000000"/>
                <w:sz w:val="22"/>
                <w:szCs w:val="22"/>
                <w:lang w:eastAsia="en-IN"/>
              </w:rPr>
            </w:pPr>
            <w:r w:rsidRPr="0080275F">
              <w:rPr>
                <w:rFonts w:asciiTheme="minorHAnsi" w:hAnsiTheme="minorHAnsi" w:cstheme="minorHAnsi"/>
                <w:color w:val="000000"/>
                <w:sz w:val="22"/>
                <w:szCs w:val="22"/>
                <w:lang w:eastAsia="en-IN"/>
              </w:rPr>
              <w:t>122</w:t>
            </w:r>
          </w:p>
        </w:tc>
      </w:tr>
      <w:tr w:rsidR="0098129A" w:rsidRPr="0080275F" w:rsidTr="00D279DD">
        <w:trPr>
          <w:trHeight w:val="300"/>
        </w:trPr>
        <w:tc>
          <w:tcPr>
            <w:tcW w:w="373" w:type="pct"/>
            <w:shd w:val="clear" w:color="auto" w:fill="auto"/>
            <w:noWrap/>
            <w:vAlign w:val="center"/>
          </w:tcPr>
          <w:p w:rsidR="0098129A" w:rsidRPr="0080275F" w:rsidRDefault="0098129A" w:rsidP="00A0081D">
            <w:pPr>
              <w:pStyle w:val="ListParagraph"/>
              <w:numPr>
                <w:ilvl w:val="0"/>
                <w:numId w:val="11"/>
              </w:numPr>
              <w:spacing w:after="0" w:line="360" w:lineRule="auto"/>
              <w:ind w:hanging="578"/>
              <w:rPr>
                <w:rFonts w:asciiTheme="minorHAnsi" w:hAnsiTheme="minorHAnsi" w:cstheme="minorHAnsi"/>
                <w:color w:val="000000"/>
                <w:sz w:val="22"/>
                <w:szCs w:val="22"/>
                <w:lang w:eastAsia="en-IN"/>
              </w:rPr>
            </w:pPr>
          </w:p>
        </w:tc>
        <w:tc>
          <w:tcPr>
            <w:tcW w:w="2015" w:type="pct"/>
            <w:shd w:val="clear" w:color="auto" w:fill="auto"/>
            <w:noWrap/>
            <w:vAlign w:val="center"/>
          </w:tcPr>
          <w:p w:rsidR="0098129A" w:rsidRPr="0080275F" w:rsidRDefault="0098129A" w:rsidP="0080275F">
            <w:pPr>
              <w:spacing w:after="0" w:line="360" w:lineRule="auto"/>
              <w:rPr>
                <w:rFonts w:asciiTheme="minorHAnsi" w:hAnsiTheme="minorHAnsi" w:cstheme="minorHAnsi"/>
                <w:color w:val="000000"/>
                <w:sz w:val="22"/>
                <w:szCs w:val="22"/>
                <w:lang w:eastAsia="en-IN"/>
              </w:rPr>
            </w:pPr>
            <w:r w:rsidRPr="0080275F">
              <w:rPr>
                <w:rFonts w:asciiTheme="minorHAnsi" w:hAnsiTheme="minorHAnsi" w:cstheme="minorHAnsi"/>
                <w:color w:val="000000"/>
                <w:sz w:val="22"/>
                <w:szCs w:val="22"/>
                <w:lang w:eastAsia="en-IN"/>
              </w:rPr>
              <w:t>IIFCL – AMC (NCD)</w:t>
            </w:r>
          </w:p>
        </w:tc>
        <w:tc>
          <w:tcPr>
            <w:tcW w:w="1194" w:type="pct"/>
            <w:shd w:val="clear" w:color="auto" w:fill="auto"/>
            <w:noWrap/>
            <w:vAlign w:val="center"/>
          </w:tcPr>
          <w:p w:rsidR="0098129A" w:rsidRPr="0080275F" w:rsidRDefault="0098129A" w:rsidP="0098129A">
            <w:pPr>
              <w:spacing w:after="0" w:line="360" w:lineRule="auto"/>
              <w:jc w:val="center"/>
              <w:rPr>
                <w:rFonts w:asciiTheme="minorHAnsi" w:hAnsiTheme="minorHAnsi" w:cstheme="minorHAnsi"/>
                <w:color w:val="000000"/>
                <w:sz w:val="22"/>
                <w:szCs w:val="22"/>
                <w:lang w:eastAsia="en-IN"/>
              </w:rPr>
            </w:pPr>
            <w:r w:rsidRPr="0080275F">
              <w:rPr>
                <w:rFonts w:asciiTheme="minorHAnsi" w:hAnsiTheme="minorHAnsi" w:cstheme="minorHAnsi"/>
                <w:color w:val="000000"/>
                <w:sz w:val="22"/>
                <w:szCs w:val="22"/>
                <w:lang w:eastAsia="en-IN"/>
              </w:rPr>
              <w:t>75</w:t>
            </w:r>
          </w:p>
        </w:tc>
        <w:tc>
          <w:tcPr>
            <w:tcW w:w="1418" w:type="pct"/>
            <w:shd w:val="clear" w:color="auto" w:fill="auto"/>
            <w:noWrap/>
            <w:vAlign w:val="center"/>
          </w:tcPr>
          <w:p w:rsidR="0098129A" w:rsidRPr="0080275F" w:rsidRDefault="0098129A" w:rsidP="0098129A">
            <w:pPr>
              <w:spacing w:after="0" w:line="360" w:lineRule="auto"/>
              <w:jc w:val="center"/>
              <w:rPr>
                <w:rFonts w:asciiTheme="minorHAnsi" w:hAnsiTheme="minorHAnsi" w:cstheme="minorHAnsi"/>
                <w:color w:val="000000"/>
                <w:sz w:val="22"/>
                <w:szCs w:val="22"/>
                <w:lang w:eastAsia="en-IN"/>
              </w:rPr>
            </w:pPr>
            <w:r w:rsidRPr="0080275F">
              <w:rPr>
                <w:rFonts w:asciiTheme="minorHAnsi" w:hAnsiTheme="minorHAnsi" w:cstheme="minorHAnsi"/>
                <w:color w:val="000000"/>
                <w:sz w:val="22"/>
                <w:szCs w:val="22"/>
                <w:lang w:eastAsia="en-IN"/>
              </w:rPr>
              <w:t>75</w:t>
            </w:r>
          </w:p>
        </w:tc>
      </w:tr>
      <w:tr w:rsidR="0098129A" w:rsidRPr="0080275F" w:rsidTr="00D279DD">
        <w:trPr>
          <w:trHeight w:val="300"/>
        </w:trPr>
        <w:tc>
          <w:tcPr>
            <w:tcW w:w="373" w:type="pct"/>
            <w:shd w:val="clear" w:color="auto" w:fill="auto"/>
            <w:noWrap/>
            <w:vAlign w:val="center"/>
          </w:tcPr>
          <w:p w:rsidR="0098129A" w:rsidRPr="0080275F" w:rsidRDefault="0098129A" w:rsidP="00A0081D">
            <w:pPr>
              <w:pStyle w:val="ListParagraph"/>
              <w:numPr>
                <w:ilvl w:val="0"/>
                <w:numId w:val="11"/>
              </w:numPr>
              <w:spacing w:after="0" w:line="360" w:lineRule="auto"/>
              <w:ind w:hanging="578"/>
              <w:rPr>
                <w:rFonts w:asciiTheme="minorHAnsi" w:hAnsiTheme="minorHAnsi" w:cstheme="minorHAnsi"/>
                <w:color w:val="000000"/>
                <w:sz w:val="22"/>
                <w:szCs w:val="22"/>
                <w:lang w:eastAsia="en-IN"/>
              </w:rPr>
            </w:pPr>
          </w:p>
        </w:tc>
        <w:tc>
          <w:tcPr>
            <w:tcW w:w="2015" w:type="pct"/>
            <w:shd w:val="clear" w:color="auto" w:fill="auto"/>
            <w:noWrap/>
            <w:vAlign w:val="center"/>
          </w:tcPr>
          <w:p w:rsidR="0098129A" w:rsidRPr="0080275F" w:rsidRDefault="0098129A" w:rsidP="0080275F">
            <w:pPr>
              <w:spacing w:after="0" w:line="360" w:lineRule="auto"/>
              <w:rPr>
                <w:rFonts w:asciiTheme="minorHAnsi" w:hAnsiTheme="minorHAnsi" w:cstheme="minorHAnsi"/>
                <w:color w:val="000000"/>
                <w:sz w:val="22"/>
                <w:szCs w:val="22"/>
                <w:lang w:eastAsia="en-IN"/>
              </w:rPr>
            </w:pPr>
            <w:r w:rsidRPr="0080275F">
              <w:rPr>
                <w:rFonts w:asciiTheme="minorHAnsi" w:hAnsiTheme="minorHAnsi" w:cstheme="minorHAnsi"/>
                <w:color w:val="000000"/>
                <w:sz w:val="22"/>
                <w:szCs w:val="22"/>
                <w:lang w:eastAsia="en-IN"/>
              </w:rPr>
              <w:t>IFCI Ltd</w:t>
            </w:r>
          </w:p>
        </w:tc>
        <w:tc>
          <w:tcPr>
            <w:tcW w:w="1194" w:type="pct"/>
            <w:shd w:val="clear" w:color="auto" w:fill="auto"/>
            <w:noWrap/>
            <w:vAlign w:val="center"/>
          </w:tcPr>
          <w:p w:rsidR="0098129A" w:rsidRPr="0080275F" w:rsidRDefault="0098129A" w:rsidP="0098129A">
            <w:pPr>
              <w:spacing w:after="0" w:line="360" w:lineRule="auto"/>
              <w:jc w:val="center"/>
              <w:rPr>
                <w:rFonts w:asciiTheme="minorHAnsi" w:hAnsiTheme="minorHAnsi" w:cstheme="minorHAnsi"/>
                <w:color w:val="000000"/>
                <w:sz w:val="22"/>
                <w:szCs w:val="22"/>
                <w:lang w:eastAsia="en-IN"/>
              </w:rPr>
            </w:pPr>
            <w:r w:rsidRPr="0080275F">
              <w:rPr>
                <w:rFonts w:asciiTheme="minorHAnsi" w:hAnsiTheme="minorHAnsi" w:cstheme="minorHAnsi"/>
                <w:color w:val="000000"/>
                <w:sz w:val="22"/>
                <w:szCs w:val="22"/>
                <w:lang w:eastAsia="en-IN"/>
              </w:rPr>
              <w:t>100</w:t>
            </w:r>
          </w:p>
        </w:tc>
        <w:tc>
          <w:tcPr>
            <w:tcW w:w="1418" w:type="pct"/>
            <w:shd w:val="clear" w:color="auto" w:fill="auto"/>
            <w:noWrap/>
            <w:vAlign w:val="center"/>
          </w:tcPr>
          <w:p w:rsidR="0098129A" w:rsidRPr="0080275F" w:rsidRDefault="0098129A" w:rsidP="0098129A">
            <w:pPr>
              <w:spacing w:after="0" w:line="360" w:lineRule="auto"/>
              <w:jc w:val="center"/>
              <w:rPr>
                <w:rFonts w:asciiTheme="minorHAnsi" w:hAnsiTheme="minorHAnsi" w:cstheme="minorHAnsi"/>
                <w:color w:val="000000"/>
                <w:sz w:val="22"/>
                <w:szCs w:val="22"/>
                <w:lang w:eastAsia="en-IN"/>
              </w:rPr>
            </w:pPr>
            <w:r w:rsidRPr="0080275F">
              <w:rPr>
                <w:rFonts w:asciiTheme="minorHAnsi" w:hAnsiTheme="minorHAnsi" w:cstheme="minorHAnsi"/>
                <w:color w:val="000000"/>
                <w:sz w:val="22"/>
                <w:szCs w:val="22"/>
                <w:lang w:eastAsia="en-IN"/>
              </w:rPr>
              <w:t>38</w:t>
            </w:r>
          </w:p>
        </w:tc>
      </w:tr>
      <w:tr w:rsidR="0098129A" w:rsidRPr="0080275F" w:rsidTr="00D279DD">
        <w:trPr>
          <w:trHeight w:val="300"/>
        </w:trPr>
        <w:tc>
          <w:tcPr>
            <w:tcW w:w="373" w:type="pct"/>
            <w:shd w:val="clear" w:color="auto" w:fill="8EAADB" w:themeFill="accent5" w:themeFillTint="99"/>
            <w:noWrap/>
            <w:vAlign w:val="center"/>
          </w:tcPr>
          <w:p w:rsidR="0098129A" w:rsidRPr="0080275F" w:rsidRDefault="0098129A" w:rsidP="00A0081D">
            <w:pPr>
              <w:pStyle w:val="ListParagraph"/>
              <w:numPr>
                <w:ilvl w:val="0"/>
                <w:numId w:val="11"/>
              </w:numPr>
              <w:spacing w:after="0" w:line="360" w:lineRule="auto"/>
              <w:ind w:hanging="578"/>
              <w:rPr>
                <w:rFonts w:asciiTheme="minorHAnsi" w:hAnsiTheme="minorHAnsi" w:cstheme="minorHAnsi"/>
                <w:b/>
                <w:color w:val="000000"/>
                <w:sz w:val="22"/>
                <w:szCs w:val="22"/>
                <w:lang w:eastAsia="en-IN"/>
              </w:rPr>
            </w:pPr>
          </w:p>
        </w:tc>
        <w:tc>
          <w:tcPr>
            <w:tcW w:w="2015" w:type="pct"/>
            <w:shd w:val="clear" w:color="auto" w:fill="8EAADB" w:themeFill="accent5" w:themeFillTint="99"/>
            <w:noWrap/>
            <w:vAlign w:val="center"/>
          </w:tcPr>
          <w:p w:rsidR="0098129A" w:rsidRPr="0080275F" w:rsidRDefault="0098129A" w:rsidP="0098129A">
            <w:pPr>
              <w:spacing w:after="0" w:line="360" w:lineRule="auto"/>
              <w:jc w:val="center"/>
              <w:rPr>
                <w:rFonts w:asciiTheme="minorHAnsi" w:hAnsiTheme="minorHAnsi" w:cstheme="minorHAnsi"/>
                <w:b/>
                <w:color w:val="000000"/>
                <w:sz w:val="22"/>
                <w:szCs w:val="22"/>
                <w:lang w:eastAsia="en-IN"/>
              </w:rPr>
            </w:pPr>
            <w:r w:rsidRPr="0080275F">
              <w:rPr>
                <w:rFonts w:asciiTheme="minorHAnsi" w:hAnsiTheme="minorHAnsi" w:cstheme="minorHAnsi"/>
                <w:b/>
                <w:color w:val="000000"/>
                <w:sz w:val="22"/>
                <w:szCs w:val="22"/>
                <w:lang w:eastAsia="en-IN"/>
              </w:rPr>
              <w:t>Total</w:t>
            </w:r>
          </w:p>
        </w:tc>
        <w:tc>
          <w:tcPr>
            <w:tcW w:w="1194" w:type="pct"/>
            <w:shd w:val="clear" w:color="auto" w:fill="8EAADB" w:themeFill="accent5" w:themeFillTint="99"/>
            <w:noWrap/>
            <w:vAlign w:val="center"/>
          </w:tcPr>
          <w:p w:rsidR="0098129A" w:rsidRPr="0080275F" w:rsidRDefault="0098129A" w:rsidP="0098129A">
            <w:pPr>
              <w:spacing w:after="0" w:line="360" w:lineRule="auto"/>
              <w:jc w:val="center"/>
              <w:rPr>
                <w:rFonts w:asciiTheme="minorHAnsi" w:hAnsiTheme="minorHAnsi" w:cstheme="minorHAnsi"/>
                <w:b/>
                <w:color w:val="000000"/>
                <w:sz w:val="22"/>
                <w:szCs w:val="22"/>
                <w:lang w:eastAsia="en-IN"/>
              </w:rPr>
            </w:pPr>
            <w:r w:rsidRPr="0080275F">
              <w:rPr>
                <w:rFonts w:asciiTheme="minorHAnsi" w:hAnsiTheme="minorHAnsi" w:cstheme="minorHAnsi"/>
                <w:b/>
                <w:color w:val="000000"/>
                <w:sz w:val="22"/>
                <w:szCs w:val="22"/>
                <w:lang w:eastAsia="en-IN"/>
              </w:rPr>
              <w:t>3,587</w:t>
            </w:r>
          </w:p>
        </w:tc>
        <w:tc>
          <w:tcPr>
            <w:tcW w:w="1418" w:type="pct"/>
            <w:shd w:val="clear" w:color="auto" w:fill="8EAADB" w:themeFill="accent5" w:themeFillTint="99"/>
            <w:noWrap/>
            <w:vAlign w:val="center"/>
          </w:tcPr>
          <w:p w:rsidR="0098129A" w:rsidRPr="0080275F" w:rsidRDefault="0098129A" w:rsidP="0098129A">
            <w:pPr>
              <w:spacing w:after="0" w:line="360" w:lineRule="auto"/>
              <w:jc w:val="center"/>
              <w:rPr>
                <w:rFonts w:asciiTheme="minorHAnsi" w:hAnsiTheme="minorHAnsi" w:cstheme="minorHAnsi"/>
                <w:b/>
                <w:color w:val="000000"/>
                <w:sz w:val="22"/>
                <w:szCs w:val="22"/>
                <w:lang w:eastAsia="en-IN"/>
              </w:rPr>
            </w:pPr>
            <w:r w:rsidRPr="0080275F">
              <w:rPr>
                <w:rFonts w:asciiTheme="minorHAnsi" w:hAnsiTheme="minorHAnsi" w:cstheme="minorHAnsi"/>
                <w:b/>
                <w:color w:val="000000"/>
                <w:sz w:val="22"/>
                <w:szCs w:val="22"/>
                <w:lang w:eastAsia="en-IN"/>
              </w:rPr>
              <w:t>2</w:t>
            </w:r>
            <w:r w:rsidR="0080275F">
              <w:rPr>
                <w:rFonts w:asciiTheme="minorHAnsi" w:hAnsiTheme="minorHAnsi" w:cstheme="minorHAnsi"/>
                <w:b/>
                <w:color w:val="000000"/>
                <w:sz w:val="22"/>
                <w:szCs w:val="22"/>
                <w:lang w:eastAsia="en-IN"/>
              </w:rPr>
              <w:t>,</w:t>
            </w:r>
            <w:r w:rsidRPr="0080275F">
              <w:rPr>
                <w:rFonts w:asciiTheme="minorHAnsi" w:hAnsiTheme="minorHAnsi" w:cstheme="minorHAnsi"/>
                <w:b/>
                <w:color w:val="000000"/>
                <w:sz w:val="22"/>
                <w:szCs w:val="22"/>
                <w:lang w:eastAsia="en-IN"/>
              </w:rPr>
              <w:t>914</w:t>
            </w:r>
          </w:p>
        </w:tc>
      </w:tr>
    </w:tbl>
    <w:p w:rsidR="00D279DD" w:rsidRDefault="00D279DD" w:rsidP="00D279DD">
      <w:pPr>
        <w:tabs>
          <w:tab w:val="left" w:pos="426"/>
        </w:tabs>
        <w:spacing w:after="0" w:line="360" w:lineRule="auto"/>
        <w:ind w:right="-613"/>
        <w:jc w:val="both"/>
        <w:rPr>
          <w:rFonts w:ascii="Arial" w:hAnsi="Arial" w:cs="Arial"/>
          <w:b/>
          <w:sz w:val="22"/>
          <w:szCs w:val="22"/>
        </w:rPr>
      </w:pPr>
    </w:p>
    <w:p w:rsidR="0098129A" w:rsidRDefault="0098129A" w:rsidP="0098129A">
      <w:pPr>
        <w:tabs>
          <w:tab w:val="left" w:pos="426"/>
        </w:tabs>
        <w:spacing w:line="360" w:lineRule="auto"/>
        <w:ind w:right="-613"/>
        <w:jc w:val="both"/>
        <w:rPr>
          <w:rFonts w:ascii="Arial" w:hAnsi="Arial" w:cs="Arial"/>
          <w:b/>
          <w:sz w:val="22"/>
          <w:szCs w:val="22"/>
        </w:rPr>
      </w:pPr>
      <w:r w:rsidRPr="0098129A">
        <w:rPr>
          <w:rFonts w:ascii="Arial" w:hAnsi="Arial" w:cs="Arial"/>
          <w:b/>
          <w:sz w:val="22"/>
          <w:szCs w:val="22"/>
        </w:rPr>
        <w:t>Fund Based Working Capital Limits (Cash Credit/ LC)</w:t>
      </w:r>
      <w:r>
        <w:rPr>
          <w:rFonts w:ascii="Arial" w:hAnsi="Arial" w:cs="Arial"/>
          <w:b/>
          <w:sz w:val="22"/>
          <w:szCs w:val="22"/>
        </w:rPr>
        <w:t>:</w:t>
      </w:r>
    </w:p>
    <w:tbl>
      <w:tblPr>
        <w:tblW w:w="520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828"/>
        <w:gridCol w:w="2268"/>
        <w:gridCol w:w="2694"/>
      </w:tblGrid>
      <w:tr w:rsidR="0098129A" w:rsidRPr="00D279DD" w:rsidTr="00D279DD">
        <w:trPr>
          <w:trHeight w:val="300"/>
        </w:trPr>
        <w:tc>
          <w:tcPr>
            <w:tcW w:w="373" w:type="pct"/>
            <w:shd w:val="clear" w:color="auto" w:fill="002060"/>
            <w:noWrap/>
            <w:vAlign w:val="center"/>
          </w:tcPr>
          <w:p w:rsidR="0098129A" w:rsidRPr="00D279DD" w:rsidRDefault="0098129A" w:rsidP="007064CB">
            <w:pPr>
              <w:spacing w:after="0" w:line="360" w:lineRule="auto"/>
              <w:rPr>
                <w:rFonts w:asciiTheme="minorHAnsi" w:hAnsiTheme="minorHAnsi" w:cstheme="minorHAnsi"/>
                <w:b/>
                <w:color w:val="FFFFFF" w:themeColor="background1"/>
                <w:sz w:val="22"/>
                <w:szCs w:val="22"/>
                <w:lang w:eastAsia="en-IN"/>
              </w:rPr>
            </w:pPr>
            <w:r w:rsidRPr="00D279DD">
              <w:rPr>
                <w:rFonts w:asciiTheme="minorHAnsi" w:hAnsiTheme="minorHAnsi" w:cstheme="minorHAnsi"/>
                <w:b/>
                <w:color w:val="FFFFFF" w:themeColor="background1"/>
                <w:sz w:val="22"/>
                <w:szCs w:val="22"/>
                <w:lang w:eastAsia="en-IN"/>
              </w:rPr>
              <w:t>S.No.</w:t>
            </w:r>
          </w:p>
        </w:tc>
        <w:tc>
          <w:tcPr>
            <w:tcW w:w="2015" w:type="pct"/>
            <w:shd w:val="clear" w:color="auto" w:fill="002060"/>
            <w:noWrap/>
            <w:vAlign w:val="center"/>
          </w:tcPr>
          <w:p w:rsidR="0098129A" w:rsidRPr="00D279DD" w:rsidRDefault="0098129A" w:rsidP="007064CB">
            <w:pPr>
              <w:spacing w:after="0" w:line="360" w:lineRule="auto"/>
              <w:jc w:val="center"/>
              <w:rPr>
                <w:rFonts w:asciiTheme="minorHAnsi" w:hAnsiTheme="minorHAnsi" w:cstheme="minorHAnsi"/>
                <w:b/>
                <w:color w:val="FFFFFF" w:themeColor="background1"/>
                <w:sz w:val="22"/>
                <w:szCs w:val="22"/>
                <w:lang w:eastAsia="en-IN"/>
              </w:rPr>
            </w:pPr>
            <w:r w:rsidRPr="00D279DD">
              <w:rPr>
                <w:rFonts w:asciiTheme="minorHAnsi" w:hAnsiTheme="minorHAnsi" w:cstheme="minorHAnsi"/>
                <w:b/>
                <w:color w:val="FFFFFF" w:themeColor="background1"/>
                <w:sz w:val="22"/>
                <w:szCs w:val="22"/>
                <w:lang w:eastAsia="en-IN"/>
              </w:rPr>
              <w:t>Lenders</w:t>
            </w:r>
          </w:p>
        </w:tc>
        <w:tc>
          <w:tcPr>
            <w:tcW w:w="1194" w:type="pct"/>
            <w:shd w:val="clear" w:color="auto" w:fill="002060"/>
            <w:noWrap/>
            <w:vAlign w:val="center"/>
          </w:tcPr>
          <w:p w:rsidR="0098129A" w:rsidRPr="00D279DD" w:rsidRDefault="0098129A" w:rsidP="007064CB">
            <w:pPr>
              <w:spacing w:after="0" w:line="360" w:lineRule="auto"/>
              <w:jc w:val="center"/>
              <w:rPr>
                <w:rFonts w:asciiTheme="minorHAnsi" w:hAnsiTheme="minorHAnsi" w:cstheme="minorHAnsi"/>
                <w:b/>
                <w:color w:val="FFFFFF" w:themeColor="background1"/>
                <w:sz w:val="22"/>
                <w:szCs w:val="22"/>
                <w:lang w:eastAsia="en-IN"/>
              </w:rPr>
            </w:pPr>
            <w:r w:rsidRPr="00D279DD">
              <w:rPr>
                <w:rFonts w:asciiTheme="minorHAnsi" w:hAnsiTheme="minorHAnsi" w:cstheme="minorHAnsi"/>
                <w:b/>
                <w:color w:val="FFFFFF" w:themeColor="background1"/>
                <w:sz w:val="22"/>
                <w:szCs w:val="22"/>
                <w:lang w:eastAsia="en-IN"/>
              </w:rPr>
              <w:t>Sanctioned</w:t>
            </w:r>
          </w:p>
        </w:tc>
        <w:tc>
          <w:tcPr>
            <w:tcW w:w="1418" w:type="pct"/>
            <w:shd w:val="clear" w:color="auto" w:fill="002060"/>
            <w:noWrap/>
            <w:vAlign w:val="center"/>
          </w:tcPr>
          <w:p w:rsidR="0098129A" w:rsidRPr="00D279DD" w:rsidRDefault="0098129A" w:rsidP="007064CB">
            <w:pPr>
              <w:spacing w:after="0" w:line="360" w:lineRule="auto"/>
              <w:jc w:val="center"/>
              <w:rPr>
                <w:rFonts w:asciiTheme="minorHAnsi" w:hAnsiTheme="minorHAnsi" w:cstheme="minorHAnsi"/>
                <w:b/>
                <w:color w:val="FFFFFF" w:themeColor="background1"/>
                <w:sz w:val="22"/>
                <w:szCs w:val="22"/>
                <w:lang w:eastAsia="en-IN"/>
              </w:rPr>
            </w:pPr>
            <w:r w:rsidRPr="00D279DD">
              <w:rPr>
                <w:rFonts w:asciiTheme="minorHAnsi" w:hAnsiTheme="minorHAnsi" w:cstheme="minorHAnsi"/>
                <w:b/>
                <w:color w:val="FFFFFF" w:themeColor="background1"/>
                <w:sz w:val="22"/>
                <w:szCs w:val="22"/>
                <w:lang w:eastAsia="en-IN"/>
              </w:rPr>
              <w:t>Outstanding</w:t>
            </w:r>
          </w:p>
        </w:tc>
      </w:tr>
      <w:tr w:rsidR="0098129A" w:rsidRPr="00D279DD" w:rsidTr="00D279DD">
        <w:trPr>
          <w:trHeight w:val="300"/>
        </w:trPr>
        <w:tc>
          <w:tcPr>
            <w:tcW w:w="373" w:type="pct"/>
            <w:shd w:val="clear" w:color="auto" w:fill="auto"/>
            <w:noWrap/>
            <w:vAlign w:val="center"/>
          </w:tcPr>
          <w:p w:rsidR="0098129A" w:rsidRPr="00D279DD" w:rsidRDefault="0098129A" w:rsidP="00D279DD">
            <w:pPr>
              <w:pStyle w:val="ListParagraph"/>
              <w:numPr>
                <w:ilvl w:val="0"/>
                <w:numId w:val="12"/>
              </w:numPr>
              <w:spacing w:after="0" w:line="360" w:lineRule="auto"/>
              <w:ind w:left="459"/>
              <w:rPr>
                <w:rFonts w:asciiTheme="minorHAnsi" w:hAnsiTheme="minorHAnsi" w:cstheme="minorHAnsi"/>
                <w:color w:val="000000"/>
                <w:sz w:val="22"/>
                <w:szCs w:val="22"/>
                <w:lang w:eastAsia="en-IN"/>
              </w:rPr>
            </w:pPr>
          </w:p>
        </w:tc>
        <w:tc>
          <w:tcPr>
            <w:tcW w:w="2015" w:type="pct"/>
            <w:shd w:val="clear" w:color="auto" w:fill="auto"/>
            <w:noWrap/>
            <w:vAlign w:val="center"/>
          </w:tcPr>
          <w:p w:rsidR="0098129A" w:rsidRPr="00D279DD" w:rsidRDefault="0098129A" w:rsidP="00D279DD">
            <w:pPr>
              <w:spacing w:after="0" w:line="360" w:lineRule="auto"/>
              <w:rPr>
                <w:rFonts w:asciiTheme="minorHAnsi" w:hAnsiTheme="minorHAnsi" w:cstheme="minorHAnsi"/>
                <w:color w:val="000000"/>
                <w:sz w:val="22"/>
                <w:szCs w:val="22"/>
                <w:lang w:eastAsia="en-IN"/>
              </w:rPr>
            </w:pPr>
            <w:r w:rsidRPr="00D279DD">
              <w:rPr>
                <w:rFonts w:asciiTheme="minorHAnsi" w:hAnsiTheme="minorHAnsi" w:cstheme="minorHAnsi"/>
                <w:color w:val="000000"/>
                <w:sz w:val="22"/>
                <w:szCs w:val="22"/>
                <w:lang w:eastAsia="en-IN"/>
              </w:rPr>
              <w:t>Axis Bank</w:t>
            </w:r>
          </w:p>
        </w:tc>
        <w:tc>
          <w:tcPr>
            <w:tcW w:w="1194" w:type="pct"/>
            <w:shd w:val="clear" w:color="auto" w:fill="auto"/>
            <w:noWrap/>
            <w:vAlign w:val="center"/>
          </w:tcPr>
          <w:p w:rsidR="0098129A" w:rsidRPr="00D279DD" w:rsidRDefault="0098129A" w:rsidP="007064CB">
            <w:pPr>
              <w:spacing w:after="0" w:line="360" w:lineRule="auto"/>
              <w:jc w:val="center"/>
              <w:rPr>
                <w:rFonts w:asciiTheme="minorHAnsi" w:hAnsiTheme="minorHAnsi" w:cstheme="minorHAnsi"/>
                <w:color w:val="000000"/>
                <w:sz w:val="22"/>
                <w:szCs w:val="22"/>
                <w:lang w:eastAsia="en-IN"/>
              </w:rPr>
            </w:pPr>
            <w:r w:rsidRPr="00D279DD">
              <w:rPr>
                <w:rFonts w:asciiTheme="minorHAnsi" w:hAnsiTheme="minorHAnsi" w:cstheme="minorHAnsi"/>
                <w:color w:val="000000"/>
                <w:sz w:val="22"/>
                <w:szCs w:val="22"/>
                <w:lang w:eastAsia="en-IN"/>
              </w:rPr>
              <w:t>115</w:t>
            </w:r>
          </w:p>
        </w:tc>
        <w:tc>
          <w:tcPr>
            <w:tcW w:w="1418" w:type="pct"/>
            <w:shd w:val="clear" w:color="auto" w:fill="auto"/>
            <w:noWrap/>
            <w:vAlign w:val="center"/>
          </w:tcPr>
          <w:p w:rsidR="0098129A" w:rsidRPr="00D279DD" w:rsidRDefault="0098129A" w:rsidP="007064CB">
            <w:pPr>
              <w:spacing w:after="0" w:line="360" w:lineRule="auto"/>
              <w:jc w:val="center"/>
              <w:rPr>
                <w:rFonts w:asciiTheme="minorHAnsi" w:hAnsiTheme="minorHAnsi" w:cstheme="minorHAnsi"/>
                <w:color w:val="000000"/>
                <w:sz w:val="22"/>
                <w:szCs w:val="22"/>
                <w:lang w:eastAsia="en-IN"/>
              </w:rPr>
            </w:pPr>
            <w:r w:rsidRPr="00D279DD">
              <w:rPr>
                <w:rFonts w:asciiTheme="minorHAnsi" w:hAnsiTheme="minorHAnsi" w:cstheme="minorHAnsi"/>
                <w:color w:val="000000"/>
                <w:sz w:val="22"/>
                <w:szCs w:val="22"/>
                <w:lang w:eastAsia="en-IN"/>
              </w:rPr>
              <w:t>108</w:t>
            </w:r>
          </w:p>
        </w:tc>
      </w:tr>
      <w:tr w:rsidR="0098129A" w:rsidRPr="00D279DD" w:rsidTr="00D279DD">
        <w:trPr>
          <w:trHeight w:val="300"/>
        </w:trPr>
        <w:tc>
          <w:tcPr>
            <w:tcW w:w="373" w:type="pct"/>
            <w:shd w:val="clear" w:color="auto" w:fill="auto"/>
            <w:noWrap/>
            <w:vAlign w:val="center"/>
          </w:tcPr>
          <w:p w:rsidR="0098129A" w:rsidRPr="00D279DD" w:rsidRDefault="0098129A" w:rsidP="00A0081D">
            <w:pPr>
              <w:pStyle w:val="ListParagraph"/>
              <w:numPr>
                <w:ilvl w:val="0"/>
                <w:numId w:val="12"/>
              </w:numPr>
              <w:spacing w:after="0" w:line="360" w:lineRule="auto"/>
              <w:ind w:hanging="578"/>
              <w:rPr>
                <w:rFonts w:asciiTheme="minorHAnsi" w:hAnsiTheme="minorHAnsi" w:cstheme="minorHAnsi"/>
                <w:color w:val="000000"/>
                <w:sz w:val="22"/>
                <w:szCs w:val="22"/>
                <w:lang w:eastAsia="en-IN"/>
              </w:rPr>
            </w:pPr>
          </w:p>
        </w:tc>
        <w:tc>
          <w:tcPr>
            <w:tcW w:w="2015" w:type="pct"/>
            <w:shd w:val="clear" w:color="auto" w:fill="auto"/>
            <w:noWrap/>
            <w:vAlign w:val="center"/>
          </w:tcPr>
          <w:p w:rsidR="0098129A" w:rsidRPr="00D279DD" w:rsidRDefault="0098129A" w:rsidP="00D279DD">
            <w:pPr>
              <w:spacing w:after="0" w:line="360" w:lineRule="auto"/>
              <w:rPr>
                <w:rFonts w:asciiTheme="minorHAnsi" w:hAnsiTheme="minorHAnsi" w:cstheme="minorHAnsi"/>
                <w:color w:val="000000"/>
                <w:sz w:val="22"/>
                <w:szCs w:val="22"/>
                <w:lang w:eastAsia="en-IN"/>
              </w:rPr>
            </w:pPr>
            <w:r w:rsidRPr="00D279DD">
              <w:rPr>
                <w:rFonts w:asciiTheme="minorHAnsi" w:hAnsiTheme="minorHAnsi" w:cstheme="minorHAnsi"/>
                <w:color w:val="000000"/>
                <w:sz w:val="22"/>
                <w:szCs w:val="22"/>
                <w:lang w:eastAsia="en-IN"/>
              </w:rPr>
              <w:t xml:space="preserve">Union Bank of </w:t>
            </w:r>
            <w:r w:rsidR="00D279DD" w:rsidRPr="00D279DD">
              <w:rPr>
                <w:rFonts w:asciiTheme="minorHAnsi" w:hAnsiTheme="minorHAnsi" w:cstheme="minorHAnsi"/>
                <w:color w:val="000000"/>
                <w:sz w:val="22"/>
                <w:szCs w:val="22"/>
                <w:lang w:eastAsia="en-IN"/>
              </w:rPr>
              <w:t xml:space="preserve">India </w:t>
            </w:r>
            <w:r w:rsidR="00D279DD">
              <w:rPr>
                <w:rFonts w:asciiTheme="minorHAnsi" w:hAnsiTheme="minorHAnsi" w:cstheme="minorHAnsi"/>
                <w:color w:val="000000"/>
                <w:sz w:val="22"/>
                <w:szCs w:val="22"/>
                <w:lang w:eastAsia="en-IN"/>
              </w:rPr>
              <w:t>(</w:t>
            </w:r>
            <w:r w:rsidRPr="00D279DD">
              <w:rPr>
                <w:rFonts w:asciiTheme="minorHAnsi" w:hAnsiTheme="minorHAnsi" w:cstheme="minorHAnsi"/>
                <w:color w:val="000000"/>
                <w:sz w:val="22"/>
                <w:szCs w:val="22"/>
                <w:lang w:eastAsia="en-IN"/>
              </w:rPr>
              <w:t>Erstwhile Corporation Bank. &amp; Andhra Bank)</w:t>
            </w:r>
          </w:p>
        </w:tc>
        <w:tc>
          <w:tcPr>
            <w:tcW w:w="1194" w:type="pct"/>
            <w:shd w:val="clear" w:color="auto" w:fill="auto"/>
            <w:noWrap/>
            <w:vAlign w:val="center"/>
          </w:tcPr>
          <w:p w:rsidR="0098129A" w:rsidRPr="00D279DD" w:rsidRDefault="0098129A" w:rsidP="007064CB">
            <w:pPr>
              <w:spacing w:after="0" w:line="360" w:lineRule="auto"/>
              <w:jc w:val="center"/>
              <w:rPr>
                <w:rFonts w:asciiTheme="minorHAnsi" w:hAnsiTheme="minorHAnsi" w:cstheme="minorHAnsi"/>
                <w:color w:val="000000"/>
                <w:sz w:val="22"/>
                <w:szCs w:val="22"/>
                <w:lang w:eastAsia="en-IN"/>
              </w:rPr>
            </w:pPr>
            <w:r w:rsidRPr="00D279DD">
              <w:rPr>
                <w:rFonts w:asciiTheme="minorHAnsi" w:hAnsiTheme="minorHAnsi" w:cstheme="minorHAnsi"/>
                <w:color w:val="000000"/>
                <w:sz w:val="22"/>
                <w:szCs w:val="22"/>
                <w:lang w:eastAsia="en-IN"/>
              </w:rPr>
              <w:t>121</w:t>
            </w:r>
          </w:p>
        </w:tc>
        <w:tc>
          <w:tcPr>
            <w:tcW w:w="1418" w:type="pct"/>
            <w:shd w:val="clear" w:color="auto" w:fill="auto"/>
            <w:noWrap/>
            <w:vAlign w:val="center"/>
          </w:tcPr>
          <w:p w:rsidR="0098129A" w:rsidRPr="00D279DD" w:rsidRDefault="0098129A" w:rsidP="007064CB">
            <w:pPr>
              <w:spacing w:after="0" w:line="360" w:lineRule="auto"/>
              <w:jc w:val="center"/>
              <w:rPr>
                <w:rFonts w:asciiTheme="minorHAnsi" w:hAnsiTheme="minorHAnsi" w:cstheme="minorHAnsi"/>
                <w:color w:val="000000"/>
                <w:sz w:val="22"/>
                <w:szCs w:val="22"/>
                <w:lang w:eastAsia="en-IN"/>
              </w:rPr>
            </w:pPr>
            <w:r w:rsidRPr="00D279DD">
              <w:rPr>
                <w:rFonts w:asciiTheme="minorHAnsi" w:hAnsiTheme="minorHAnsi" w:cstheme="minorHAnsi"/>
                <w:color w:val="000000"/>
                <w:sz w:val="22"/>
                <w:szCs w:val="22"/>
                <w:lang w:eastAsia="en-IN"/>
              </w:rPr>
              <w:t>122</w:t>
            </w:r>
          </w:p>
        </w:tc>
      </w:tr>
      <w:tr w:rsidR="0098129A" w:rsidRPr="00D279DD" w:rsidTr="00D279DD">
        <w:trPr>
          <w:trHeight w:val="300"/>
        </w:trPr>
        <w:tc>
          <w:tcPr>
            <w:tcW w:w="373" w:type="pct"/>
            <w:shd w:val="clear" w:color="auto" w:fill="auto"/>
            <w:noWrap/>
            <w:vAlign w:val="center"/>
          </w:tcPr>
          <w:p w:rsidR="0098129A" w:rsidRPr="00D279DD" w:rsidRDefault="0098129A" w:rsidP="00A0081D">
            <w:pPr>
              <w:pStyle w:val="ListParagraph"/>
              <w:numPr>
                <w:ilvl w:val="0"/>
                <w:numId w:val="12"/>
              </w:numPr>
              <w:spacing w:after="0" w:line="360" w:lineRule="auto"/>
              <w:ind w:hanging="578"/>
              <w:rPr>
                <w:rFonts w:asciiTheme="minorHAnsi" w:hAnsiTheme="minorHAnsi" w:cstheme="minorHAnsi"/>
                <w:color w:val="000000"/>
                <w:sz w:val="22"/>
                <w:szCs w:val="22"/>
                <w:lang w:eastAsia="en-IN"/>
              </w:rPr>
            </w:pPr>
          </w:p>
        </w:tc>
        <w:tc>
          <w:tcPr>
            <w:tcW w:w="2015" w:type="pct"/>
            <w:shd w:val="clear" w:color="auto" w:fill="auto"/>
            <w:noWrap/>
            <w:vAlign w:val="center"/>
          </w:tcPr>
          <w:p w:rsidR="0098129A" w:rsidRPr="00D279DD" w:rsidRDefault="0098129A" w:rsidP="00D279DD">
            <w:pPr>
              <w:spacing w:after="0" w:line="360" w:lineRule="auto"/>
              <w:rPr>
                <w:rFonts w:asciiTheme="minorHAnsi" w:hAnsiTheme="minorHAnsi" w:cstheme="minorHAnsi"/>
                <w:color w:val="000000"/>
                <w:sz w:val="22"/>
                <w:szCs w:val="22"/>
                <w:lang w:eastAsia="en-IN"/>
              </w:rPr>
            </w:pPr>
            <w:r w:rsidRPr="00D279DD">
              <w:rPr>
                <w:rFonts w:asciiTheme="minorHAnsi" w:hAnsiTheme="minorHAnsi" w:cstheme="minorHAnsi"/>
                <w:color w:val="000000"/>
                <w:sz w:val="22"/>
                <w:szCs w:val="22"/>
                <w:lang w:eastAsia="en-IN"/>
              </w:rPr>
              <w:t>UCO Bank</w:t>
            </w:r>
          </w:p>
        </w:tc>
        <w:tc>
          <w:tcPr>
            <w:tcW w:w="1194" w:type="pct"/>
            <w:shd w:val="clear" w:color="auto" w:fill="auto"/>
            <w:noWrap/>
            <w:vAlign w:val="center"/>
          </w:tcPr>
          <w:p w:rsidR="0098129A" w:rsidRPr="00D279DD" w:rsidRDefault="0098129A" w:rsidP="007064CB">
            <w:pPr>
              <w:spacing w:after="0" w:line="360" w:lineRule="auto"/>
              <w:jc w:val="center"/>
              <w:rPr>
                <w:rFonts w:asciiTheme="minorHAnsi" w:hAnsiTheme="minorHAnsi" w:cstheme="minorHAnsi"/>
                <w:color w:val="000000"/>
                <w:sz w:val="22"/>
                <w:szCs w:val="22"/>
                <w:lang w:eastAsia="en-IN"/>
              </w:rPr>
            </w:pPr>
            <w:r w:rsidRPr="00D279DD">
              <w:rPr>
                <w:rFonts w:asciiTheme="minorHAnsi" w:hAnsiTheme="minorHAnsi" w:cstheme="minorHAnsi"/>
                <w:color w:val="000000"/>
                <w:sz w:val="22"/>
                <w:szCs w:val="22"/>
                <w:lang w:eastAsia="en-IN"/>
              </w:rPr>
              <w:t>35</w:t>
            </w:r>
          </w:p>
        </w:tc>
        <w:tc>
          <w:tcPr>
            <w:tcW w:w="1418" w:type="pct"/>
            <w:shd w:val="clear" w:color="auto" w:fill="auto"/>
            <w:noWrap/>
            <w:vAlign w:val="center"/>
          </w:tcPr>
          <w:p w:rsidR="0098129A" w:rsidRPr="00D279DD" w:rsidRDefault="0098129A" w:rsidP="007064CB">
            <w:pPr>
              <w:spacing w:after="0" w:line="360" w:lineRule="auto"/>
              <w:jc w:val="center"/>
              <w:rPr>
                <w:rFonts w:asciiTheme="minorHAnsi" w:hAnsiTheme="minorHAnsi" w:cstheme="minorHAnsi"/>
                <w:color w:val="000000"/>
                <w:sz w:val="22"/>
                <w:szCs w:val="22"/>
                <w:lang w:eastAsia="en-IN"/>
              </w:rPr>
            </w:pPr>
            <w:r w:rsidRPr="00D279DD">
              <w:rPr>
                <w:rFonts w:asciiTheme="minorHAnsi" w:hAnsiTheme="minorHAnsi" w:cstheme="minorHAnsi"/>
                <w:color w:val="000000"/>
                <w:sz w:val="22"/>
                <w:szCs w:val="22"/>
                <w:lang w:eastAsia="en-IN"/>
              </w:rPr>
              <w:t>35</w:t>
            </w:r>
          </w:p>
        </w:tc>
      </w:tr>
      <w:tr w:rsidR="0098129A" w:rsidRPr="00D279DD" w:rsidTr="00D279DD">
        <w:trPr>
          <w:trHeight w:val="300"/>
        </w:trPr>
        <w:tc>
          <w:tcPr>
            <w:tcW w:w="373" w:type="pct"/>
            <w:shd w:val="clear" w:color="auto" w:fill="auto"/>
            <w:noWrap/>
            <w:vAlign w:val="center"/>
          </w:tcPr>
          <w:p w:rsidR="0098129A" w:rsidRPr="00D279DD" w:rsidRDefault="0098129A" w:rsidP="00A0081D">
            <w:pPr>
              <w:pStyle w:val="ListParagraph"/>
              <w:numPr>
                <w:ilvl w:val="0"/>
                <w:numId w:val="12"/>
              </w:numPr>
              <w:spacing w:after="0" w:line="360" w:lineRule="auto"/>
              <w:ind w:hanging="578"/>
              <w:rPr>
                <w:rFonts w:asciiTheme="minorHAnsi" w:hAnsiTheme="minorHAnsi" w:cstheme="minorHAnsi"/>
                <w:color w:val="000000"/>
                <w:sz w:val="22"/>
                <w:szCs w:val="22"/>
                <w:lang w:eastAsia="en-IN"/>
              </w:rPr>
            </w:pPr>
          </w:p>
        </w:tc>
        <w:tc>
          <w:tcPr>
            <w:tcW w:w="2015" w:type="pct"/>
            <w:shd w:val="clear" w:color="auto" w:fill="auto"/>
            <w:noWrap/>
            <w:vAlign w:val="center"/>
          </w:tcPr>
          <w:p w:rsidR="0098129A" w:rsidRPr="00D279DD" w:rsidRDefault="0098129A" w:rsidP="00D279DD">
            <w:pPr>
              <w:spacing w:after="0" w:line="360" w:lineRule="auto"/>
              <w:rPr>
                <w:rFonts w:asciiTheme="minorHAnsi" w:hAnsiTheme="minorHAnsi" w:cstheme="minorHAnsi"/>
                <w:color w:val="000000"/>
                <w:sz w:val="22"/>
                <w:szCs w:val="22"/>
                <w:lang w:eastAsia="en-IN"/>
              </w:rPr>
            </w:pPr>
            <w:r w:rsidRPr="00D279DD">
              <w:rPr>
                <w:rFonts w:asciiTheme="minorHAnsi" w:hAnsiTheme="minorHAnsi" w:cstheme="minorHAnsi"/>
                <w:color w:val="000000"/>
                <w:sz w:val="22"/>
                <w:szCs w:val="22"/>
                <w:lang w:eastAsia="en-IN"/>
              </w:rPr>
              <w:t>Bank of Baroda</w:t>
            </w:r>
          </w:p>
        </w:tc>
        <w:tc>
          <w:tcPr>
            <w:tcW w:w="1194" w:type="pct"/>
            <w:shd w:val="clear" w:color="auto" w:fill="auto"/>
            <w:noWrap/>
            <w:vAlign w:val="center"/>
          </w:tcPr>
          <w:p w:rsidR="0098129A" w:rsidRPr="00D279DD" w:rsidRDefault="0098129A" w:rsidP="007064CB">
            <w:pPr>
              <w:spacing w:after="0" w:line="360" w:lineRule="auto"/>
              <w:jc w:val="center"/>
              <w:rPr>
                <w:rFonts w:asciiTheme="minorHAnsi" w:hAnsiTheme="minorHAnsi" w:cstheme="minorHAnsi"/>
                <w:color w:val="000000"/>
                <w:sz w:val="22"/>
                <w:szCs w:val="22"/>
                <w:lang w:eastAsia="en-IN"/>
              </w:rPr>
            </w:pPr>
            <w:r w:rsidRPr="00D279DD">
              <w:rPr>
                <w:rFonts w:asciiTheme="minorHAnsi" w:hAnsiTheme="minorHAnsi" w:cstheme="minorHAnsi"/>
                <w:color w:val="000000"/>
                <w:sz w:val="22"/>
                <w:szCs w:val="22"/>
                <w:lang w:eastAsia="en-IN"/>
              </w:rPr>
              <w:t>54</w:t>
            </w:r>
          </w:p>
        </w:tc>
        <w:tc>
          <w:tcPr>
            <w:tcW w:w="1418" w:type="pct"/>
            <w:shd w:val="clear" w:color="auto" w:fill="auto"/>
            <w:noWrap/>
            <w:vAlign w:val="center"/>
          </w:tcPr>
          <w:p w:rsidR="0098129A" w:rsidRPr="00D279DD" w:rsidRDefault="0098129A" w:rsidP="007064CB">
            <w:pPr>
              <w:spacing w:after="0" w:line="360" w:lineRule="auto"/>
              <w:jc w:val="center"/>
              <w:rPr>
                <w:rFonts w:asciiTheme="minorHAnsi" w:hAnsiTheme="minorHAnsi" w:cstheme="minorHAnsi"/>
                <w:color w:val="000000"/>
                <w:sz w:val="22"/>
                <w:szCs w:val="22"/>
                <w:lang w:eastAsia="en-IN"/>
              </w:rPr>
            </w:pPr>
            <w:r w:rsidRPr="00D279DD">
              <w:rPr>
                <w:rFonts w:asciiTheme="minorHAnsi" w:hAnsiTheme="minorHAnsi" w:cstheme="minorHAnsi"/>
                <w:color w:val="000000"/>
                <w:sz w:val="22"/>
                <w:szCs w:val="22"/>
                <w:lang w:eastAsia="en-IN"/>
              </w:rPr>
              <w:t>55</w:t>
            </w:r>
          </w:p>
        </w:tc>
      </w:tr>
      <w:tr w:rsidR="0098129A" w:rsidRPr="00D279DD" w:rsidTr="00D279DD">
        <w:trPr>
          <w:trHeight w:val="300"/>
        </w:trPr>
        <w:tc>
          <w:tcPr>
            <w:tcW w:w="373" w:type="pct"/>
            <w:shd w:val="clear" w:color="auto" w:fill="8EAADB" w:themeFill="accent5" w:themeFillTint="99"/>
            <w:noWrap/>
            <w:vAlign w:val="center"/>
          </w:tcPr>
          <w:p w:rsidR="0098129A" w:rsidRPr="00D279DD" w:rsidRDefault="0098129A" w:rsidP="00A0081D">
            <w:pPr>
              <w:pStyle w:val="ListParagraph"/>
              <w:numPr>
                <w:ilvl w:val="0"/>
                <w:numId w:val="12"/>
              </w:numPr>
              <w:spacing w:after="0" w:line="360" w:lineRule="auto"/>
              <w:ind w:hanging="578"/>
              <w:rPr>
                <w:rFonts w:asciiTheme="minorHAnsi" w:hAnsiTheme="minorHAnsi" w:cstheme="minorHAnsi"/>
                <w:b/>
                <w:color w:val="000000"/>
                <w:sz w:val="22"/>
                <w:szCs w:val="22"/>
                <w:lang w:eastAsia="en-IN"/>
              </w:rPr>
            </w:pPr>
          </w:p>
        </w:tc>
        <w:tc>
          <w:tcPr>
            <w:tcW w:w="2015" w:type="pct"/>
            <w:shd w:val="clear" w:color="auto" w:fill="8EAADB" w:themeFill="accent5" w:themeFillTint="99"/>
            <w:noWrap/>
            <w:vAlign w:val="center"/>
          </w:tcPr>
          <w:p w:rsidR="0098129A" w:rsidRPr="00D279DD" w:rsidRDefault="0098129A" w:rsidP="007064CB">
            <w:pPr>
              <w:spacing w:after="0" w:line="360" w:lineRule="auto"/>
              <w:jc w:val="center"/>
              <w:rPr>
                <w:rFonts w:asciiTheme="minorHAnsi" w:hAnsiTheme="minorHAnsi" w:cstheme="minorHAnsi"/>
                <w:b/>
                <w:color w:val="000000"/>
                <w:sz w:val="22"/>
                <w:szCs w:val="22"/>
                <w:lang w:eastAsia="en-IN"/>
              </w:rPr>
            </w:pPr>
            <w:r w:rsidRPr="00D279DD">
              <w:rPr>
                <w:rFonts w:asciiTheme="minorHAnsi" w:hAnsiTheme="minorHAnsi" w:cstheme="minorHAnsi"/>
                <w:b/>
                <w:color w:val="000000"/>
                <w:sz w:val="22"/>
                <w:szCs w:val="22"/>
                <w:lang w:eastAsia="en-IN"/>
              </w:rPr>
              <w:t>Total</w:t>
            </w:r>
          </w:p>
        </w:tc>
        <w:tc>
          <w:tcPr>
            <w:tcW w:w="1194" w:type="pct"/>
            <w:shd w:val="clear" w:color="auto" w:fill="8EAADB" w:themeFill="accent5" w:themeFillTint="99"/>
            <w:noWrap/>
            <w:vAlign w:val="center"/>
          </w:tcPr>
          <w:p w:rsidR="0098129A" w:rsidRPr="00D279DD" w:rsidRDefault="0098129A" w:rsidP="007064CB">
            <w:pPr>
              <w:spacing w:after="0" w:line="360" w:lineRule="auto"/>
              <w:jc w:val="center"/>
              <w:rPr>
                <w:rFonts w:asciiTheme="minorHAnsi" w:hAnsiTheme="minorHAnsi" w:cstheme="minorHAnsi"/>
                <w:b/>
                <w:color w:val="000000"/>
                <w:sz w:val="22"/>
                <w:szCs w:val="22"/>
                <w:lang w:eastAsia="en-IN"/>
              </w:rPr>
            </w:pPr>
            <w:r w:rsidRPr="00D279DD">
              <w:rPr>
                <w:rFonts w:asciiTheme="minorHAnsi" w:hAnsiTheme="minorHAnsi" w:cstheme="minorHAnsi"/>
                <w:b/>
                <w:color w:val="000000"/>
                <w:sz w:val="22"/>
                <w:szCs w:val="22"/>
                <w:lang w:eastAsia="en-IN"/>
              </w:rPr>
              <w:t>325</w:t>
            </w:r>
          </w:p>
        </w:tc>
        <w:tc>
          <w:tcPr>
            <w:tcW w:w="1418" w:type="pct"/>
            <w:shd w:val="clear" w:color="auto" w:fill="8EAADB" w:themeFill="accent5" w:themeFillTint="99"/>
            <w:noWrap/>
            <w:vAlign w:val="center"/>
          </w:tcPr>
          <w:p w:rsidR="0098129A" w:rsidRPr="00D279DD" w:rsidRDefault="0098129A" w:rsidP="007064CB">
            <w:pPr>
              <w:spacing w:after="0" w:line="360" w:lineRule="auto"/>
              <w:jc w:val="center"/>
              <w:rPr>
                <w:rFonts w:asciiTheme="minorHAnsi" w:hAnsiTheme="minorHAnsi" w:cstheme="minorHAnsi"/>
                <w:b/>
                <w:color w:val="000000"/>
                <w:sz w:val="22"/>
                <w:szCs w:val="22"/>
                <w:lang w:eastAsia="en-IN"/>
              </w:rPr>
            </w:pPr>
            <w:r w:rsidRPr="00D279DD">
              <w:rPr>
                <w:rFonts w:asciiTheme="minorHAnsi" w:hAnsiTheme="minorHAnsi" w:cstheme="minorHAnsi"/>
                <w:b/>
                <w:color w:val="000000"/>
                <w:sz w:val="22"/>
                <w:szCs w:val="22"/>
                <w:lang w:eastAsia="en-IN"/>
              </w:rPr>
              <w:t>320</w:t>
            </w:r>
          </w:p>
        </w:tc>
      </w:tr>
    </w:tbl>
    <w:p w:rsidR="0098129A" w:rsidRDefault="0098129A" w:rsidP="00D279DD">
      <w:pPr>
        <w:tabs>
          <w:tab w:val="left" w:pos="426"/>
        </w:tabs>
        <w:spacing w:after="0" w:line="360" w:lineRule="auto"/>
        <w:ind w:right="-613"/>
        <w:jc w:val="both"/>
        <w:rPr>
          <w:rFonts w:ascii="Arial" w:hAnsi="Arial" w:cs="Arial"/>
          <w:b/>
          <w:sz w:val="22"/>
          <w:szCs w:val="22"/>
        </w:rPr>
      </w:pPr>
    </w:p>
    <w:p w:rsidR="0098129A" w:rsidRDefault="0098129A" w:rsidP="0098129A">
      <w:pPr>
        <w:tabs>
          <w:tab w:val="left" w:pos="426"/>
        </w:tabs>
        <w:spacing w:line="360" w:lineRule="auto"/>
        <w:ind w:right="-613"/>
        <w:jc w:val="both"/>
        <w:rPr>
          <w:rFonts w:ascii="Arial" w:hAnsi="Arial" w:cs="Arial"/>
          <w:b/>
          <w:sz w:val="22"/>
          <w:szCs w:val="22"/>
        </w:rPr>
      </w:pPr>
      <w:r w:rsidRPr="0098129A">
        <w:rPr>
          <w:rFonts w:ascii="Arial" w:hAnsi="Arial" w:cs="Arial"/>
          <w:b/>
          <w:sz w:val="22"/>
          <w:szCs w:val="22"/>
        </w:rPr>
        <w:t>Non-Fund Based Working Capital Limits (Bank Guarantee)</w:t>
      </w:r>
      <w:r>
        <w:rPr>
          <w:rFonts w:ascii="Arial" w:hAnsi="Arial" w:cs="Arial"/>
          <w:b/>
          <w:sz w:val="22"/>
          <w:szCs w:val="22"/>
        </w:rPr>
        <w:t>:</w:t>
      </w:r>
    </w:p>
    <w:tbl>
      <w:tblPr>
        <w:tblW w:w="520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828"/>
        <w:gridCol w:w="2268"/>
        <w:gridCol w:w="2694"/>
      </w:tblGrid>
      <w:tr w:rsidR="0098129A" w:rsidRPr="00D279DD" w:rsidTr="00D279DD">
        <w:trPr>
          <w:trHeight w:val="300"/>
        </w:trPr>
        <w:tc>
          <w:tcPr>
            <w:tcW w:w="373" w:type="pct"/>
            <w:shd w:val="clear" w:color="auto" w:fill="002060"/>
            <w:noWrap/>
            <w:vAlign w:val="center"/>
          </w:tcPr>
          <w:p w:rsidR="0098129A" w:rsidRPr="00D279DD" w:rsidRDefault="0098129A" w:rsidP="007064CB">
            <w:pPr>
              <w:spacing w:after="0" w:line="360" w:lineRule="auto"/>
              <w:rPr>
                <w:rFonts w:ascii="Calibri" w:hAnsi="Calibri" w:cs="Calibri"/>
                <w:b/>
                <w:color w:val="FFFFFF" w:themeColor="background1"/>
                <w:sz w:val="22"/>
                <w:szCs w:val="22"/>
                <w:lang w:eastAsia="en-IN"/>
              </w:rPr>
            </w:pPr>
            <w:r w:rsidRPr="00D279DD">
              <w:rPr>
                <w:rFonts w:ascii="Calibri" w:hAnsi="Calibri" w:cs="Calibri"/>
                <w:b/>
                <w:color w:val="FFFFFF" w:themeColor="background1"/>
                <w:sz w:val="22"/>
                <w:szCs w:val="22"/>
                <w:lang w:eastAsia="en-IN"/>
              </w:rPr>
              <w:t>S.No.</w:t>
            </w:r>
          </w:p>
        </w:tc>
        <w:tc>
          <w:tcPr>
            <w:tcW w:w="2015" w:type="pct"/>
            <w:shd w:val="clear" w:color="auto" w:fill="002060"/>
            <w:noWrap/>
            <w:vAlign w:val="center"/>
          </w:tcPr>
          <w:p w:rsidR="0098129A" w:rsidRPr="00D279DD" w:rsidRDefault="0098129A" w:rsidP="007064CB">
            <w:pPr>
              <w:spacing w:after="0" w:line="360" w:lineRule="auto"/>
              <w:jc w:val="center"/>
              <w:rPr>
                <w:rFonts w:ascii="Calibri" w:hAnsi="Calibri" w:cs="Calibri"/>
                <w:b/>
                <w:color w:val="FFFFFF" w:themeColor="background1"/>
                <w:sz w:val="22"/>
                <w:szCs w:val="22"/>
                <w:lang w:eastAsia="en-IN"/>
              </w:rPr>
            </w:pPr>
            <w:r w:rsidRPr="00D279DD">
              <w:rPr>
                <w:rFonts w:ascii="Calibri" w:hAnsi="Calibri" w:cs="Calibri"/>
                <w:b/>
                <w:color w:val="FFFFFF" w:themeColor="background1"/>
                <w:sz w:val="22"/>
                <w:szCs w:val="22"/>
                <w:lang w:eastAsia="en-IN"/>
              </w:rPr>
              <w:t>Lenders</w:t>
            </w:r>
          </w:p>
        </w:tc>
        <w:tc>
          <w:tcPr>
            <w:tcW w:w="1194" w:type="pct"/>
            <w:shd w:val="clear" w:color="auto" w:fill="002060"/>
            <w:noWrap/>
            <w:vAlign w:val="center"/>
          </w:tcPr>
          <w:p w:rsidR="0098129A" w:rsidRPr="00D279DD" w:rsidRDefault="0098129A" w:rsidP="007064CB">
            <w:pPr>
              <w:spacing w:after="0" w:line="360" w:lineRule="auto"/>
              <w:jc w:val="center"/>
              <w:rPr>
                <w:rFonts w:ascii="Calibri" w:hAnsi="Calibri" w:cs="Calibri"/>
                <w:b/>
                <w:color w:val="FFFFFF" w:themeColor="background1"/>
                <w:sz w:val="22"/>
                <w:szCs w:val="22"/>
                <w:lang w:eastAsia="en-IN"/>
              </w:rPr>
            </w:pPr>
            <w:r w:rsidRPr="00D279DD">
              <w:rPr>
                <w:rFonts w:ascii="Calibri" w:hAnsi="Calibri" w:cs="Calibri"/>
                <w:b/>
                <w:color w:val="FFFFFF" w:themeColor="background1"/>
                <w:sz w:val="22"/>
                <w:szCs w:val="22"/>
                <w:lang w:eastAsia="en-IN"/>
              </w:rPr>
              <w:t>Sanctioned</w:t>
            </w:r>
          </w:p>
        </w:tc>
        <w:tc>
          <w:tcPr>
            <w:tcW w:w="1418" w:type="pct"/>
            <w:shd w:val="clear" w:color="auto" w:fill="002060"/>
            <w:noWrap/>
            <w:vAlign w:val="center"/>
          </w:tcPr>
          <w:p w:rsidR="0098129A" w:rsidRPr="00D279DD" w:rsidRDefault="0098129A" w:rsidP="007064CB">
            <w:pPr>
              <w:spacing w:after="0" w:line="360" w:lineRule="auto"/>
              <w:jc w:val="center"/>
              <w:rPr>
                <w:rFonts w:ascii="Calibri" w:hAnsi="Calibri" w:cs="Calibri"/>
                <w:b/>
                <w:color w:val="FFFFFF" w:themeColor="background1"/>
                <w:sz w:val="22"/>
                <w:szCs w:val="22"/>
                <w:lang w:eastAsia="en-IN"/>
              </w:rPr>
            </w:pPr>
            <w:r w:rsidRPr="00D279DD">
              <w:rPr>
                <w:rFonts w:ascii="Calibri" w:hAnsi="Calibri" w:cs="Calibri"/>
                <w:b/>
                <w:color w:val="FFFFFF" w:themeColor="background1"/>
                <w:sz w:val="22"/>
                <w:szCs w:val="22"/>
                <w:lang w:eastAsia="en-IN"/>
              </w:rPr>
              <w:t>Outstanding</w:t>
            </w:r>
          </w:p>
        </w:tc>
      </w:tr>
      <w:tr w:rsidR="0098129A" w:rsidRPr="00D279DD" w:rsidTr="00D279DD">
        <w:trPr>
          <w:trHeight w:val="300"/>
        </w:trPr>
        <w:tc>
          <w:tcPr>
            <w:tcW w:w="373" w:type="pct"/>
            <w:shd w:val="clear" w:color="auto" w:fill="auto"/>
            <w:noWrap/>
            <w:vAlign w:val="center"/>
          </w:tcPr>
          <w:p w:rsidR="0098129A" w:rsidRPr="00D279DD" w:rsidRDefault="0098129A" w:rsidP="00D279DD">
            <w:pPr>
              <w:pStyle w:val="ListParagraph"/>
              <w:numPr>
                <w:ilvl w:val="0"/>
                <w:numId w:val="13"/>
              </w:numPr>
              <w:spacing w:after="0" w:line="360" w:lineRule="auto"/>
              <w:ind w:left="459"/>
              <w:rPr>
                <w:rFonts w:ascii="Calibri" w:hAnsi="Calibri" w:cs="Calibri"/>
                <w:color w:val="000000"/>
                <w:sz w:val="22"/>
                <w:szCs w:val="22"/>
                <w:lang w:eastAsia="en-IN"/>
              </w:rPr>
            </w:pPr>
          </w:p>
        </w:tc>
        <w:tc>
          <w:tcPr>
            <w:tcW w:w="2015" w:type="pct"/>
            <w:shd w:val="clear" w:color="auto" w:fill="auto"/>
            <w:noWrap/>
            <w:vAlign w:val="center"/>
          </w:tcPr>
          <w:p w:rsidR="0098129A" w:rsidRPr="00D279DD" w:rsidRDefault="0098129A" w:rsidP="00D279DD">
            <w:pPr>
              <w:spacing w:after="0" w:line="360" w:lineRule="auto"/>
              <w:rPr>
                <w:rFonts w:ascii="Calibri" w:hAnsi="Calibri" w:cs="Calibri"/>
                <w:color w:val="000000"/>
                <w:sz w:val="22"/>
                <w:szCs w:val="22"/>
                <w:lang w:eastAsia="en-IN"/>
              </w:rPr>
            </w:pPr>
            <w:r w:rsidRPr="00D279DD">
              <w:rPr>
                <w:rFonts w:ascii="Calibri" w:hAnsi="Calibri" w:cs="Calibri"/>
                <w:color w:val="000000"/>
                <w:sz w:val="22"/>
                <w:szCs w:val="22"/>
                <w:lang w:eastAsia="en-IN"/>
              </w:rPr>
              <w:t>Axis Bank</w:t>
            </w:r>
          </w:p>
        </w:tc>
        <w:tc>
          <w:tcPr>
            <w:tcW w:w="1194" w:type="pct"/>
            <w:shd w:val="clear" w:color="auto" w:fill="auto"/>
            <w:noWrap/>
            <w:vAlign w:val="center"/>
          </w:tcPr>
          <w:p w:rsidR="0098129A" w:rsidRPr="00D279DD" w:rsidRDefault="0098129A" w:rsidP="007064CB">
            <w:pPr>
              <w:spacing w:after="0" w:line="360" w:lineRule="auto"/>
              <w:jc w:val="center"/>
              <w:rPr>
                <w:rFonts w:ascii="Calibri" w:hAnsi="Calibri" w:cs="Calibri"/>
                <w:color w:val="000000"/>
                <w:sz w:val="22"/>
                <w:szCs w:val="22"/>
                <w:lang w:eastAsia="en-IN"/>
              </w:rPr>
            </w:pPr>
            <w:r w:rsidRPr="00D279DD">
              <w:rPr>
                <w:rFonts w:ascii="Calibri" w:hAnsi="Calibri" w:cs="Calibri"/>
                <w:color w:val="000000"/>
                <w:sz w:val="22"/>
                <w:szCs w:val="22"/>
                <w:lang w:eastAsia="en-IN"/>
              </w:rPr>
              <w:t>100</w:t>
            </w:r>
          </w:p>
        </w:tc>
        <w:tc>
          <w:tcPr>
            <w:tcW w:w="1418" w:type="pct"/>
            <w:shd w:val="clear" w:color="auto" w:fill="auto"/>
            <w:noWrap/>
            <w:vAlign w:val="center"/>
          </w:tcPr>
          <w:p w:rsidR="0098129A" w:rsidRPr="00D279DD" w:rsidRDefault="0098129A" w:rsidP="007064CB">
            <w:pPr>
              <w:spacing w:after="0" w:line="360" w:lineRule="auto"/>
              <w:jc w:val="center"/>
              <w:rPr>
                <w:rFonts w:ascii="Calibri" w:hAnsi="Calibri" w:cs="Calibri"/>
                <w:color w:val="000000"/>
                <w:sz w:val="22"/>
                <w:szCs w:val="22"/>
                <w:lang w:eastAsia="en-IN"/>
              </w:rPr>
            </w:pPr>
            <w:r w:rsidRPr="00D279DD">
              <w:rPr>
                <w:rFonts w:ascii="Calibri" w:hAnsi="Calibri" w:cs="Calibri"/>
                <w:color w:val="000000"/>
                <w:sz w:val="22"/>
                <w:szCs w:val="22"/>
                <w:lang w:eastAsia="en-IN"/>
              </w:rPr>
              <w:t>70</w:t>
            </w:r>
          </w:p>
        </w:tc>
      </w:tr>
      <w:tr w:rsidR="0098129A" w:rsidRPr="00D279DD" w:rsidTr="00D279DD">
        <w:trPr>
          <w:trHeight w:val="300"/>
        </w:trPr>
        <w:tc>
          <w:tcPr>
            <w:tcW w:w="373" w:type="pct"/>
            <w:shd w:val="clear" w:color="auto" w:fill="auto"/>
            <w:noWrap/>
            <w:vAlign w:val="center"/>
          </w:tcPr>
          <w:p w:rsidR="0098129A" w:rsidRPr="00D279DD" w:rsidRDefault="0098129A" w:rsidP="00A0081D">
            <w:pPr>
              <w:pStyle w:val="ListParagraph"/>
              <w:numPr>
                <w:ilvl w:val="0"/>
                <w:numId w:val="13"/>
              </w:numPr>
              <w:spacing w:after="0" w:line="360" w:lineRule="auto"/>
              <w:ind w:hanging="578"/>
              <w:rPr>
                <w:rFonts w:ascii="Calibri" w:hAnsi="Calibri" w:cs="Calibri"/>
                <w:color w:val="000000"/>
                <w:sz w:val="22"/>
                <w:szCs w:val="22"/>
                <w:lang w:eastAsia="en-IN"/>
              </w:rPr>
            </w:pPr>
          </w:p>
        </w:tc>
        <w:tc>
          <w:tcPr>
            <w:tcW w:w="2015" w:type="pct"/>
            <w:shd w:val="clear" w:color="auto" w:fill="auto"/>
            <w:noWrap/>
            <w:vAlign w:val="center"/>
          </w:tcPr>
          <w:p w:rsidR="0098129A" w:rsidRPr="00D279DD" w:rsidRDefault="0098129A" w:rsidP="00D279DD">
            <w:pPr>
              <w:spacing w:after="0" w:line="360" w:lineRule="auto"/>
              <w:rPr>
                <w:rFonts w:ascii="Calibri" w:hAnsi="Calibri" w:cs="Calibri"/>
                <w:color w:val="000000"/>
                <w:sz w:val="22"/>
                <w:szCs w:val="22"/>
                <w:lang w:eastAsia="en-IN"/>
              </w:rPr>
            </w:pPr>
            <w:r w:rsidRPr="00D279DD">
              <w:rPr>
                <w:rFonts w:ascii="Calibri" w:hAnsi="Calibri" w:cs="Calibri"/>
                <w:color w:val="000000"/>
                <w:sz w:val="22"/>
                <w:szCs w:val="22"/>
                <w:lang w:eastAsia="en-IN"/>
              </w:rPr>
              <w:t>Union Bank of India (Erstwhile Corporation Bank. &amp; Andhra Bank)</w:t>
            </w:r>
          </w:p>
        </w:tc>
        <w:tc>
          <w:tcPr>
            <w:tcW w:w="1194" w:type="pct"/>
            <w:shd w:val="clear" w:color="auto" w:fill="auto"/>
            <w:noWrap/>
            <w:vAlign w:val="center"/>
          </w:tcPr>
          <w:p w:rsidR="0098129A" w:rsidRPr="00D279DD" w:rsidRDefault="0098129A" w:rsidP="007064CB">
            <w:pPr>
              <w:spacing w:after="0" w:line="360" w:lineRule="auto"/>
              <w:jc w:val="center"/>
              <w:rPr>
                <w:rFonts w:ascii="Calibri" w:hAnsi="Calibri" w:cs="Calibri"/>
                <w:color w:val="000000"/>
                <w:sz w:val="22"/>
                <w:szCs w:val="22"/>
                <w:lang w:eastAsia="en-IN"/>
              </w:rPr>
            </w:pPr>
            <w:r w:rsidRPr="00D279DD">
              <w:rPr>
                <w:rFonts w:ascii="Calibri" w:hAnsi="Calibri" w:cs="Calibri"/>
                <w:color w:val="000000"/>
                <w:sz w:val="22"/>
                <w:szCs w:val="22"/>
                <w:lang w:eastAsia="en-IN"/>
              </w:rPr>
              <w:t>109</w:t>
            </w:r>
          </w:p>
        </w:tc>
        <w:tc>
          <w:tcPr>
            <w:tcW w:w="1418" w:type="pct"/>
            <w:shd w:val="clear" w:color="auto" w:fill="auto"/>
            <w:noWrap/>
            <w:vAlign w:val="center"/>
          </w:tcPr>
          <w:p w:rsidR="0098129A" w:rsidRPr="00D279DD" w:rsidRDefault="0098129A" w:rsidP="007064CB">
            <w:pPr>
              <w:spacing w:after="0" w:line="360" w:lineRule="auto"/>
              <w:jc w:val="center"/>
              <w:rPr>
                <w:rFonts w:ascii="Calibri" w:hAnsi="Calibri" w:cs="Calibri"/>
                <w:color w:val="000000"/>
                <w:sz w:val="22"/>
                <w:szCs w:val="22"/>
                <w:lang w:eastAsia="en-IN"/>
              </w:rPr>
            </w:pPr>
            <w:r w:rsidRPr="00D279DD">
              <w:rPr>
                <w:rFonts w:ascii="Calibri" w:hAnsi="Calibri" w:cs="Calibri"/>
                <w:color w:val="000000"/>
                <w:sz w:val="22"/>
                <w:szCs w:val="22"/>
                <w:lang w:eastAsia="en-IN"/>
              </w:rPr>
              <w:t>50</w:t>
            </w:r>
          </w:p>
        </w:tc>
      </w:tr>
      <w:tr w:rsidR="0098129A" w:rsidRPr="00D279DD" w:rsidTr="00D279DD">
        <w:trPr>
          <w:trHeight w:val="300"/>
        </w:trPr>
        <w:tc>
          <w:tcPr>
            <w:tcW w:w="373" w:type="pct"/>
            <w:shd w:val="clear" w:color="auto" w:fill="auto"/>
            <w:noWrap/>
            <w:vAlign w:val="center"/>
          </w:tcPr>
          <w:p w:rsidR="0098129A" w:rsidRPr="00D279DD" w:rsidRDefault="0098129A" w:rsidP="00A0081D">
            <w:pPr>
              <w:pStyle w:val="ListParagraph"/>
              <w:numPr>
                <w:ilvl w:val="0"/>
                <w:numId w:val="13"/>
              </w:numPr>
              <w:spacing w:after="0" w:line="360" w:lineRule="auto"/>
              <w:ind w:hanging="578"/>
              <w:rPr>
                <w:rFonts w:ascii="Calibri" w:hAnsi="Calibri" w:cs="Calibri"/>
                <w:color w:val="000000"/>
                <w:sz w:val="22"/>
                <w:szCs w:val="22"/>
                <w:lang w:eastAsia="en-IN"/>
              </w:rPr>
            </w:pPr>
          </w:p>
        </w:tc>
        <w:tc>
          <w:tcPr>
            <w:tcW w:w="2015" w:type="pct"/>
            <w:shd w:val="clear" w:color="auto" w:fill="auto"/>
            <w:noWrap/>
            <w:vAlign w:val="center"/>
          </w:tcPr>
          <w:p w:rsidR="0098129A" w:rsidRPr="00D279DD" w:rsidRDefault="0098129A" w:rsidP="00D279DD">
            <w:pPr>
              <w:spacing w:after="0" w:line="360" w:lineRule="auto"/>
              <w:rPr>
                <w:rFonts w:ascii="Calibri" w:hAnsi="Calibri" w:cs="Calibri"/>
                <w:color w:val="000000"/>
                <w:sz w:val="22"/>
                <w:szCs w:val="22"/>
                <w:lang w:eastAsia="en-IN"/>
              </w:rPr>
            </w:pPr>
            <w:r w:rsidRPr="00D279DD">
              <w:rPr>
                <w:rFonts w:ascii="Calibri" w:hAnsi="Calibri" w:cs="Calibri"/>
                <w:color w:val="000000"/>
                <w:sz w:val="22"/>
                <w:szCs w:val="22"/>
                <w:lang w:eastAsia="en-IN"/>
              </w:rPr>
              <w:t>Bank of Baroda</w:t>
            </w:r>
          </w:p>
        </w:tc>
        <w:tc>
          <w:tcPr>
            <w:tcW w:w="1194" w:type="pct"/>
            <w:shd w:val="clear" w:color="auto" w:fill="auto"/>
            <w:noWrap/>
            <w:vAlign w:val="center"/>
          </w:tcPr>
          <w:p w:rsidR="0098129A" w:rsidRPr="00D279DD" w:rsidRDefault="0098129A" w:rsidP="007064CB">
            <w:pPr>
              <w:spacing w:after="0" w:line="360" w:lineRule="auto"/>
              <w:jc w:val="center"/>
              <w:rPr>
                <w:rFonts w:ascii="Calibri" w:hAnsi="Calibri" w:cs="Calibri"/>
                <w:color w:val="000000"/>
                <w:sz w:val="22"/>
                <w:szCs w:val="22"/>
                <w:lang w:eastAsia="en-IN"/>
              </w:rPr>
            </w:pPr>
            <w:r w:rsidRPr="00D279DD">
              <w:rPr>
                <w:rFonts w:ascii="Calibri" w:hAnsi="Calibri" w:cs="Calibri"/>
                <w:color w:val="000000"/>
                <w:sz w:val="22"/>
                <w:szCs w:val="22"/>
                <w:lang w:eastAsia="en-IN"/>
              </w:rPr>
              <w:t>6</w:t>
            </w:r>
          </w:p>
        </w:tc>
        <w:tc>
          <w:tcPr>
            <w:tcW w:w="1418" w:type="pct"/>
            <w:shd w:val="clear" w:color="auto" w:fill="auto"/>
            <w:noWrap/>
            <w:vAlign w:val="center"/>
          </w:tcPr>
          <w:p w:rsidR="0098129A" w:rsidRPr="00D279DD" w:rsidRDefault="0098129A" w:rsidP="007064CB">
            <w:pPr>
              <w:spacing w:after="0" w:line="360" w:lineRule="auto"/>
              <w:jc w:val="center"/>
              <w:rPr>
                <w:rFonts w:ascii="Calibri" w:hAnsi="Calibri" w:cs="Calibri"/>
                <w:color w:val="000000"/>
                <w:sz w:val="22"/>
                <w:szCs w:val="22"/>
                <w:lang w:eastAsia="en-IN"/>
              </w:rPr>
            </w:pPr>
            <w:r w:rsidRPr="00D279DD">
              <w:rPr>
                <w:rFonts w:ascii="Calibri" w:hAnsi="Calibri" w:cs="Calibri"/>
                <w:color w:val="000000"/>
                <w:sz w:val="22"/>
                <w:szCs w:val="22"/>
                <w:lang w:eastAsia="en-IN"/>
              </w:rPr>
              <w:t>0</w:t>
            </w:r>
          </w:p>
        </w:tc>
      </w:tr>
      <w:tr w:rsidR="0098129A" w:rsidRPr="00D279DD" w:rsidTr="00D279DD">
        <w:trPr>
          <w:trHeight w:val="300"/>
        </w:trPr>
        <w:tc>
          <w:tcPr>
            <w:tcW w:w="373" w:type="pct"/>
            <w:shd w:val="clear" w:color="auto" w:fill="auto"/>
            <w:noWrap/>
            <w:vAlign w:val="center"/>
          </w:tcPr>
          <w:p w:rsidR="0098129A" w:rsidRPr="00D279DD" w:rsidRDefault="0098129A" w:rsidP="00A0081D">
            <w:pPr>
              <w:pStyle w:val="ListParagraph"/>
              <w:numPr>
                <w:ilvl w:val="0"/>
                <w:numId w:val="13"/>
              </w:numPr>
              <w:spacing w:after="0" w:line="360" w:lineRule="auto"/>
              <w:ind w:hanging="578"/>
              <w:rPr>
                <w:rFonts w:ascii="Calibri" w:hAnsi="Calibri" w:cs="Calibri"/>
                <w:color w:val="000000"/>
                <w:sz w:val="22"/>
                <w:szCs w:val="22"/>
                <w:lang w:eastAsia="en-IN"/>
              </w:rPr>
            </w:pPr>
          </w:p>
        </w:tc>
        <w:tc>
          <w:tcPr>
            <w:tcW w:w="2015" w:type="pct"/>
            <w:shd w:val="clear" w:color="auto" w:fill="auto"/>
            <w:noWrap/>
            <w:vAlign w:val="center"/>
          </w:tcPr>
          <w:p w:rsidR="0098129A" w:rsidRPr="00D279DD" w:rsidRDefault="0098129A" w:rsidP="00D279DD">
            <w:pPr>
              <w:spacing w:after="0" w:line="360" w:lineRule="auto"/>
              <w:rPr>
                <w:rFonts w:ascii="Calibri" w:hAnsi="Calibri" w:cs="Calibri"/>
                <w:color w:val="000000"/>
                <w:sz w:val="22"/>
                <w:szCs w:val="22"/>
                <w:lang w:eastAsia="en-IN"/>
              </w:rPr>
            </w:pPr>
            <w:r w:rsidRPr="00D279DD">
              <w:rPr>
                <w:rFonts w:ascii="Calibri" w:hAnsi="Calibri" w:cs="Calibri"/>
                <w:color w:val="000000"/>
                <w:sz w:val="22"/>
                <w:szCs w:val="22"/>
                <w:lang w:eastAsia="en-IN"/>
              </w:rPr>
              <w:t>IDBI Bank (interchangeable with LC)</w:t>
            </w:r>
          </w:p>
        </w:tc>
        <w:tc>
          <w:tcPr>
            <w:tcW w:w="1194" w:type="pct"/>
            <w:shd w:val="clear" w:color="auto" w:fill="auto"/>
            <w:noWrap/>
            <w:vAlign w:val="center"/>
          </w:tcPr>
          <w:p w:rsidR="0098129A" w:rsidRPr="00D279DD" w:rsidRDefault="0098129A" w:rsidP="007064CB">
            <w:pPr>
              <w:spacing w:after="0" w:line="360" w:lineRule="auto"/>
              <w:jc w:val="center"/>
              <w:rPr>
                <w:rFonts w:ascii="Calibri" w:hAnsi="Calibri" w:cs="Calibri"/>
                <w:color w:val="000000"/>
                <w:sz w:val="22"/>
                <w:szCs w:val="22"/>
                <w:lang w:eastAsia="en-IN"/>
              </w:rPr>
            </w:pPr>
            <w:r w:rsidRPr="00D279DD">
              <w:rPr>
                <w:rFonts w:ascii="Calibri" w:hAnsi="Calibri" w:cs="Calibri"/>
                <w:color w:val="000000"/>
                <w:sz w:val="22"/>
                <w:szCs w:val="22"/>
                <w:lang w:eastAsia="en-IN"/>
              </w:rPr>
              <w:t>40</w:t>
            </w:r>
          </w:p>
        </w:tc>
        <w:tc>
          <w:tcPr>
            <w:tcW w:w="1418" w:type="pct"/>
            <w:shd w:val="clear" w:color="auto" w:fill="auto"/>
            <w:noWrap/>
            <w:vAlign w:val="center"/>
          </w:tcPr>
          <w:p w:rsidR="0098129A" w:rsidRPr="00D279DD" w:rsidRDefault="0098129A" w:rsidP="007064CB">
            <w:pPr>
              <w:spacing w:after="0" w:line="360" w:lineRule="auto"/>
              <w:jc w:val="center"/>
              <w:rPr>
                <w:rFonts w:ascii="Calibri" w:hAnsi="Calibri" w:cs="Calibri"/>
                <w:color w:val="000000"/>
                <w:sz w:val="22"/>
                <w:szCs w:val="22"/>
                <w:lang w:eastAsia="en-IN"/>
              </w:rPr>
            </w:pPr>
            <w:r w:rsidRPr="00D279DD">
              <w:rPr>
                <w:rFonts w:ascii="Calibri" w:hAnsi="Calibri" w:cs="Calibri"/>
                <w:color w:val="000000"/>
                <w:sz w:val="22"/>
                <w:szCs w:val="22"/>
                <w:lang w:eastAsia="en-IN"/>
              </w:rPr>
              <w:t>23</w:t>
            </w:r>
          </w:p>
        </w:tc>
      </w:tr>
      <w:tr w:rsidR="0098129A" w:rsidRPr="00D279DD" w:rsidTr="00D279DD">
        <w:trPr>
          <w:trHeight w:val="300"/>
        </w:trPr>
        <w:tc>
          <w:tcPr>
            <w:tcW w:w="373" w:type="pct"/>
            <w:shd w:val="clear" w:color="auto" w:fill="8EAADB" w:themeFill="accent5" w:themeFillTint="99"/>
            <w:noWrap/>
            <w:vAlign w:val="center"/>
          </w:tcPr>
          <w:p w:rsidR="0098129A" w:rsidRPr="00D279DD" w:rsidRDefault="0098129A" w:rsidP="00A0081D">
            <w:pPr>
              <w:pStyle w:val="ListParagraph"/>
              <w:numPr>
                <w:ilvl w:val="0"/>
                <w:numId w:val="13"/>
              </w:numPr>
              <w:spacing w:after="0" w:line="360" w:lineRule="auto"/>
              <w:ind w:hanging="578"/>
              <w:rPr>
                <w:rFonts w:ascii="Calibri" w:hAnsi="Calibri" w:cs="Calibri"/>
                <w:b/>
                <w:color w:val="000000"/>
                <w:sz w:val="22"/>
                <w:szCs w:val="22"/>
                <w:lang w:eastAsia="en-IN"/>
              </w:rPr>
            </w:pPr>
          </w:p>
        </w:tc>
        <w:tc>
          <w:tcPr>
            <w:tcW w:w="2015" w:type="pct"/>
            <w:shd w:val="clear" w:color="auto" w:fill="8EAADB" w:themeFill="accent5" w:themeFillTint="99"/>
            <w:noWrap/>
            <w:vAlign w:val="center"/>
          </w:tcPr>
          <w:p w:rsidR="0098129A" w:rsidRPr="00D279DD" w:rsidRDefault="0098129A" w:rsidP="007064CB">
            <w:pPr>
              <w:spacing w:after="0" w:line="360" w:lineRule="auto"/>
              <w:jc w:val="center"/>
              <w:rPr>
                <w:rFonts w:ascii="Calibri" w:hAnsi="Calibri" w:cs="Calibri"/>
                <w:b/>
                <w:color w:val="000000"/>
                <w:sz w:val="22"/>
                <w:szCs w:val="22"/>
                <w:lang w:eastAsia="en-IN"/>
              </w:rPr>
            </w:pPr>
            <w:r w:rsidRPr="00D279DD">
              <w:rPr>
                <w:rFonts w:ascii="Calibri" w:hAnsi="Calibri" w:cs="Calibri"/>
                <w:b/>
                <w:color w:val="000000"/>
                <w:sz w:val="22"/>
                <w:szCs w:val="22"/>
                <w:lang w:eastAsia="en-IN"/>
              </w:rPr>
              <w:t>Total</w:t>
            </w:r>
          </w:p>
        </w:tc>
        <w:tc>
          <w:tcPr>
            <w:tcW w:w="1194" w:type="pct"/>
            <w:shd w:val="clear" w:color="auto" w:fill="8EAADB" w:themeFill="accent5" w:themeFillTint="99"/>
            <w:noWrap/>
            <w:vAlign w:val="center"/>
          </w:tcPr>
          <w:p w:rsidR="0098129A" w:rsidRPr="00D279DD" w:rsidRDefault="0098129A" w:rsidP="007064CB">
            <w:pPr>
              <w:spacing w:after="0" w:line="360" w:lineRule="auto"/>
              <w:jc w:val="center"/>
              <w:rPr>
                <w:rFonts w:ascii="Calibri" w:hAnsi="Calibri" w:cs="Calibri"/>
                <w:b/>
                <w:color w:val="000000"/>
                <w:sz w:val="22"/>
                <w:szCs w:val="22"/>
                <w:lang w:eastAsia="en-IN"/>
              </w:rPr>
            </w:pPr>
            <w:r w:rsidRPr="00D279DD">
              <w:rPr>
                <w:rFonts w:ascii="Calibri" w:hAnsi="Calibri" w:cs="Calibri"/>
                <w:b/>
                <w:color w:val="000000"/>
                <w:sz w:val="22"/>
                <w:szCs w:val="22"/>
                <w:lang w:eastAsia="en-IN"/>
              </w:rPr>
              <w:t>255</w:t>
            </w:r>
          </w:p>
        </w:tc>
        <w:tc>
          <w:tcPr>
            <w:tcW w:w="1418" w:type="pct"/>
            <w:shd w:val="clear" w:color="auto" w:fill="8EAADB" w:themeFill="accent5" w:themeFillTint="99"/>
            <w:noWrap/>
            <w:vAlign w:val="center"/>
          </w:tcPr>
          <w:p w:rsidR="0098129A" w:rsidRPr="00D279DD" w:rsidRDefault="0098129A" w:rsidP="007064CB">
            <w:pPr>
              <w:spacing w:after="0" w:line="360" w:lineRule="auto"/>
              <w:jc w:val="center"/>
              <w:rPr>
                <w:rFonts w:ascii="Calibri" w:hAnsi="Calibri" w:cs="Calibri"/>
                <w:b/>
                <w:color w:val="000000"/>
                <w:sz w:val="22"/>
                <w:szCs w:val="22"/>
                <w:lang w:eastAsia="en-IN"/>
              </w:rPr>
            </w:pPr>
            <w:r w:rsidRPr="00D279DD">
              <w:rPr>
                <w:rFonts w:ascii="Calibri" w:hAnsi="Calibri" w:cs="Calibri"/>
                <w:b/>
                <w:color w:val="000000"/>
                <w:sz w:val="22"/>
                <w:szCs w:val="22"/>
                <w:lang w:eastAsia="en-IN"/>
              </w:rPr>
              <w:t>143</w:t>
            </w:r>
          </w:p>
        </w:tc>
      </w:tr>
    </w:tbl>
    <w:p w:rsidR="00D279DD" w:rsidRDefault="00D279DD" w:rsidP="00D279DD">
      <w:pPr>
        <w:tabs>
          <w:tab w:val="left" w:pos="426"/>
        </w:tabs>
        <w:spacing w:after="0" w:line="360" w:lineRule="auto"/>
        <w:ind w:right="-613"/>
        <w:jc w:val="both"/>
        <w:rPr>
          <w:rFonts w:ascii="Arial" w:hAnsi="Arial" w:cs="Arial"/>
          <w:b/>
          <w:sz w:val="22"/>
          <w:szCs w:val="22"/>
        </w:rPr>
      </w:pPr>
    </w:p>
    <w:p w:rsidR="00272A33" w:rsidRDefault="007064CB" w:rsidP="00D279DD">
      <w:pPr>
        <w:tabs>
          <w:tab w:val="left" w:pos="426"/>
        </w:tabs>
        <w:spacing w:line="360" w:lineRule="auto"/>
        <w:ind w:right="-613"/>
        <w:jc w:val="both"/>
        <w:rPr>
          <w:rFonts w:ascii="Arial" w:hAnsi="Arial" w:cs="Arial"/>
          <w:b/>
          <w:sz w:val="22"/>
          <w:szCs w:val="22"/>
        </w:rPr>
      </w:pPr>
      <w:r w:rsidRPr="007064CB">
        <w:rPr>
          <w:rFonts w:ascii="Arial" w:hAnsi="Arial" w:cs="Arial"/>
          <w:b/>
          <w:sz w:val="22"/>
          <w:szCs w:val="22"/>
        </w:rPr>
        <w:t>Term Loan and NCDs &amp; Overdue Interest to be restructured</w:t>
      </w:r>
      <w:r>
        <w:rPr>
          <w:rFonts w:ascii="Arial" w:hAnsi="Arial" w:cs="Arial"/>
          <w:b/>
          <w:sz w:val="22"/>
          <w:szCs w:val="22"/>
        </w:rPr>
        <w:t>:</w:t>
      </w:r>
    </w:p>
    <w:tbl>
      <w:tblPr>
        <w:tblW w:w="520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953"/>
        <w:gridCol w:w="2694"/>
      </w:tblGrid>
      <w:tr w:rsidR="007064CB" w:rsidRPr="00D279DD" w:rsidTr="00D279DD">
        <w:trPr>
          <w:trHeight w:val="300"/>
        </w:trPr>
        <w:tc>
          <w:tcPr>
            <w:tcW w:w="448" w:type="pct"/>
            <w:shd w:val="clear" w:color="auto" w:fill="002060"/>
          </w:tcPr>
          <w:p w:rsidR="007064CB" w:rsidRPr="00D279DD" w:rsidRDefault="007064CB" w:rsidP="007064CB">
            <w:pPr>
              <w:spacing w:after="0" w:line="360" w:lineRule="auto"/>
              <w:jc w:val="center"/>
              <w:rPr>
                <w:rFonts w:asciiTheme="minorHAnsi" w:hAnsiTheme="minorHAnsi" w:cstheme="minorHAnsi"/>
                <w:b/>
                <w:color w:val="FFFFFF" w:themeColor="background1"/>
                <w:sz w:val="22"/>
                <w:szCs w:val="22"/>
                <w:lang w:eastAsia="en-IN"/>
              </w:rPr>
            </w:pPr>
            <w:r w:rsidRPr="00D279DD">
              <w:rPr>
                <w:rFonts w:asciiTheme="minorHAnsi" w:hAnsiTheme="minorHAnsi" w:cstheme="minorHAnsi"/>
                <w:b/>
                <w:color w:val="FFFFFF" w:themeColor="background1"/>
                <w:sz w:val="22"/>
                <w:szCs w:val="22"/>
                <w:lang w:eastAsia="en-IN"/>
              </w:rPr>
              <w:t>S. No.</w:t>
            </w:r>
          </w:p>
        </w:tc>
        <w:tc>
          <w:tcPr>
            <w:tcW w:w="3134" w:type="pct"/>
            <w:shd w:val="clear" w:color="auto" w:fill="002060"/>
            <w:noWrap/>
            <w:vAlign w:val="center"/>
          </w:tcPr>
          <w:p w:rsidR="007064CB" w:rsidRPr="00D279DD" w:rsidRDefault="007064CB" w:rsidP="007064CB">
            <w:pPr>
              <w:spacing w:after="0" w:line="360" w:lineRule="auto"/>
              <w:jc w:val="center"/>
              <w:rPr>
                <w:rFonts w:asciiTheme="minorHAnsi" w:hAnsiTheme="minorHAnsi" w:cstheme="minorHAnsi"/>
                <w:b/>
                <w:color w:val="FFFFFF" w:themeColor="background1"/>
                <w:sz w:val="22"/>
                <w:szCs w:val="22"/>
                <w:lang w:eastAsia="en-IN"/>
              </w:rPr>
            </w:pPr>
            <w:r w:rsidRPr="00D279DD">
              <w:rPr>
                <w:rFonts w:asciiTheme="minorHAnsi" w:hAnsiTheme="minorHAnsi" w:cstheme="minorHAnsi"/>
                <w:b/>
                <w:color w:val="FFFFFF" w:themeColor="background1"/>
                <w:sz w:val="22"/>
                <w:szCs w:val="22"/>
                <w:lang w:eastAsia="en-IN"/>
              </w:rPr>
              <w:t>Facilities</w:t>
            </w:r>
          </w:p>
        </w:tc>
        <w:tc>
          <w:tcPr>
            <w:tcW w:w="1418" w:type="pct"/>
            <w:shd w:val="clear" w:color="auto" w:fill="002060"/>
            <w:noWrap/>
            <w:vAlign w:val="center"/>
          </w:tcPr>
          <w:p w:rsidR="007064CB" w:rsidRPr="00D279DD" w:rsidRDefault="007064CB" w:rsidP="007064CB">
            <w:pPr>
              <w:spacing w:after="0" w:line="360" w:lineRule="auto"/>
              <w:jc w:val="center"/>
              <w:rPr>
                <w:rFonts w:asciiTheme="minorHAnsi" w:hAnsiTheme="minorHAnsi" w:cstheme="minorHAnsi"/>
                <w:b/>
                <w:color w:val="FFFFFF" w:themeColor="background1"/>
                <w:sz w:val="22"/>
                <w:szCs w:val="22"/>
                <w:lang w:eastAsia="en-IN"/>
              </w:rPr>
            </w:pPr>
            <w:r w:rsidRPr="00D279DD">
              <w:rPr>
                <w:rFonts w:asciiTheme="minorHAnsi" w:hAnsiTheme="minorHAnsi" w:cstheme="minorHAnsi"/>
                <w:b/>
                <w:color w:val="FFFFFF" w:themeColor="background1"/>
                <w:sz w:val="22"/>
                <w:szCs w:val="22"/>
                <w:lang w:eastAsia="en-IN"/>
              </w:rPr>
              <w:t>O/s Amount (INR Crore)</w:t>
            </w:r>
          </w:p>
        </w:tc>
      </w:tr>
      <w:tr w:rsidR="007064CB" w:rsidRPr="00D279DD" w:rsidTr="00D279DD">
        <w:trPr>
          <w:trHeight w:val="300"/>
        </w:trPr>
        <w:tc>
          <w:tcPr>
            <w:tcW w:w="448" w:type="pct"/>
          </w:tcPr>
          <w:p w:rsidR="007064CB" w:rsidRPr="00D279DD" w:rsidRDefault="007064CB" w:rsidP="007064CB">
            <w:pPr>
              <w:spacing w:after="0" w:line="360" w:lineRule="auto"/>
              <w:jc w:val="center"/>
              <w:rPr>
                <w:rFonts w:asciiTheme="minorHAnsi" w:hAnsiTheme="minorHAnsi" w:cstheme="minorHAnsi"/>
                <w:b/>
                <w:color w:val="000000"/>
                <w:sz w:val="22"/>
                <w:szCs w:val="22"/>
                <w:lang w:eastAsia="en-IN"/>
              </w:rPr>
            </w:pPr>
            <w:r w:rsidRPr="00D279DD">
              <w:rPr>
                <w:rFonts w:asciiTheme="minorHAnsi" w:hAnsiTheme="minorHAnsi" w:cstheme="minorHAnsi"/>
                <w:b/>
                <w:color w:val="000000"/>
                <w:sz w:val="22"/>
                <w:szCs w:val="22"/>
                <w:lang w:eastAsia="en-IN"/>
              </w:rPr>
              <w:t>1</w:t>
            </w:r>
          </w:p>
        </w:tc>
        <w:tc>
          <w:tcPr>
            <w:tcW w:w="3134" w:type="pct"/>
            <w:shd w:val="clear" w:color="auto" w:fill="auto"/>
            <w:noWrap/>
            <w:vAlign w:val="center"/>
          </w:tcPr>
          <w:p w:rsidR="007064CB" w:rsidRPr="00D279DD" w:rsidRDefault="007064CB" w:rsidP="007064CB">
            <w:pPr>
              <w:spacing w:after="0" w:line="360" w:lineRule="auto"/>
              <w:jc w:val="center"/>
              <w:rPr>
                <w:rFonts w:asciiTheme="minorHAnsi" w:hAnsiTheme="minorHAnsi" w:cstheme="minorHAnsi"/>
                <w:b/>
                <w:color w:val="000000"/>
                <w:sz w:val="22"/>
                <w:szCs w:val="22"/>
                <w:lang w:eastAsia="en-IN"/>
              </w:rPr>
            </w:pPr>
            <w:r w:rsidRPr="00D279DD">
              <w:rPr>
                <w:rFonts w:asciiTheme="minorHAnsi" w:hAnsiTheme="minorHAnsi" w:cstheme="minorHAnsi"/>
                <w:b/>
                <w:color w:val="000000"/>
                <w:sz w:val="22"/>
                <w:szCs w:val="22"/>
                <w:lang w:eastAsia="en-IN"/>
              </w:rPr>
              <w:t>Outstanding Principal Debt as on March 31, 2021</w:t>
            </w:r>
          </w:p>
        </w:tc>
        <w:tc>
          <w:tcPr>
            <w:tcW w:w="1418" w:type="pct"/>
            <w:shd w:val="clear" w:color="auto" w:fill="auto"/>
            <w:noWrap/>
            <w:vAlign w:val="center"/>
          </w:tcPr>
          <w:p w:rsidR="007064CB" w:rsidRPr="00D279DD" w:rsidRDefault="007064CB" w:rsidP="007064CB">
            <w:pPr>
              <w:spacing w:after="0" w:line="360" w:lineRule="auto"/>
              <w:jc w:val="center"/>
              <w:rPr>
                <w:rFonts w:asciiTheme="minorHAnsi" w:hAnsiTheme="minorHAnsi" w:cstheme="minorHAnsi"/>
                <w:color w:val="000000"/>
                <w:sz w:val="22"/>
                <w:szCs w:val="22"/>
                <w:lang w:eastAsia="en-IN"/>
              </w:rPr>
            </w:pPr>
          </w:p>
        </w:tc>
      </w:tr>
      <w:tr w:rsidR="007064CB" w:rsidRPr="00D279DD" w:rsidTr="00D279DD">
        <w:trPr>
          <w:trHeight w:val="300"/>
        </w:trPr>
        <w:tc>
          <w:tcPr>
            <w:tcW w:w="448" w:type="pct"/>
          </w:tcPr>
          <w:p w:rsidR="007064CB" w:rsidRPr="00D279DD" w:rsidRDefault="007064CB" w:rsidP="007064CB">
            <w:pPr>
              <w:spacing w:after="0" w:line="360" w:lineRule="auto"/>
              <w:jc w:val="center"/>
              <w:rPr>
                <w:rFonts w:asciiTheme="minorHAnsi" w:hAnsiTheme="minorHAnsi" w:cstheme="minorHAnsi"/>
                <w:color w:val="000000"/>
                <w:sz w:val="22"/>
                <w:szCs w:val="22"/>
                <w:lang w:eastAsia="en-IN"/>
              </w:rPr>
            </w:pPr>
            <w:r w:rsidRPr="00D279DD">
              <w:rPr>
                <w:rFonts w:asciiTheme="minorHAnsi" w:hAnsiTheme="minorHAnsi" w:cstheme="minorHAnsi"/>
                <w:color w:val="000000"/>
                <w:sz w:val="22"/>
                <w:szCs w:val="22"/>
                <w:lang w:eastAsia="en-IN"/>
              </w:rPr>
              <w:t>a)</w:t>
            </w:r>
          </w:p>
        </w:tc>
        <w:tc>
          <w:tcPr>
            <w:tcW w:w="3134" w:type="pct"/>
            <w:shd w:val="clear" w:color="auto" w:fill="auto"/>
            <w:noWrap/>
            <w:vAlign w:val="center"/>
          </w:tcPr>
          <w:p w:rsidR="007064CB" w:rsidRPr="00D279DD" w:rsidRDefault="007064CB" w:rsidP="007064CB">
            <w:pPr>
              <w:spacing w:after="0" w:line="360" w:lineRule="auto"/>
              <w:jc w:val="center"/>
              <w:rPr>
                <w:rFonts w:asciiTheme="minorHAnsi" w:hAnsiTheme="minorHAnsi" w:cstheme="minorHAnsi"/>
                <w:color w:val="000000"/>
                <w:sz w:val="22"/>
                <w:szCs w:val="22"/>
                <w:lang w:eastAsia="en-IN"/>
              </w:rPr>
            </w:pPr>
            <w:r w:rsidRPr="00D279DD">
              <w:rPr>
                <w:rFonts w:asciiTheme="minorHAnsi" w:hAnsiTheme="minorHAnsi" w:cstheme="minorHAnsi"/>
                <w:color w:val="000000"/>
                <w:sz w:val="22"/>
                <w:szCs w:val="22"/>
                <w:lang w:eastAsia="en-IN"/>
              </w:rPr>
              <w:t>Rupee Term Loans</w:t>
            </w:r>
          </w:p>
        </w:tc>
        <w:tc>
          <w:tcPr>
            <w:tcW w:w="1418" w:type="pct"/>
            <w:shd w:val="clear" w:color="auto" w:fill="auto"/>
            <w:noWrap/>
            <w:vAlign w:val="center"/>
          </w:tcPr>
          <w:p w:rsidR="007064CB" w:rsidRPr="00D279DD" w:rsidRDefault="007064CB" w:rsidP="007064CB">
            <w:pPr>
              <w:spacing w:after="0" w:line="360" w:lineRule="auto"/>
              <w:jc w:val="center"/>
              <w:rPr>
                <w:rFonts w:asciiTheme="minorHAnsi" w:hAnsiTheme="minorHAnsi" w:cstheme="minorHAnsi"/>
                <w:color w:val="000000"/>
                <w:sz w:val="22"/>
                <w:szCs w:val="22"/>
                <w:lang w:eastAsia="en-IN"/>
              </w:rPr>
            </w:pPr>
            <w:r w:rsidRPr="00D279DD">
              <w:rPr>
                <w:rFonts w:asciiTheme="minorHAnsi" w:hAnsiTheme="minorHAnsi" w:cstheme="minorHAnsi"/>
                <w:color w:val="000000"/>
                <w:sz w:val="22"/>
                <w:szCs w:val="22"/>
                <w:lang w:eastAsia="en-IN"/>
              </w:rPr>
              <w:t>2839</w:t>
            </w:r>
          </w:p>
        </w:tc>
      </w:tr>
      <w:tr w:rsidR="007064CB" w:rsidRPr="00D279DD" w:rsidTr="00D279DD">
        <w:trPr>
          <w:trHeight w:val="300"/>
        </w:trPr>
        <w:tc>
          <w:tcPr>
            <w:tcW w:w="448" w:type="pct"/>
          </w:tcPr>
          <w:p w:rsidR="007064CB" w:rsidRPr="00D279DD" w:rsidRDefault="007064CB" w:rsidP="007064CB">
            <w:pPr>
              <w:spacing w:after="0" w:line="360" w:lineRule="auto"/>
              <w:jc w:val="center"/>
              <w:rPr>
                <w:rFonts w:asciiTheme="minorHAnsi" w:hAnsiTheme="minorHAnsi" w:cstheme="minorHAnsi"/>
                <w:color w:val="000000"/>
                <w:sz w:val="22"/>
                <w:szCs w:val="22"/>
                <w:lang w:eastAsia="en-IN"/>
              </w:rPr>
            </w:pPr>
            <w:r w:rsidRPr="00D279DD">
              <w:rPr>
                <w:rFonts w:asciiTheme="minorHAnsi" w:hAnsiTheme="minorHAnsi" w:cstheme="minorHAnsi"/>
                <w:color w:val="000000"/>
                <w:sz w:val="22"/>
                <w:szCs w:val="22"/>
                <w:lang w:eastAsia="en-IN"/>
              </w:rPr>
              <w:t>b)</w:t>
            </w:r>
          </w:p>
        </w:tc>
        <w:tc>
          <w:tcPr>
            <w:tcW w:w="3134" w:type="pct"/>
            <w:shd w:val="clear" w:color="auto" w:fill="auto"/>
            <w:noWrap/>
            <w:vAlign w:val="center"/>
          </w:tcPr>
          <w:p w:rsidR="007064CB" w:rsidRPr="00D279DD" w:rsidRDefault="007064CB" w:rsidP="007064CB">
            <w:pPr>
              <w:spacing w:after="0" w:line="360" w:lineRule="auto"/>
              <w:jc w:val="center"/>
              <w:rPr>
                <w:rFonts w:asciiTheme="minorHAnsi" w:hAnsiTheme="minorHAnsi" w:cstheme="minorHAnsi"/>
                <w:color w:val="000000"/>
                <w:sz w:val="22"/>
                <w:szCs w:val="22"/>
                <w:lang w:eastAsia="en-IN"/>
              </w:rPr>
            </w:pPr>
            <w:r w:rsidRPr="00D279DD">
              <w:rPr>
                <w:rFonts w:asciiTheme="minorHAnsi" w:hAnsiTheme="minorHAnsi" w:cstheme="minorHAnsi"/>
                <w:color w:val="000000"/>
                <w:sz w:val="22"/>
                <w:szCs w:val="22"/>
                <w:lang w:eastAsia="en-IN"/>
              </w:rPr>
              <w:t>IIFCL Non-Convertible Debentures (NCD) (IIFCL – MF)</w:t>
            </w:r>
          </w:p>
        </w:tc>
        <w:tc>
          <w:tcPr>
            <w:tcW w:w="1418" w:type="pct"/>
            <w:shd w:val="clear" w:color="auto" w:fill="auto"/>
            <w:noWrap/>
            <w:vAlign w:val="center"/>
          </w:tcPr>
          <w:p w:rsidR="007064CB" w:rsidRPr="00D279DD" w:rsidRDefault="007064CB" w:rsidP="007064CB">
            <w:pPr>
              <w:spacing w:after="0" w:line="360" w:lineRule="auto"/>
              <w:jc w:val="center"/>
              <w:rPr>
                <w:rFonts w:asciiTheme="minorHAnsi" w:hAnsiTheme="minorHAnsi" w:cstheme="minorHAnsi"/>
                <w:color w:val="000000"/>
                <w:sz w:val="22"/>
                <w:szCs w:val="22"/>
                <w:lang w:eastAsia="en-IN"/>
              </w:rPr>
            </w:pPr>
            <w:r w:rsidRPr="00D279DD">
              <w:rPr>
                <w:rFonts w:asciiTheme="minorHAnsi" w:hAnsiTheme="minorHAnsi" w:cstheme="minorHAnsi"/>
                <w:color w:val="000000"/>
                <w:sz w:val="22"/>
                <w:szCs w:val="22"/>
                <w:lang w:eastAsia="en-IN"/>
              </w:rPr>
              <w:t>75</w:t>
            </w:r>
          </w:p>
        </w:tc>
      </w:tr>
      <w:tr w:rsidR="007064CB" w:rsidRPr="00D279DD" w:rsidTr="00D279DD">
        <w:trPr>
          <w:trHeight w:val="300"/>
        </w:trPr>
        <w:tc>
          <w:tcPr>
            <w:tcW w:w="448" w:type="pct"/>
            <w:shd w:val="clear" w:color="auto" w:fill="8EAADB" w:themeFill="accent5" w:themeFillTint="99"/>
          </w:tcPr>
          <w:p w:rsidR="007064CB" w:rsidRPr="00D279DD" w:rsidRDefault="007064CB" w:rsidP="007064CB">
            <w:pPr>
              <w:spacing w:after="0" w:line="360" w:lineRule="auto"/>
              <w:jc w:val="center"/>
              <w:rPr>
                <w:rFonts w:asciiTheme="minorHAnsi" w:hAnsiTheme="minorHAnsi" w:cstheme="minorHAnsi"/>
                <w:b/>
                <w:color w:val="000000"/>
                <w:sz w:val="22"/>
                <w:szCs w:val="22"/>
                <w:lang w:eastAsia="en-IN"/>
              </w:rPr>
            </w:pPr>
          </w:p>
        </w:tc>
        <w:tc>
          <w:tcPr>
            <w:tcW w:w="3134" w:type="pct"/>
            <w:shd w:val="clear" w:color="auto" w:fill="8EAADB" w:themeFill="accent5" w:themeFillTint="99"/>
            <w:noWrap/>
            <w:vAlign w:val="center"/>
          </w:tcPr>
          <w:p w:rsidR="007064CB" w:rsidRPr="00D279DD" w:rsidRDefault="007064CB" w:rsidP="007064CB">
            <w:pPr>
              <w:spacing w:after="0" w:line="360" w:lineRule="auto"/>
              <w:jc w:val="center"/>
              <w:rPr>
                <w:rFonts w:asciiTheme="minorHAnsi" w:hAnsiTheme="minorHAnsi" w:cstheme="minorHAnsi"/>
                <w:b/>
                <w:color w:val="000000"/>
                <w:sz w:val="22"/>
                <w:szCs w:val="22"/>
                <w:lang w:eastAsia="en-IN"/>
              </w:rPr>
            </w:pPr>
            <w:r w:rsidRPr="00D279DD">
              <w:rPr>
                <w:rFonts w:asciiTheme="minorHAnsi" w:hAnsiTheme="minorHAnsi" w:cstheme="minorHAnsi"/>
                <w:b/>
                <w:color w:val="000000"/>
                <w:sz w:val="22"/>
                <w:szCs w:val="22"/>
                <w:lang w:eastAsia="en-IN"/>
              </w:rPr>
              <w:t>Sub-Total</w:t>
            </w:r>
          </w:p>
        </w:tc>
        <w:tc>
          <w:tcPr>
            <w:tcW w:w="1418" w:type="pct"/>
            <w:shd w:val="clear" w:color="auto" w:fill="8EAADB" w:themeFill="accent5" w:themeFillTint="99"/>
            <w:noWrap/>
            <w:vAlign w:val="center"/>
          </w:tcPr>
          <w:p w:rsidR="007064CB" w:rsidRPr="00D279DD" w:rsidRDefault="007064CB" w:rsidP="007064CB">
            <w:pPr>
              <w:spacing w:after="0" w:line="360" w:lineRule="auto"/>
              <w:jc w:val="center"/>
              <w:rPr>
                <w:rFonts w:asciiTheme="minorHAnsi" w:hAnsiTheme="minorHAnsi" w:cstheme="minorHAnsi"/>
                <w:b/>
                <w:color w:val="000000"/>
                <w:sz w:val="22"/>
                <w:szCs w:val="22"/>
                <w:lang w:eastAsia="en-IN"/>
              </w:rPr>
            </w:pPr>
            <w:r w:rsidRPr="00D279DD">
              <w:rPr>
                <w:rFonts w:asciiTheme="minorHAnsi" w:hAnsiTheme="minorHAnsi" w:cstheme="minorHAnsi"/>
                <w:b/>
                <w:color w:val="000000"/>
                <w:sz w:val="22"/>
                <w:szCs w:val="22"/>
                <w:lang w:eastAsia="en-IN"/>
              </w:rPr>
              <w:t>2914</w:t>
            </w:r>
          </w:p>
        </w:tc>
      </w:tr>
      <w:tr w:rsidR="007064CB" w:rsidRPr="00D279DD" w:rsidTr="00D279DD">
        <w:trPr>
          <w:trHeight w:val="300"/>
        </w:trPr>
        <w:tc>
          <w:tcPr>
            <w:tcW w:w="448" w:type="pct"/>
          </w:tcPr>
          <w:p w:rsidR="007064CB" w:rsidRPr="00D279DD" w:rsidRDefault="007064CB" w:rsidP="007064CB">
            <w:pPr>
              <w:spacing w:after="0" w:line="360" w:lineRule="auto"/>
              <w:jc w:val="center"/>
              <w:rPr>
                <w:rFonts w:asciiTheme="minorHAnsi" w:hAnsiTheme="minorHAnsi" w:cstheme="minorHAnsi"/>
                <w:b/>
                <w:color w:val="000000"/>
                <w:sz w:val="22"/>
                <w:szCs w:val="22"/>
                <w:lang w:eastAsia="en-IN"/>
              </w:rPr>
            </w:pPr>
            <w:r w:rsidRPr="00D279DD">
              <w:rPr>
                <w:rFonts w:asciiTheme="minorHAnsi" w:hAnsiTheme="minorHAnsi" w:cstheme="minorHAnsi"/>
                <w:b/>
                <w:color w:val="000000"/>
                <w:sz w:val="22"/>
                <w:szCs w:val="22"/>
                <w:lang w:eastAsia="en-IN"/>
              </w:rPr>
              <w:t>2</w:t>
            </w:r>
          </w:p>
        </w:tc>
        <w:tc>
          <w:tcPr>
            <w:tcW w:w="3134" w:type="pct"/>
            <w:shd w:val="clear" w:color="auto" w:fill="auto"/>
            <w:noWrap/>
            <w:vAlign w:val="center"/>
          </w:tcPr>
          <w:p w:rsidR="007064CB" w:rsidRPr="00D279DD" w:rsidRDefault="007064CB" w:rsidP="007064CB">
            <w:pPr>
              <w:spacing w:after="0" w:line="360" w:lineRule="auto"/>
              <w:jc w:val="center"/>
              <w:rPr>
                <w:rFonts w:asciiTheme="minorHAnsi" w:hAnsiTheme="minorHAnsi" w:cstheme="minorHAnsi"/>
                <w:b/>
                <w:color w:val="000000"/>
                <w:sz w:val="22"/>
                <w:szCs w:val="22"/>
                <w:lang w:eastAsia="en-IN"/>
              </w:rPr>
            </w:pPr>
            <w:r w:rsidRPr="00D279DD">
              <w:rPr>
                <w:rFonts w:asciiTheme="minorHAnsi" w:hAnsiTheme="minorHAnsi" w:cstheme="minorHAnsi"/>
                <w:b/>
                <w:color w:val="000000"/>
                <w:sz w:val="22"/>
                <w:szCs w:val="22"/>
                <w:lang w:eastAsia="en-IN"/>
              </w:rPr>
              <w:t>Overdue / Accruing Interest</w:t>
            </w:r>
          </w:p>
        </w:tc>
        <w:tc>
          <w:tcPr>
            <w:tcW w:w="1418" w:type="pct"/>
            <w:shd w:val="clear" w:color="auto" w:fill="auto"/>
            <w:noWrap/>
            <w:vAlign w:val="center"/>
          </w:tcPr>
          <w:p w:rsidR="007064CB" w:rsidRPr="00D279DD" w:rsidRDefault="007064CB" w:rsidP="007064CB">
            <w:pPr>
              <w:spacing w:after="0" w:line="360" w:lineRule="auto"/>
              <w:jc w:val="center"/>
              <w:rPr>
                <w:rFonts w:asciiTheme="minorHAnsi" w:hAnsiTheme="minorHAnsi" w:cstheme="minorHAnsi"/>
                <w:color w:val="000000"/>
                <w:sz w:val="22"/>
                <w:szCs w:val="22"/>
                <w:lang w:eastAsia="en-IN"/>
              </w:rPr>
            </w:pPr>
          </w:p>
        </w:tc>
      </w:tr>
      <w:tr w:rsidR="007064CB" w:rsidRPr="00D279DD" w:rsidTr="00D279DD">
        <w:trPr>
          <w:trHeight w:val="300"/>
        </w:trPr>
        <w:tc>
          <w:tcPr>
            <w:tcW w:w="448" w:type="pct"/>
          </w:tcPr>
          <w:p w:rsidR="007064CB" w:rsidRPr="00D279DD" w:rsidRDefault="007064CB" w:rsidP="007064CB">
            <w:pPr>
              <w:spacing w:after="0" w:line="360" w:lineRule="auto"/>
              <w:jc w:val="center"/>
              <w:rPr>
                <w:rFonts w:asciiTheme="minorHAnsi" w:hAnsiTheme="minorHAnsi" w:cstheme="minorHAnsi"/>
                <w:color w:val="000000"/>
                <w:sz w:val="22"/>
                <w:szCs w:val="22"/>
                <w:lang w:eastAsia="en-IN"/>
              </w:rPr>
            </w:pPr>
            <w:r w:rsidRPr="00D279DD">
              <w:rPr>
                <w:rFonts w:asciiTheme="minorHAnsi" w:hAnsiTheme="minorHAnsi" w:cstheme="minorHAnsi"/>
                <w:color w:val="000000"/>
                <w:sz w:val="22"/>
                <w:szCs w:val="22"/>
                <w:lang w:eastAsia="en-IN"/>
              </w:rPr>
              <w:t>a)</w:t>
            </w:r>
          </w:p>
        </w:tc>
        <w:tc>
          <w:tcPr>
            <w:tcW w:w="3134" w:type="pct"/>
            <w:shd w:val="clear" w:color="auto" w:fill="auto"/>
            <w:noWrap/>
            <w:vAlign w:val="center"/>
          </w:tcPr>
          <w:p w:rsidR="007064CB" w:rsidRPr="00D279DD" w:rsidRDefault="007064CB" w:rsidP="007064CB">
            <w:pPr>
              <w:spacing w:after="0" w:line="360" w:lineRule="auto"/>
              <w:jc w:val="center"/>
              <w:rPr>
                <w:rFonts w:asciiTheme="minorHAnsi" w:hAnsiTheme="minorHAnsi" w:cstheme="minorHAnsi"/>
                <w:color w:val="000000"/>
                <w:sz w:val="22"/>
                <w:szCs w:val="22"/>
                <w:lang w:eastAsia="en-IN"/>
              </w:rPr>
            </w:pPr>
            <w:r w:rsidRPr="00D279DD">
              <w:rPr>
                <w:rFonts w:asciiTheme="minorHAnsi" w:hAnsiTheme="minorHAnsi" w:cstheme="minorHAnsi"/>
                <w:color w:val="000000"/>
                <w:sz w:val="22"/>
                <w:szCs w:val="22"/>
                <w:lang w:eastAsia="en-IN"/>
              </w:rPr>
              <w:t>Interest overdue / accruing up to June 30, 2022</w:t>
            </w:r>
          </w:p>
        </w:tc>
        <w:tc>
          <w:tcPr>
            <w:tcW w:w="1418" w:type="pct"/>
            <w:shd w:val="clear" w:color="auto" w:fill="auto"/>
            <w:noWrap/>
            <w:vAlign w:val="center"/>
          </w:tcPr>
          <w:p w:rsidR="007064CB" w:rsidRPr="00D279DD" w:rsidRDefault="007064CB" w:rsidP="007064CB">
            <w:pPr>
              <w:spacing w:after="0" w:line="360" w:lineRule="auto"/>
              <w:jc w:val="center"/>
              <w:rPr>
                <w:rFonts w:asciiTheme="minorHAnsi" w:hAnsiTheme="minorHAnsi" w:cstheme="minorHAnsi"/>
                <w:color w:val="000000"/>
                <w:sz w:val="22"/>
                <w:szCs w:val="22"/>
                <w:lang w:eastAsia="en-IN"/>
              </w:rPr>
            </w:pPr>
            <w:r w:rsidRPr="00D279DD">
              <w:rPr>
                <w:rFonts w:asciiTheme="minorHAnsi" w:hAnsiTheme="minorHAnsi" w:cstheme="minorHAnsi"/>
                <w:color w:val="000000"/>
                <w:sz w:val="22"/>
                <w:szCs w:val="22"/>
                <w:lang w:eastAsia="en-IN"/>
              </w:rPr>
              <w:t>241</w:t>
            </w:r>
          </w:p>
        </w:tc>
      </w:tr>
      <w:tr w:rsidR="007064CB" w:rsidRPr="00D279DD" w:rsidTr="00D279DD">
        <w:trPr>
          <w:trHeight w:val="300"/>
        </w:trPr>
        <w:tc>
          <w:tcPr>
            <w:tcW w:w="448" w:type="pct"/>
          </w:tcPr>
          <w:p w:rsidR="007064CB" w:rsidRPr="00D279DD" w:rsidRDefault="007064CB" w:rsidP="007064CB">
            <w:pPr>
              <w:spacing w:after="0" w:line="360" w:lineRule="auto"/>
              <w:jc w:val="center"/>
              <w:rPr>
                <w:rFonts w:asciiTheme="minorHAnsi" w:hAnsiTheme="minorHAnsi" w:cstheme="minorHAnsi"/>
                <w:color w:val="000000"/>
                <w:sz w:val="22"/>
                <w:szCs w:val="22"/>
                <w:lang w:eastAsia="en-IN"/>
              </w:rPr>
            </w:pPr>
            <w:r w:rsidRPr="00D279DD">
              <w:rPr>
                <w:rFonts w:asciiTheme="minorHAnsi" w:hAnsiTheme="minorHAnsi" w:cstheme="minorHAnsi"/>
                <w:color w:val="000000"/>
                <w:sz w:val="22"/>
                <w:szCs w:val="22"/>
                <w:lang w:eastAsia="en-IN"/>
              </w:rPr>
              <w:t>b)</w:t>
            </w:r>
          </w:p>
        </w:tc>
        <w:tc>
          <w:tcPr>
            <w:tcW w:w="3134" w:type="pct"/>
            <w:shd w:val="clear" w:color="auto" w:fill="auto"/>
            <w:noWrap/>
            <w:vAlign w:val="center"/>
          </w:tcPr>
          <w:p w:rsidR="007064CB" w:rsidRPr="00D279DD" w:rsidRDefault="007064CB" w:rsidP="007064CB">
            <w:pPr>
              <w:spacing w:after="0" w:line="360" w:lineRule="auto"/>
              <w:jc w:val="center"/>
              <w:rPr>
                <w:rFonts w:asciiTheme="minorHAnsi" w:hAnsiTheme="minorHAnsi" w:cstheme="minorHAnsi"/>
                <w:color w:val="000000"/>
                <w:sz w:val="22"/>
                <w:szCs w:val="22"/>
                <w:lang w:eastAsia="en-IN"/>
              </w:rPr>
            </w:pPr>
            <w:r w:rsidRPr="00D279DD">
              <w:rPr>
                <w:rFonts w:asciiTheme="minorHAnsi" w:hAnsiTheme="minorHAnsi" w:cstheme="minorHAnsi"/>
                <w:color w:val="000000"/>
                <w:sz w:val="22"/>
                <w:szCs w:val="22"/>
                <w:lang w:eastAsia="en-IN"/>
              </w:rPr>
              <w:t>Interest overdue / accruing up to March 31, 2024 for IIFCL</w:t>
            </w:r>
          </w:p>
        </w:tc>
        <w:tc>
          <w:tcPr>
            <w:tcW w:w="1418" w:type="pct"/>
            <w:shd w:val="clear" w:color="auto" w:fill="auto"/>
            <w:noWrap/>
            <w:vAlign w:val="center"/>
          </w:tcPr>
          <w:p w:rsidR="007064CB" w:rsidRPr="00D279DD" w:rsidRDefault="007064CB" w:rsidP="007064CB">
            <w:pPr>
              <w:spacing w:after="0" w:line="360" w:lineRule="auto"/>
              <w:jc w:val="center"/>
              <w:rPr>
                <w:rFonts w:asciiTheme="minorHAnsi" w:hAnsiTheme="minorHAnsi" w:cstheme="minorHAnsi"/>
                <w:color w:val="000000"/>
                <w:sz w:val="22"/>
                <w:szCs w:val="22"/>
                <w:lang w:eastAsia="en-IN"/>
              </w:rPr>
            </w:pPr>
            <w:r w:rsidRPr="00D279DD">
              <w:rPr>
                <w:rFonts w:asciiTheme="minorHAnsi" w:hAnsiTheme="minorHAnsi" w:cstheme="minorHAnsi"/>
                <w:color w:val="000000"/>
                <w:sz w:val="22"/>
                <w:szCs w:val="22"/>
                <w:lang w:eastAsia="en-IN"/>
              </w:rPr>
              <w:t>18</w:t>
            </w:r>
          </w:p>
        </w:tc>
      </w:tr>
      <w:tr w:rsidR="007064CB" w:rsidRPr="00D279DD" w:rsidTr="00D279DD">
        <w:trPr>
          <w:trHeight w:val="300"/>
        </w:trPr>
        <w:tc>
          <w:tcPr>
            <w:tcW w:w="448" w:type="pct"/>
            <w:shd w:val="clear" w:color="auto" w:fill="002060"/>
          </w:tcPr>
          <w:p w:rsidR="007064CB" w:rsidRPr="00D279DD" w:rsidRDefault="007064CB" w:rsidP="007064CB">
            <w:pPr>
              <w:spacing w:after="0" w:line="360" w:lineRule="auto"/>
              <w:jc w:val="center"/>
              <w:rPr>
                <w:rFonts w:asciiTheme="minorHAnsi" w:hAnsiTheme="minorHAnsi" w:cstheme="minorHAnsi"/>
                <w:b/>
                <w:color w:val="FFFFFF" w:themeColor="background1"/>
                <w:sz w:val="22"/>
                <w:szCs w:val="22"/>
                <w:lang w:eastAsia="en-IN"/>
              </w:rPr>
            </w:pPr>
          </w:p>
        </w:tc>
        <w:tc>
          <w:tcPr>
            <w:tcW w:w="3134" w:type="pct"/>
            <w:shd w:val="clear" w:color="auto" w:fill="002060"/>
            <w:noWrap/>
            <w:vAlign w:val="center"/>
          </w:tcPr>
          <w:p w:rsidR="007064CB" w:rsidRPr="00D279DD" w:rsidRDefault="007064CB" w:rsidP="007064CB">
            <w:pPr>
              <w:spacing w:after="0" w:line="360" w:lineRule="auto"/>
              <w:jc w:val="center"/>
              <w:rPr>
                <w:rFonts w:asciiTheme="minorHAnsi" w:hAnsiTheme="minorHAnsi" w:cstheme="minorHAnsi"/>
                <w:b/>
                <w:color w:val="FFFFFF" w:themeColor="background1"/>
                <w:sz w:val="22"/>
                <w:szCs w:val="22"/>
                <w:lang w:eastAsia="en-IN"/>
              </w:rPr>
            </w:pPr>
            <w:r w:rsidRPr="00D279DD">
              <w:rPr>
                <w:rFonts w:asciiTheme="minorHAnsi" w:hAnsiTheme="minorHAnsi" w:cstheme="minorHAnsi"/>
                <w:b/>
                <w:color w:val="FFFFFF" w:themeColor="background1"/>
                <w:sz w:val="22"/>
                <w:szCs w:val="22"/>
                <w:lang w:eastAsia="en-IN"/>
              </w:rPr>
              <w:t>Grand Total</w:t>
            </w:r>
          </w:p>
        </w:tc>
        <w:tc>
          <w:tcPr>
            <w:tcW w:w="1418" w:type="pct"/>
            <w:shd w:val="clear" w:color="auto" w:fill="002060"/>
            <w:noWrap/>
            <w:vAlign w:val="center"/>
          </w:tcPr>
          <w:p w:rsidR="007064CB" w:rsidRPr="00D279DD" w:rsidRDefault="007064CB" w:rsidP="007064CB">
            <w:pPr>
              <w:spacing w:after="0" w:line="360" w:lineRule="auto"/>
              <w:jc w:val="center"/>
              <w:rPr>
                <w:rFonts w:asciiTheme="minorHAnsi" w:hAnsiTheme="minorHAnsi" w:cstheme="minorHAnsi"/>
                <w:b/>
                <w:color w:val="FFFFFF" w:themeColor="background1"/>
                <w:sz w:val="22"/>
                <w:szCs w:val="22"/>
                <w:lang w:eastAsia="en-IN"/>
              </w:rPr>
            </w:pPr>
            <w:r w:rsidRPr="00D279DD">
              <w:rPr>
                <w:rFonts w:asciiTheme="minorHAnsi" w:hAnsiTheme="minorHAnsi" w:cstheme="minorHAnsi"/>
                <w:b/>
                <w:color w:val="FFFFFF" w:themeColor="background1"/>
                <w:sz w:val="22"/>
                <w:szCs w:val="22"/>
                <w:lang w:eastAsia="en-IN"/>
              </w:rPr>
              <w:t>3,173</w:t>
            </w:r>
          </w:p>
        </w:tc>
      </w:tr>
    </w:tbl>
    <w:p w:rsidR="007064CB" w:rsidRDefault="007064CB" w:rsidP="007064CB">
      <w:pPr>
        <w:tabs>
          <w:tab w:val="left" w:pos="426"/>
        </w:tabs>
        <w:spacing w:after="0" w:line="360" w:lineRule="auto"/>
        <w:ind w:right="-613"/>
        <w:jc w:val="both"/>
        <w:rPr>
          <w:rFonts w:ascii="Arial" w:hAnsi="Arial" w:cs="Arial"/>
          <w:b/>
          <w:sz w:val="22"/>
          <w:szCs w:val="22"/>
        </w:rPr>
      </w:pPr>
    </w:p>
    <w:p w:rsidR="007064CB" w:rsidRDefault="007064CB" w:rsidP="007064CB">
      <w:pPr>
        <w:tabs>
          <w:tab w:val="left" w:pos="426"/>
        </w:tabs>
        <w:spacing w:line="360" w:lineRule="auto"/>
        <w:ind w:right="-613"/>
        <w:jc w:val="both"/>
        <w:rPr>
          <w:rFonts w:ascii="Arial" w:hAnsi="Arial" w:cs="Arial"/>
          <w:b/>
          <w:sz w:val="22"/>
          <w:szCs w:val="22"/>
        </w:rPr>
      </w:pPr>
      <w:r w:rsidRPr="007064CB">
        <w:rPr>
          <w:rFonts w:ascii="Arial" w:hAnsi="Arial" w:cs="Arial"/>
          <w:b/>
          <w:sz w:val="22"/>
          <w:szCs w:val="22"/>
        </w:rPr>
        <w:t>Post-Restructuring Debt</w:t>
      </w:r>
      <w:r>
        <w:rPr>
          <w:rFonts w:ascii="Arial" w:hAnsi="Arial" w:cs="Arial"/>
          <w:b/>
          <w:sz w:val="22"/>
          <w:szCs w:val="22"/>
        </w:rPr>
        <w:t>:</w:t>
      </w:r>
    </w:p>
    <w:p w:rsidR="007064CB" w:rsidRPr="007064CB" w:rsidRDefault="007064CB" w:rsidP="007064CB">
      <w:pPr>
        <w:tabs>
          <w:tab w:val="left" w:pos="426"/>
        </w:tabs>
        <w:spacing w:line="360" w:lineRule="auto"/>
        <w:ind w:right="-613"/>
        <w:jc w:val="both"/>
        <w:rPr>
          <w:rFonts w:ascii="Arial" w:hAnsi="Arial" w:cs="Arial"/>
          <w:sz w:val="22"/>
          <w:szCs w:val="22"/>
        </w:rPr>
      </w:pPr>
      <w:r w:rsidRPr="007064CB">
        <w:rPr>
          <w:rFonts w:ascii="Arial" w:hAnsi="Arial" w:cs="Arial"/>
          <w:sz w:val="22"/>
          <w:szCs w:val="22"/>
        </w:rPr>
        <w:t>Under the Restructuring Plan, the outstanding debt would be divided into following tranches:</w:t>
      </w:r>
    </w:p>
    <w:p w:rsidR="007064CB" w:rsidRPr="007064CB" w:rsidRDefault="007064CB" w:rsidP="007064CB">
      <w:pPr>
        <w:tabs>
          <w:tab w:val="left" w:pos="426"/>
        </w:tabs>
        <w:spacing w:line="360" w:lineRule="auto"/>
        <w:ind w:right="-613"/>
        <w:jc w:val="both"/>
        <w:rPr>
          <w:rFonts w:ascii="Arial" w:hAnsi="Arial" w:cs="Arial"/>
          <w:sz w:val="22"/>
          <w:szCs w:val="22"/>
        </w:rPr>
      </w:pPr>
      <w:r w:rsidRPr="007064CB">
        <w:rPr>
          <w:rFonts w:ascii="Arial" w:hAnsi="Arial" w:cs="Arial"/>
          <w:b/>
          <w:sz w:val="22"/>
          <w:szCs w:val="22"/>
        </w:rPr>
        <w:t>Part A (Sustainable Debt):</w:t>
      </w:r>
      <w:r w:rsidRPr="007064CB">
        <w:rPr>
          <w:rFonts w:ascii="Arial" w:hAnsi="Arial" w:cs="Arial"/>
          <w:sz w:val="22"/>
          <w:szCs w:val="22"/>
        </w:rPr>
        <w:t xml:space="preserve"> Rs. 2,351 Cr. (80.71 % of the outstanding principal amount) carrying a fixed Interest rate @ 8.5% p.a. It includes:</w:t>
      </w:r>
    </w:p>
    <w:p w:rsidR="007064CB" w:rsidRDefault="007064CB" w:rsidP="00A0081D">
      <w:pPr>
        <w:pStyle w:val="ListParagraph"/>
        <w:numPr>
          <w:ilvl w:val="0"/>
          <w:numId w:val="14"/>
        </w:numPr>
        <w:tabs>
          <w:tab w:val="left" w:pos="426"/>
        </w:tabs>
        <w:spacing w:line="360" w:lineRule="auto"/>
        <w:ind w:left="426" w:right="-613" w:hanging="426"/>
        <w:jc w:val="both"/>
        <w:rPr>
          <w:rFonts w:ascii="Arial" w:hAnsi="Arial" w:cs="Arial"/>
          <w:sz w:val="22"/>
          <w:szCs w:val="22"/>
        </w:rPr>
      </w:pPr>
      <w:r w:rsidRPr="007064CB">
        <w:rPr>
          <w:rFonts w:ascii="Arial" w:hAnsi="Arial" w:cs="Arial"/>
          <w:sz w:val="22"/>
          <w:szCs w:val="22"/>
        </w:rPr>
        <w:t>Term Loans of Rs 2,276 Cr.</w:t>
      </w:r>
    </w:p>
    <w:p w:rsidR="007064CB" w:rsidRPr="007064CB" w:rsidRDefault="007064CB" w:rsidP="00A0081D">
      <w:pPr>
        <w:pStyle w:val="ListParagraph"/>
        <w:numPr>
          <w:ilvl w:val="0"/>
          <w:numId w:val="14"/>
        </w:numPr>
        <w:tabs>
          <w:tab w:val="left" w:pos="426"/>
        </w:tabs>
        <w:spacing w:line="360" w:lineRule="auto"/>
        <w:ind w:left="426" w:right="-613" w:hanging="426"/>
        <w:jc w:val="both"/>
        <w:rPr>
          <w:rFonts w:ascii="Arial" w:hAnsi="Arial" w:cs="Arial"/>
          <w:sz w:val="22"/>
          <w:szCs w:val="22"/>
        </w:rPr>
      </w:pPr>
      <w:r w:rsidRPr="007064CB">
        <w:rPr>
          <w:rFonts w:ascii="Arial" w:hAnsi="Arial" w:cs="Arial"/>
          <w:sz w:val="22"/>
          <w:szCs w:val="22"/>
        </w:rPr>
        <w:t>Non-Convertible Debentures (NCD) (IIFCL – MF) of Rs. 75 Cr.</w:t>
      </w:r>
    </w:p>
    <w:p w:rsidR="002B1059" w:rsidRDefault="007064CB" w:rsidP="007064CB">
      <w:pPr>
        <w:tabs>
          <w:tab w:val="left" w:pos="426"/>
        </w:tabs>
        <w:spacing w:line="360" w:lineRule="auto"/>
        <w:ind w:right="-613"/>
        <w:jc w:val="both"/>
        <w:rPr>
          <w:rFonts w:ascii="Arial" w:hAnsi="Arial" w:cs="Arial"/>
          <w:sz w:val="22"/>
          <w:szCs w:val="22"/>
        </w:rPr>
      </w:pPr>
      <w:r w:rsidRPr="007064CB">
        <w:rPr>
          <w:rFonts w:ascii="Arial" w:hAnsi="Arial" w:cs="Arial"/>
          <w:b/>
          <w:sz w:val="22"/>
          <w:szCs w:val="22"/>
        </w:rPr>
        <w:t>Part B (Unsustainable Debt)</w:t>
      </w:r>
      <w:r w:rsidRPr="007064CB">
        <w:rPr>
          <w:rFonts w:ascii="Arial" w:hAnsi="Arial" w:cs="Arial"/>
          <w:sz w:val="22"/>
          <w:szCs w:val="22"/>
        </w:rPr>
        <w:t>: Rs. 562 Cr. (19.29% of th</w:t>
      </w:r>
      <w:r w:rsidR="002B1059">
        <w:rPr>
          <w:rFonts w:ascii="Arial" w:hAnsi="Arial" w:cs="Arial"/>
          <w:sz w:val="22"/>
          <w:szCs w:val="22"/>
        </w:rPr>
        <w:t>e outstanding principal amount)</w:t>
      </w:r>
    </w:p>
    <w:p w:rsidR="002B1059" w:rsidRDefault="007064CB" w:rsidP="00A0081D">
      <w:pPr>
        <w:pStyle w:val="ListParagraph"/>
        <w:numPr>
          <w:ilvl w:val="0"/>
          <w:numId w:val="15"/>
        </w:numPr>
        <w:tabs>
          <w:tab w:val="left" w:pos="426"/>
        </w:tabs>
        <w:spacing w:line="360" w:lineRule="auto"/>
        <w:ind w:left="426" w:right="-613" w:hanging="426"/>
        <w:jc w:val="both"/>
        <w:rPr>
          <w:rFonts w:ascii="Arial" w:hAnsi="Arial" w:cs="Arial"/>
          <w:sz w:val="22"/>
          <w:szCs w:val="22"/>
        </w:rPr>
      </w:pPr>
      <w:r w:rsidRPr="002B1059">
        <w:rPr>
          <w:rFonts w:ascii="Arial" w:hAnsi="Arial" w:cs="Arial"/>
          <w:sz w:val="22"/>
          <w:szCs w:val="22"/>
        </w:rPr>
        <w:t>NCDs of Rs 562 Cr. carrying annual coupon of 0.01% p.a. to be issued against the amount of unsustainable debt.</w:t>
      </w:r>
    </w:p>
    <w:p w:rsidR="002B1059" w:rsidRDefault="007064CB" w:rsidP="00A0081D">
      <w:pPr>
        <w:pStyle w:val="ListParagraph"/>
        <w:numPr>
          <w:ilvl w:val="0"/>
          <w:numId w:val="15"/>
        </w:numPr>
        <w:tabs>
          <w:tab w:val="left" w:pos="426"/>
        </w:tabs>
        <w:spacing w:line="360" w:lineRule="auto"/>
        <w:ind w:left="426" w:right="-613" w:hanging="426"/>
        <w:jc w:val="both"/>
        <w:rPr>
          <w:rFonts w:ascii="Arial" w:hAnsi="Arial" w:cs="Arial"/>
          <w:sz w:val="22"/>
          <w:szCs w:val="22"/>
        </w:rPr>
      </w:pPr>
      <w:r w:rsidRPr="002B1059">
        <w:rPr>
          <w:rFonts w:ascii="Arial" w:hAnsi="Arial" w:cs="Arial"/>
          <w:sz w:val="22"/>
          <w:szCs w:val="22"/>
        </w:rPr>
        <w:t>Part B1 (OCDs against part Overdue Interest): Overdue Interest of Rs. 226 Cr. upto June 30, 2022 (upto March 31, 2024 for IIFCL NCDs) is to be converted to Optionally Convertible Debentures (OCDs).</w:t>
      </w:r>
    </w:p>
    <w:p w:rsidR="002B1059" w:rsidRDefault="007064CB" w:rsidP="00A0081D">
      <w:pPr>
        <w:pStyle w:val="ListParagraph"/>
        <w:numPr>
          <w:ilvl w:val="0"/>
          <w:numId w:val="15"/>
        </w:numPr>
        <w:tabs>
          <w:tab w:val="left" w:pos="426"/>
        </w:tabs>
        <w:spacing w:line="360" w:lineRule="auto"/>
        <w:ind w:left="426" w:right="-613" w:hanging="426"/>
        <w:jc w:val="both"/>
        <w:rPr>
          <w:rFonts w:ascii="Arial" w:hAnsi="Arial" w:cs="Arial"/>
          <w:sz w:val="22"/>
          <w:szCs w:val="22"/>
        </w:rPr>
      </w:pPr>
      <w:r w:rsidRPr="002B1059">
        <w:rPr>
          <w:rFonts w:ascii="Arial" w:hAnsi="Arial" w:cs="Arial"/>
          <w:sz w:val="22"/>
          <w:szCs w:val="22"/>
        </w:rPr>
        <w:t>OCDs of Rs. 208 Cr. against part Overdue Interest on Part A – RTL from April 01, 2021 to June 30, 2022.</w:t>
      </w:r>
    </w:p>
    <w:p w:rsidR="002B1059" w:rsidRDefault="007064CB" w:rsidP="00A0081D">
      <w:pPr>
        <w:pStyle w:val="ListParagraph"/>
        <w:numPr>
          <w:ilvl w:val="0"/>
          <w:numId w:val="15"/>
        </w:numPr>
        <w:tabs>
          <w:tab w:val="left" w:pos="426"/>
        </w:tabs>
        <w:spacing w:line="360" w:lineRule="auto"/>
        <w:ind w:left="426" w:right="-613" w:hanging="426"/>
        <w:jc w:val="both"/>
        <w:rPr>
          <w:rFonts w:ascii="Arial" w:hAnsi="Arial" w:cs="Arial"/>
          <w:sz w:val="22"/>
          <w:szCs w:val="22"/>
        </w:rPr>
      </w:pPr>
      <w:r w:rsidRPr="002B1059">
        <w:rPr>
          <w:rFonts w:ascii="Arial" w:hAnsi="Arial" w:cs="Arial"/>
          <w:sz w:val="22"/>
          <w:szCs w:val="22"/>
        </w:rPr>
        <w:t>OCDs of Rs. 18 Cr. against part Overdue Interest on Part A – IIFCL (NCD) from Mar 25, 2021 to March 31, 2024.</w:t>
      </w:r>
    </w:p>
    <w:p w:rsidR="007064CB" w:rsidRDefault="007064CB" w:rsidP="00A0081D">
      <w:pPr>
        <w:pStyle w:val="ListParagraph"/>
        <w:numPr>
          <w:ilvl w:val="0"/>
          <w:numId w:val="15"/>
        </w:numPr>
        <w:tabs>
          <w:tab w:val="left" w:pos="426"/>
        </w:tabs>
        <w:spacing w:line="360" w:lineRule="auto"/>
        <w:ind w:left="426" w:right="-613" w:hanging="426"/>
        <w:jc w:val="both"/>
        <w:rPr>
          <w:rFonts w:ascii="Arial" w:hAnsi="Arial" w:cs="Arial"/>
          <w:b/>
          <w:i/>
          <w:sz w:val="22"/>
          <w:szCs w:val="22"/>
        </w:rPr>
      </w:pPr>
      <w:r w:rsidRPr="002B1059">
        <w:rPr>
          <w:rFonts w:ascii="Arial" w:hAnsi="Arial" w:cs="Arial"/>
          <w:b/>
          <w:i/>
          <w:sz w:val="22"/>
          <w:szCs w:val="22"/>
        </w:rPr>
        <w:lastRenderedPageBreak/>
        <w:t xml:space="preserve">Equity against part Overdue Interest of RTL Lenders: Rs 33 Cr. of Overdue Interest is to be converted to equity </w:t>
      </w:r>
      <w:r w:rsidR="00A54738">
        <w:rPr>
          <w:rFonts w:ascii="Arial" w:hAnsi="Arial" w:cs="Arial"/>
          <w:b/>
          <w:i/>
          <w:sz w:val="22"/>
          <w:szCs w:val="22"/>
        </w:rPr>
        <w:t>of the company</w:t>
      </w:r>
      <w:r w:rsidRPr="002B1059">
        <w:rPr>
          <w:rFonts w:ascii="Arial" w:hAnsi="Arial" w:cs="Arial"/>
          <w:b/>
          <w:i/>
          <w:sz w:val="22"/>
          <w:szCs w:val="22"/>
        </w:rPr>
        <w:t>.</w:t>
      </w:r>
    </w:p>
    <w:p w:rsidR="00C20398" w:rsidRDefault="00C20398" w:rsidP="00C20398">
      <w:pPr>
        <w:tabs>
          <w:tab w:val="left" w:pos="426"/>
        </w:tabs>
        <w:spacing w:line="360" w:lineRule="auto"/>
        <w:ind w:right="-613"/>
        <w:jc w:val="both"/>
        <w:rPr>
          <w:rFonts w:ascii="Arial" w:hAnsi="Arial" w:cs="Arial"/>
          <w:b/>
          <w:sz w:val="22"/>
          <w:szCs w:val="22"/>
        </w:rPr>
      </w:pPr>
      <w:r w:rsidRPr="00C20398">
        <w:rPr>
          <w:rFonts w:ascii="Arial" w:hAnsi="Arial" w:cs="Arial"/>
          <w:b/>
          <w:sz w:val="22"/>
          <w:szCs w:val="22"/>
        </w:rPr>
        <w:t>Other Terms:</w:t>
      </w:r>
    </w:p>
    <w:p w:rsidR="00C20398" w:rsidRPr="00C20398" w:rsidRDefault="00C20398" w:rsidP="00A0081D">
      <w:pPr>
        <w:pStyle w:val="ListParagraph"/>
        <w:numPr>
          <w:ilvl w:val="0"/>
          <w:numId w:val="18"/>
        </w:numPr>
        <w:tabs>
          <w:tab w:val="left" w:pos="426"/>
        </w:tabs>
        <w:spacing w:line="360" w:lineRule="auto"/>
        <w:ind w:left="426" w:right="-613"/>
        <w:jc w:val="both"/>
        <w:rPr>
          <w:rFonts w:ascii="Arial" w:hAnsi="Arial" w:cs="Arial"/>
          <w:b/>
          <w:sz w:val="22"/>
          <w:szCs w:val="22"/>
        </w:rPr>
      </w:pPr>
      <w:r w:rsidRPr="00C20398">
        <w:rPr>
          <w:rFonts w:ascii="Arial" w:hAnsi="Arial" w:cs="Arial"/>
          <w:sz w:val="22"/>
          <w:szCs w:val="22"/>
        </w:rPr>
        <w:t>Lenders shall have Right of Recompense to recover sacrifices on account of reduction in rate of interest and conversion of outstanding debt into unsustainable debt, under the Resolution Plan.</w:t>
      </w:r>
    </w:p>
    <w:p w:rsidR="00C20398" w:rsidRPr="00C20398" w:rsidRDefault="00C20398" w:rsidP="00A0081D">
      <w:pPr>
        <w:pStyle w:val="ListParagraph"/>
        <w:numPr>
          <w:ilvl w:val="0"/>
          <w:numId w:val="18"/>
        </w:numPr>
        <w:tabs>
          <w:tab w:val="left" w:pos="426"/>
        </w:tabs>
        <w:spacing w:line="360" w:lineRule="auto"/>
        <w:ind w:left="426" w:right="-613"/>
        <w:jc w:val="both"/>
        <w:rPr>
          <w:rFonts w:ascii="Arial" w:hAnsi="Arial" w:cs="Arial"/>
          <w:b/>
          <w:sz w:val="22"/>
          <w:szCs w:val="22"/>
        </w:rPr>
      </w:pPr>
      <w:r w:rsidRPr="00C20398">
        <w:rPr>
          <w:rFonts w:ascii="Arial" w:hAnsi="Arial" w:cs="Arial"/>
          <w:sz w:val="22"/>
          <w:szCs w:val="22"/>
        </w:rPr>
        <w:t>Lenders shall have right to revoke the Resolution Plan (as per RBI guidelines) in the event of failure of the company to service its debt as per the terms of the RP.</w:t>
      </w:r>
    </w:p>
    <w:p w:rsidR="00C20398" w:rsidRPr="00C20398" w:rsidRDefault="00C20398" w:rsidP="00A0081D">
      <w:pPr>
        <w:pStyle w:val="ListParagraph"/>
        <w:numPr>
          <w:ilvl w:val="0"/>
          <w:numId w:val="18"/>
        </w:numPr>
        <w:tabs>
          <w:tab w:val="left" w:pos="426"/>
        </w:tabs>
        <w:spacing w:line="360" w:lineRule="auto"/>
        <w:ind w:left="426" w:right="-613"/>
        <w:jc w:val="both"/>
        <w:rPr>
          <w:rFonts w:ascii="Arial" w:hAnsi="Arial" w:cs="Arial"/>
          <w:b/>
          <w:sz w:val="22"/>
          <w:szCs w:val="22"/>
        </w:rPr>
      </w:pPr>
      <w:r w:rsidRPr="00C20398">
        <w:rPr>
          <w:rFonts w:ascii="Arial" w:hAnsi="Arial" w:cs="Arial"/>
          <w:sz w:val="22"/>
          <w:szCs w:val="22"/>
        </w:rPr>
        <w:t>Company to maintain a DSRA for ensuing 2 quarter principal and interest for Part A facilities, 1 quarter upfront and 1 quarter subsequently from project cash flows</w:t>
      </w:r>
    </w:p>
    <w:p w:rsidR="00C20398" w:rsidRPr="00C20398" w:rsidRDefault="00C20398" w:rsidP="00A0081D">
      <w:pPr>
        <w:pStyle w:val="ListParagraph"/>
        <w:numPr>
          <w:ilvl w:val="0"/>
          <w:numId w:val="18"/>
        </w:numPr>
        <w:tabs>
          <w:tab w:val="left" w:pos="426"/>
        </w:tabs>
        <w:spacing w:line="360" w:lineRule="auto"/>
        <w:ind w:left="426" w:right="-613"/>
        <w:jc w:val="both"/>
        <w:rPr>
          <w:rFonts w:ascii="Arial" w:hAnsi="Arial" w:cs="Arial"/>
          <w:b/>
          <w:sz w:val="22"/>
          <w:szCs w:val="22"/>
        </w:rPr>
      </w:pPr>
      <w:r w:rsidRPr="00C20398">
        <w:rPr>
          <w:rFonts w:ascii="Arial" w:hAnsi="Arial" w:cs="Arial"/>
          <w:sz w:val="22"/>
          <w:szCs w:val="22"/>
        </w:rPr>
        <w:t>A minimum DSRA Rs. 160 Cr shall be maintained from FY 2029 till tenor of Part-A loan.</w:t>
      </w:r>
    </w:p>
    <w:p w:rsidR="00C20398" w:rsidRPr="00C20398" w:rsidRDefault="00C20398" w:rsidP="00A0081D">
      <w:pPr>
        <w:pStyle w:val="ListParagraph"/>
        <w:numPr>
          <w:ilvl w:val="0"/>
          <w:numId w:val="18"/>
        </w:numPr>
        <w:tabs>
          <w:tab w:val="left" w:pos="426"/>
        </w:tabs>
        <w:spacing w:line="360" w:lineRule="auto"/>
        <w:ind w:left="426" w:right="-613"/>
        <w:jc w:val="both"/>
        <w:rPr>
          <w:rFonts w:ascii="Arial" w:hAnsi="Arial" w:cs="Arial"/>
          <w:b/>
          <w:sz w:val="22"/>
          <w:szCs w:val="22"/>
        </w:rPr>
      </w:pPr>
      <w:r w:rsidRPr="00C20398">
        <w:rPr>
          <w:rFonts w:ascii="Arial" w:hAnsi="Arial" w:cs="Arial"/>
          <w:sz w:val="22"/>
          <w:szCs w:val="22"/>
        </w:rPr>
        <w:t>Rs. 52 Cr, received by lenders in FY22 to be used for Debt Service Reserve / adjusted against Part A principal repayment for the y</w:t>
      </w:r>
      <w:r>
        <w:rPr>
          <w:rFonts w:ascii="Arial" w:hAnsi="Arial" w:cs="Arial"/>
          <w:sz w:val="22"/>
          <w:szCs w:val="22"/>
        </w:rPr>
        <w:t>ear</w:t>
      </w:r>
    </w:p>
    <w:p w:rsidR="00C20398" w:rsidRPr="00C20398" w:rsidRDefault="00C20398" w:rsidP="00A0081D">
      <w:pPr>
        <w:pStyle w:val="ListParagraph"/>
        <w:numPr>
          <w:ilvl w:val="0"/>
          <w:numId w:val="18"/>
        </w:numPr>
        <w:tabs>
          <w:tab w:val="left" w:pos="426"/>
        </w:tabs>
        <w:spacing w:line="360" w:lineRule="auto"/>
        <w:ind w:left="426" w:right="-613"/>
        <w:jc w:val="both"/>
        <w:rPr>
          <w:rFonts w:ascii="Arial" w:hAnsi="Arial" w:cs="Arial"/>
          <w:b/>
          <w:sz w:val="22"/>
          <w:szCs w:val="22"/>
        </w:rPr>
      </w:pPr>
      <w:r w:rsidRPr="00C20398">
        <w:rPr>
          <w:rFonts w:ascii="Arial" w:hAnsi="Arial" w:cs="Arial"/>
          <w:sz w:val="22"/>
          <w:szCs w:val="22"/>
        </w:rPr>
        <w:t>Post upgradation of account in June 2023, Lenders shall have a right to cash Sweep 100% cash surplus above DSCR level of 1.10 (subject to minimum cash balance of Rs. 100 Cr). Cash Sweep shall be utilized in the following order of priority:</w:t>
      </w:r>
    </w:p>
    <w:p w:rsidR="00C20398" w:rsidRPr="00C20398" w:rsidRDefault="00C20398" w:rsidP="00A0081D">
      <w:pPr>
        <w:pStyle w:val="ListParagraph"/>
        <w:numPr>
          <w:ilvl w:val="0"/>
          <w:numId w:val="19"/>
        </w:numPr>
        <w:tabs>
          <w:tab w:val="left" w:pos="426"/>
        </w:tabs>
        <w:spacing w:line="360" w:lineRule="auto"/>
        <w:ind w:right="-613"/>
        <w:jc w:val="both"/>
        <w:rPr>
          <w:rFonts w:ascii="Arial" w:hAnsi="Arial" w:cs="Arial"/>
          <w:b/>
          <w:sz w:val="22"/>
          <w:szCs w:val="22"/>
        </w:rPr>
      </w:pPr>
      <w:r w:rsidRPr="00C20398">
        <w:rPr>
          <w:rFonts w:ascii="Arial" w:hAnsi="Arial" w:cs="Arial"/>
          <w:sz w:val="22"/>
          <w:szCs w:val="22"/>
        </w:rPr>
        <w:t>Redemption of Part B NCD</w:t>
      </w:r>
    </w:p>
    <w:p w:rsidR="00C20398" w:rsidRPr="00C20398" w:rsidRDefault="00C20398" w:rsidP="00A0081D">
      <w:pPr>
        <w:pStyle w:val="ListParagraph"/>
        <w:numPr>
          <w:ilvl w:val="0"/>
          <w:numId w:val="19"/>
        </w:numPr>
        <w:tabs>
          <w:tab w:val="left" w:pos="426"/>
        </w:tabs>
        <w:spacing w:line="360" w:lineRule="auto"/>
        <w:ind w:right="-613"/>
        <w:jc w:val="both"/>
        <w:rPr>
          <w:rFonts w:ascii="Arial" w:hAnsi="Arial" w:cs="Arial"/>
          <w:b/>
          <w:sz w:val="22"/>
          <w:szCs w:val="22"/>
        </w:rPr>
      </w:pPr>
      <w:r w:rsidRPr="00C20398">
        <w:rPr>
          <w:rFonts w:ascii="Arial" w:hAnsi="Arial" w:cs="Arial"/>
          <w:sz w:val="22"/>
          <w:szCs w:val="22"/>
        </w:rPr>
        <w:t>Redemption of Part B1 OCD</w:t>
      </w:r>
    </w:p>
    <w:p w:rsidR="00C20398" w:rsidRPr="00C20398" w:rsidRDefault="00C20398" w:rsidP="00A0081D">
      <w:pPr>
        <w:pStyle w:val="ListParagraph"/>
        <w:numPr>
          <w:ilvl w:val="0"/>
          <w:numId w:val="19"/>
        </w:numPr>
        <w:tabs>
          <w:tab w:val="left" w:pos="426"/>
        </w:tabs>
        <w:spacing w:line="360" w:lineRule="auto"/>
        <w:ind w:right="-613"/>
        <w:jc w:val="both"/>
        <w:rPr>
          <w:rFonts w:ascii="Arial" w:hAnsi="Arial" w:cs="Arial"/>
          <w:b/>
          <w:sz w:val="22"/>
          <w:szCs w:val="22"/>
        </w:rPr>
      </w:pPr>
      <w:r w:rsidRPr="00C20398">
        <w:rPr>
          <w:rFonts w:ascii="Arial" w:hAnsi="Arial" w:cs="Arial"/>
          <w:sz w:val="22"/>
          <w:szCs w:val="22"/>
        </w:rPr>
        <w:t>Repayment of Part A</w:t>
      </w:r>
    </w:p>
    <w:p w:rsidR="00C20398" w:rsidRPr="00C20398" w:rsidRDefault="00C20398" w:rsidP="00A0081D">
      <w:pPr>
        <w:pStyle w:val="ListParagraph"/>
        <w:numPr>
          <w:ilvl w:val="0"/>
          <w:numId w:val="19"/>
        </w:numPr>
        <w:tabs>
          <w:tab w:val="left" w:pos="426"/>
        </w:tabs>
        <w:spacing w:line="360" w:lineRule="auto"/>
        <w:ind w:right="-613"/>
        <w:jc w:val="both"/>
        <w:rPr>
          <w:rFonts w:ascii="Arial" w:hAnsi="Arial" w:cs="Arial"/>
          <w:b/>
          <w:sz w:val="22"/>
          <w:szCs w:val="22"/>
        </w:rPr>
      </w:pPr>
      <w:r w:rsidRPr="00C20398">
        <w:rPr>
          <w:rFonts w:ascii="Arial" w:hAnsi="Arial" w:cs="Arial"/>
          <w:sz w:val="22"/>
          <w:szCs w:val="22"/>
        </w:rPr>
        <w:t>Right of Recompense</w:t>
      </w:r>
    </w:p>
    <w:p w:rsidR="00C20398" w:rsidRDefault="00C20398" w:rsidP="00A0081D">
      <w:pPr>
        <w:pStyle w:val="ListParagraph"/>
        <w:numPr>
          <w:ilvl w:val="0"/>
          <w:numId w:val="18"/>
        </w:numPr>
        <w:tabs>
          <w:tab w:val="left" w:pos="426"/>
        </w:tabs>
        <w:spacing w:line="360" w:lineRule="auto"/>
        <w:ind w:left="426" w:right="-613"/>
        <w:jc w:val="both"/>
        <w:rPr>
          <w:rFonts w:ascii="Arial" w:hAnsi="Arial" w:cs="Arial"/>
          <w:sz w:val="22"/>
          <w:szCs w:val="22"/>
        </w:rPr>
      </w:pPr>
      <w:r w:rsidRPr="00C20398">
        <w:rPr>
          <w:rFonts w:ascii="Arial" w:hAnsi="Arial" w:cs="Arial"/>
          <w:sz w:val="22"/>
          <w:szCs w:val="22"/>
        </w:rPr>
        <w:t xml:space="preserve"> Company to create sinking fund for redemption of NCD/OCD and keep the funds invested in liquid investments/ securities (Government bonds) as required under RBI Master Circular – Prudential Norms for Classification, Valuation and Operation of Investment Portfolio by Banks dated July 1, 2015</w:t>
      </w:r>
    </w:p>
    <w:p w:rsidR="00C20398" w:rsidRDefault="00C20398" w:rsidP="00A0081D">
      <w:pPr>
        <w:pStyle w:val="ListParagraph"/>
        <w:numPr>
          <w:ilvl w:val="0"/>
          <w:numId w:val="18"/>
        </w:numPr>
        <w:tabs>
          <w:tab w:val="left" w:pos="426"/>
        </w:tabs>
        <w:spacing w:line="360" w:lineRule="auto"/>
        <w:ind w:left="426" w:right="-613"/>
        <w:jc w:val="both"/>
        <w:rPr>
          <w:rFonts w:ascii="Arial" w:hAnsi="Arial" w:cs="Arial"/>
          <w:sz w:val="22"/>
          <w:szCs w:val="22"/>
        </w:rPr>
      </w:pPr>
      <w:r w:rsidRPr="00C20398">
        <w:rPr>
          <w:rFonts w:ascii="Arial" w:hAnsi="Arial" w:cs="Arial"/>
          <w:sz w:val="22"/>
          <w:szCs w:val="22"/>
        </w:rPr>
        <w:t>In case of early realization of the regulatory receivables amounting to Rs. 350 Crore, the same shall be utilized towards prepayment (without any prepayment charges) of Part A debt in order of forward maturity in line with utilization projected as per Resolution Plan.</w:t>
      </w:r>
    </w:p>
    <w:p w:rsidR="00C20398" w:rsidRPr="00C20398" w:rsidRDefault="00C20398" w:rsidP="00A0081D">
      <w:pPr>
        <w:pStyle w:val="ListParagraph"/>
        <w:numPr>
          <w:ilvl w:val="0"/>
          <w:numId w:val="18"/>
        </w:numPr>
        <w:tabs>
          <w:tab w:val="left" w:pos="426"/>
        </w:tabs>
        <w:spacing w:line="360" w:lineRule="auto"/>
        <w:ind w:left="426" w:right="-613"/>
        <w:jc w:val="both"/>
        <w:rPr>
          <w:rFonts w:ascii="Arial" w:hAnsi="Arial" w:cs="Arial"/>
          <w:sz w:val="22"/>
          <w:szCs w:val="22"/>
        </w:rPr>
      </w:pPr>
      <w:r w:rsidRPr="00C20398">
        <w:rPr>
          <w:rFonts w:ascii="Arial" w:hAnsi="Arial" w:cs="Arial"/>
          <w:sz w:val="22"/>
          <w:szCs w:val="22"/>
        </w:rPr>
        <w:t>Part B &amp; Part B1 debt (i.e., NCDs and OCDs issued under the Resolution Plan) will be subordinated to Part A in terms of debt servicing.</w:t>
      </w:r>
    </w:p>
    <w:p w:rsidR="002B1059" w:rsidRPr="002B1059" w:rsidRDefault="002B1059" w:rsidP="002B1059">
      <w:pPr>
        <w:tabs>
          <w:tab w:val="left" w:pos="426"/>
        </w:tabs>
        <w:spacing w:line="360" w:lineRule="auto"/>
        <w:ind w:right="-613"/>
        <w:jc w:val="both"/>
        <w:rPr>
          <w:rFonts w:ascii="Arial" w:hAnsi="Arial" w:cs="Arial"/>
          <w:b/>
          <w:sz w:val="22"/>
          <w:szCs w:val="22"/>
        </w:rPr>
      </w:pPr>
      <w:r w:rsidRPr="002B1059">
        <w:rPr>
          <w:rFonts w:ascii="Arial" w:hAnsi="Arial" w:cs="Arial"/>
          <w:b/>
          <w:sz w:val="22"/>
          <w:szCs w:val="22"/>
        </w:rPr>
        <w:lastRenderedPageBreak/>
        <w:t>Post-Restructuring Debt</w:t>
      </w:r>
      <w:r>
        <w:rPr>
          <w:rFonts w:ascii="Arial" w:hAnsi="Arial" w:cs="Arial"/>
          <w:b/>
          <w:sz w:val="22"/>
          <w:szCs w:val="22"/>
        </w:rPr>
        <w:t>:</w:t>
      </w:r>
    </w:p>
    <w:tbl>
      <w:tblPr>
        <w:tblW w:w="520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736"/>
        <w:gridCol w:w="6379"/>
      </w:tblGrid>
      <w:tr w:rsidR="00C11E53" w:rsidRPr="00D279DD" w:rsidTr="00D279DD">
        <w:trPr>
          <w:trHeight w:val="300"/>
        </w:trPr>
        <w:tc>
          <w:tcPr>
            <w:tcW w:w="728" w:type="pct"/>
            <w:shd w:val="clear" w:color="auto" w:fill="002060"/>
            <w:noWrap/>
            <w:vAlign w:val="center"/>
          </w:tcPr>
          <w:p w:rsidR="002B1059" w:rsidRPr="00D279DD" w:rsidRDefault="002B1059" w:rsidP="00D279DD">
            <w:pPr>
              <w:spacing w:after="0" w:line="360" w:lineRule="auto"/>
              <w:jc w:val="center"/>
              <w:rPr>
                <w:rFonts w:asciiTheme="minorHAnsi" w:hAnsiTheme="minorHAnsi" w:cstheme="minorHAnsi"/>
                <w:b/>
                <w:color w:val="FFFFFF" w:themeColor="background1"/>
                <w:sz w:val="22"/>
                <w:szCs w:val="22"/>
                <w:lang w:eastAsia="en-IN"/>
              </w:rPr>
            </w:pPr>
            <w:r w:rsidRPr="00D279DD">
              <w:rPr>
                <w:rFonts w:asciiTheme="minorHAnsi" w:hAnsiTheme="minorHAnsi" w:cstheme="minorHAnsi"/>
                <w:b/>
                <w:color w:val="FFFFFF" w:themeColor="background1"/>
                <w:sz w:val="22"/>
                <w:szCs w:val="22"/>
                <w:lang w:eastAsia="en-IN"/>
              </w:rPr>
              <w:t>Facilities</w:t>
            </w:r>
          </w:p>
        </w:tc>
        <w:tc>
          <w:tcPr>
            <w:tcW w:w="914" w:type="pct"/>
            <w:shd w:val="clear" w:color="auto" w:fill="002060"/>
            <w:noWrap/>
            <w:vAlign w:val="center"/>
          </w:tcPr>
          <w:p w:rsidR="002B1059" w:rsidRPr="00D279DD" w:rsidRDefault="002B1059" w:rsidP="00D279DD">
            <w:pPr>
              <w:spacing w:after="0" w:line="360" w:lineRule="auto"/>
              <w:jc w:val="center"/>
              <w:rPr>
                <w:rFonts w:asciiTheme="minorHAnsi" w:hAnsiTheme="minorHAnsi" w:cstheme="minorHAnsi"/>
                <w:b/>
                <w:color w:val="FFFFFF" w:themeColor="background1"/>
                <w:sz w:val="22"/>
                <w:szCs w:val="22"/>
                <w:lang w:eastAsia="en-IN"/>
              </w:rPr>
            </w:pPr>
            <w:r w:rsidRPr="00D279DD">
              <w:rPr>
                <w:rFonts w:asciiTheme="minorHAnsi" w:hAnsiTheme="minorHAnsi" w:cstheme="minorHAnsi"/>
                <w:b/>
                <w:color w:val="FFFFFF" w:themeColor="background1"/>
                <w:sz w:val="22"/>
                <w:szCs w:val="22"/>
                <w:lang w:eastAsia="en-IN"/>
              </w:rPr>
              <w:t>O/s Amount (INR Crore)</w:t>
            </w:r>
          </w:p>
        </w:tc>
        <w:tc>
          <w:tcPr>
            <w:tcW w:w="3358" w:type="pct"/>
            <w:shd w:val="clear" w:color="auto" w:fill="002060"/>
          </w:tcPr>
          <w:p w:rsidR="002B1059" w:rsidRPr="00D279DD" w:rsidRDefault="002B1059" w:rsidP="00D279DD">
            <w:pPr>
              <w:spacing w:after="0" w:line="360" w:lineRule="auto"/>
              <w:jc w:val="center"/>
              <w:rPr>
                <w:rFonts w:asciiTheme="minorHAnsi" w:hAnsiTheme="minorHAnsi" w:cstheme="minorHAnsi"/>
                <w:b/>
                <w:color w:val="FFFFFF" w:themeColor="background1"/>
                <w:sz w:val="22"/>
                <w:szCs w:val="22"/>
                <w:lang w:eastAsia="en-IN"/>
              </w:rPr>
            </w:pPr>
            <w:r w:rsidRPr="00D279DD">
              <w:rPr>
                <w:rFonts w:asciiTheme="minorHAnsi" w:hAnsiTheme="minorHAnsi" w:cstheme="minorHAnsi"/>
                <w:b/>
                <w:color w:val="FFFFFF" w:themeColor="background1"/>
                <w:sz w:val="22"/>
                <w:szCs w:val="22"/>
                <w:lang w:eastAsia="en-IN"/>
              </w:rPr>
              <w:t>Description</w:t>
            </w:r>
          </w:p>
        </w:tc>
      </w:tr>
      <w:tr w:rsidR="00253E66" w:rsidRPr="00D279DD" w:rsidTr="00D279DD">
        <w:trPr>
          <w:trHeight w:val="300"/>
        </w:trPr>
        <w:tc>
          <w:tcPr>
            <w:tcW w:w="728" w:type="pct"/>
            <w:shd w:val="clear" w:color="auto" w:fill="auto"/>
            <w:noWrap/>
            <w:vAlign w:val="center"/>
          </w:tcPr>
          <w:p w:rsidR="002B1059" w:rsidRPr="00D279DD" w:rsidRDefault="002B1059" w:rsidP="00D279DD">
            <w:pPr>
              <w:spacing w:after="0" w:line="360" w:lineRule="auto"/>
              <w:jc w:val="center"/>
              <w:rPr>
                <w:rFonts w:asciiTheme="minorHAnsi" w:hAnsiTheme="minorHAnsi" w:cstheme="minorHAnsi"/>
                <w:b/>
                <w:color w:val="000000"/>
                <w:sz w:val="22"/>
                <w:szCs w:val="22"/>
                <w:lang w:eastAsia="en-IN"/>
              </w:rPr>
            </w:pPr>
            <w:r w:rsidRPr="00D279DD">
              <w:rPr>
                <w:rFonts w:asciiTheme="minorHAnsi" w:hAnsiTheme="minorHAnsi" w:cstheme="minorHAnsi"/>
                <w:b/>
                <w:color w:val="000000"/>
                <w:sz w:val="22"/>
                <w:szCs w:val="22"/>
                <w:lang w:eastAsia="en-IN"/>
              </w:rPr>
              <w:t>Part A – RTL</w:t>
            </w:r>
          </w:p>
        </w:tc>
        <w:tc>
          <w:tcPr>
            <w:tcW w:w="914" w:type="pct"/>
            <w:shd w:val="clear" w:color="auto" w:fill="auto"/>
            <w:noWrap/>
            <w:vAlign w:val="center"/>
          </w:tcPr>
          <w:p w:rsidR="002B1059" w:rsidRPr="00D279DD" w:rsidRDefault="002B1059" w:rsidP="00D279DD">
            <w:pPr>
              <w:spacing w:after="0" w:line="360" w:lineRule="auto"/>
              <w:jc w:val="center"/>
              <w:rPr>
                <w:rFonts w:asciiTheme="minorHAnsi" w:hAnsiTheme="minorHAnsi" w:cstheme="minorHAnsi"/>
                <w:color w:val="000000"/>
                <w:sz w:val="22"/>
                <w:szCs w:val="22"/>
                <w:lang w:eastAsia="en-IN"/>
              </w:rPr>
            </w:pPr>
            <w:r w:rsidRPr="00D279DD">
              <w:rPr>
                <w:rFonts w:asciiTheme="minorHAnsi" w:hAnsiTheme="minorHAnsi" w:cstheme="minorHAnsi"/>
                <w:color w:val="000000"/>
                <w:sz w:val="22"/>
                <w:szCs w:val="22"/>
                <w:lang w:eastAsia="en-IN"/>
              </w:rPr>
              <w:t>2,276</w:t>
            </w:r>
          </w:p>
        </w:tc>
        <w:tc>
          <w:tcPr>
            <w:tcW w:w="3358" w:type="pct"/>
          </w:tcPr>
          <w:p w:rsidR="00D279DD" w:rsidRDefault="002B1059" w:rsidP="00D279DD">
            <w:pPr>
              <w:pStyle w:val="ListParagraph"/>
              <w:numPr>
                <w:ilvl w:val="0"/>
                <w:numId w:val="24"/>
              </w:numPr>
              <w:spacing w:after="0" w:line="360" w:lineRule="auto"/>
              <w:ind w:left="317"/>
              <w:jc w:val="both"/>
              <w:rPr>
                <w:rFonts w:asciiTheme="minorHAnsi" w:hAnsiTheme="minorHAnsi" w:cstheme="minorHAnsi"/>
                <w:color w:val="000000"/>
                <w:sz w:val="22"/>
                <w:szCs w:val="22"/>
                <w:lang w:eastAsia="en-IN"/>
              </w:rPr>
            </w:pPr>
            <w:r w:rsidRPr="00D279DD">
              <w:rPr>
                <w:rFonts w:asciiTheme="minorHAnsi" w:hAnsiTheme="minorHAnsi" w:cstheme="minorHAnsi"/>
                <w:color w:val="000000"/>
                <w:sz w:val="22"/>
                <w:szCs w:val="22"/>
                <w:lang w:eastAsia="en-IN"/>
              </w:rPr>
              <w:t>Sustainable Debt (excluding ICICI) repayable in 61 structured quarterly instalments starting from March 31, 2022 till end of loan tenor i.e., March 31, 2037.</w:t>
            </w:r>
          </w:p>
          <w:p w:rsidR="00D279DD" w:rsidRDefault="002B1059" w:rsidP="00D279DD">
            <w:pPr>
              <w:pStyle w:val="ListParagraph"/>
              <w:numPr>
                <w:ilvl w:val="0"/>
                <w:numId w:val="24"/>
              </w:numPr>
              <w:spacing w:after="0" w:line="360" w:lineRule="auto"/>
              <w:ind w:left="317"/>
              <w:jc w:val="both"/>
              <w:rPr>
                <w:rFonts w:asciiTheme="minorHAnsi" w:hAnsiTheme="minorHAnsi" w:cstheme="minorHAnsi"/>
                <w:color w:val="000000"/>
                <w:sz w:val="22"/>
                <w:szCs w:val="22"/>
                <w:lang w:eastAsia="en-IN"/>
              </w:rPr>
            </w:pPr>
            <w:r w:rsidRPr="00D279DD">
              <w:rPr>
                <w:rFonts w:asciiTheme="minorHAnsi" w:hAnsiTheme="minorHAnsi" w:cstheme="minorHAnsi"/>
                <w:color w:val="000000"/>
                <w:sz w:val="22"/>
                <w:szCs w:val="22"/>
                <w:lang w:eastAsia="en-IN"/>
              </w:rPr>
              <w:t>ICICI – 1 Facility repayable in 61 structured quarterly instalments starting from March 31, 2022 till end of loan tenor i.e., March 31, 2037.</w:t>
            </w:r>
          </w:p>
          <w:p w:rsidR="00D279DD" w:rsidRDefault="002B1059" w:rsidP="00D279DD">
            <w:pPr>
              <w:pStyle w:val="ListParagraph"/>
              <w:numPr>
                <w:ilvl w:val="0"/>
                <w:numId w:val="24"/>
              </w:numPr>
              <w:spacing w:after="0" w:line="360" w:lineRule="auto"/>
              <w:ind w:left="317"/>
              <w:jc w:val="both"/>
              <w:rPr>
                <w:rFonts w:asciiTheme="minorHAnsi" w:hAnsiTheme="minorHAnsi" w:cstheme="minorHAnsi"/>
                <w:color w:val="000000"/>
                <w:sz w:val="22"/>
                <w:szCs w:val="22"/>
                <w:lang w:eastAsia="en-IN"/>
              </w:rPr>
            </w:pPr>
            <w:r w:rsidRPr="00D279DD">
              <w:rPr>
                <w:rFonts w:asciiTheme="minorHAnsi" w:hAnsiTheme="minorHAnsi" w:cstheme="minorHAnsi"/>
                <w:color w:val="000000"/>
                <w:sz w:val="22"/>
                <w:szCs w:val="22"/>
                <w:lang w:eastAsia="en-IN"/>
              </w:rPr>
              <w:t>ICICI – 2 Facility repayable in 13 structured quarterly instalments starting from March 31, 2022 till end of loan tenor i.e., March 31, 2025.</w:t>
            </w:r>
          </w:p>
          <w:p w:rsidR="00D279DD" w:rsidRDefault="002B1059" w:rsidP="00D279DD">
            <w:pPr>
              <w:pStyle w:val="ListParagraph"/>
              <w:numPr>
                <w:ilvl w:val="0"/>
                <w:numId w:val="24"/>
              </w:numPr>
              <w:spacing w:after="0" w:line="360" w:lineRule="auto"/>
              <w:ind w:left="317"/>
              <w:jc w:val="both"/>
              <w:rPr>
                <w:rFonts w:asciiTheme="minorHAnsi" w:hAnsiTheme="minorHAnsi" w:cstheme="minorHAnsi"/>
                <w:color w:val="000000"/>
                <w:sz w:val="22"/>
                <w:szCs w:val="22"/>
                <w:lang w:eastAsia="en-IN"/>
              </w:rPr>
            </w:pPr>
            <w:r w:rsidRPr="00D279DD">
              <w:rPr>
                <w:rFonts w:asciiTheme="minorHAnsi" w:hAnsiTheme="minorHAnsi" w:cstheme="minorHAnsi"/>
                <w:color w:val="000000"/>
                <w:sz w:val="22"/>
                <w:szCs w:val="22"/>
                <w:lang w:eastAsia="en-IN"/>
              </w:rPr>
              <w:t>ICICI – 3 Facility repayable in 33 structured quarterly instalments starting from March 31, 2022 till end of loan tenor i.e., March 31, 2030.</w:t>
            </w:r>
          </w:p>
          <w:p w:rsidR="00D279DD" w:rsidRDefault="002B1059" w:rsidP="00D279DD">
            <w:pPr>
              <w:pStyle w:val="ListParagraph"/>
              <w:numPr>
                <w:ilvl w:val="0"/>
                <w:numId w:val="24"/>
              </w:numPr>
              <w:spacing w:after="0" w:line="360" w:lineRule="auto"/>
              <w:ind w:left="317"/>
              <w:jc w:val="both"/>
              <w:rPr>
                <w:rFonts w:asciiTheme="minorHAnsi" w:hAnsiTheme="minorHAnsi" w:cstheme="minorHAnsi"/>
                <w:color w:val="000000"/>
                <w:sz w:val="22"/>
                <w:szCs w:val="22"/>
                <w:lang w:eastAsia="en-IN"/>
              </w:rPr>
            </w:pPr>
            <w:r w:rsidRPr="00D279DD">
              <w:rPr>
                <w:rFonts w:asciiTheme="minorHAnsi" w:hAnsiTheme="minorHAnsi" w:cstheme="minorHAnsi"/>
                <w:color w:val="000000"/>
                <w:sz w:val="22"/>
                <w:szCs w:val="22"/>
                <w:lang w:eastAsia="en-IN"/>
              </w:rPr>
              <w:t>Fixed Rate of Interest @ 8.5% p.a. from April 01, 2021 till end of loan tenor.</w:t>
            </w:r>
          </w:p>
          <w:p w:rsidR="002B1059" w:rsidRPr="00D279DD" w:rsidRDefault="002B1059" w:rsidP="00D279DD">
            <w:pPr>
              <w:pStyle w:val="ListParagraph"/>
              <w:numPr>
                <w:ilvl w:val="0"/>
                <w:numId w:val="24"/>
              </w:numPr>
              <w:spacing w:after="0" w:line="360" w:lineRule="auto"/>
              <w:ind w:left="317"/>
              <w:jc w:val="both"/>
              <w:rPr>
                <w:rFonts w:asciiTheme="minorHAnsi" w:hAnsiTheme="minorHAnsi" w:cstheme="minorHAnsi"/>
                <w:color w:val="000000"/>
                <w:sz w:val="22"/>
                <w:szCs w:val="22"/>
                <w:lang w:eastAsia="en-IN"/>
              </w:rPr>
            </w:pPr>
            <w:r w:rsidRPr="00D279DD">
              <w:rPr>
                <w:rFonts w:asciiTheme="minorHAnsi" w:hAnsiTheme="minorHAnsi" w:cstheme="minorHAnsi"/>
                <w:color w:val="000000"/>
                <w:sz w:val="22"/>
                <w:szCs w:val="22"/>
                <w:lang w:eastAsia="en-IN"/>
              </w:rPr>
              <w:t>Interest for 15 months from April 01, 2021, till June 30, 2022 to be converted into Optionally Convertible Debentures / Equity.</w:t>
            </w:r>
          </w:p>
        </w:tc>
      </w:tr>
      <w:tr w:rsidR="00253E66" w:rsidRPr="00D279DD" w:rsidTr="00D279DD">
        <w:trPr>
          <w:trHeight w:val="300"/>
        </w:trPr>
        <w:tc>
          <w:tcPr>
            <w:tcW w:w="728" w:type="pct"/>
            <w:shd w:val="clear" w:color="auto" w:fill="auto"/>
            <w:noWrap/>
            <w:vAlign w:val="center"/>
          </w:tcPr>
          <w:p w:rsidR="002B1059" w:rsidRPr="00D279DD" w:rsidRDefault="002B1059" w:rsidP="00D279DD">
            <w:pPr>
              <w:spacing w:after="0" w:line="360" w:lineRule="auto"/>
              <w:jc w:val="center"/>
              <w:rPr>
                <w:rFonts w:asciiTheme="minorHAnsi" w:hAnsiTheme="minorHAnsi" w:cstheme="minorHAnsi"/>
                <w:b/>
                <w:color w:val="000000"/>
                <w:sz w:val="22"/>
                <w:szCs w:val="22"/>
                <w:lang w:eastAsia="en-IN"/>
              </w:rPr>
            </w:pPr>
            <w:r w:rsidRPr="00D279DD">
              <w:rPr>
                <w:rFonts w:asciiTheme="minorHAnsi" w:hAnsiTheme="minorHAnsi" w:cstheme="minorHAnsi"/>
                <w:b/>
                <w:color w:val="000000"/>
                <w:sz w:val="22"/>
                <w:szCs w:val="22"/>
                <w:lang w:eastAsia="en-IN"/>
              </w:rPr>
              <w:t>Part A – IIFCL NCD</w:t>
            </w:r>
          </w:p>
        </w:tc>
        <w:tc>
          <w:tcPr>
            <w:tcW w:w="914" w:type="pct"/>
            <w:shd w:val="clear" w:color="auto" w:fill="auto"/>
            <w:noWrap/>
            <w:vAlign w:val="center"/>
          </w:tcPr>
          <w:p w:rsidR="002B1059" w:rsidRPr="00D279DD" w:rsidRDefault="002B1059" w:rsidP="00D279DD">
            <w:pPr>
              <w:spacing w:after="0" w:line="360" w:lineRule="auto"/>
              <w:jc w:val="center"/>
              <w:rPr>
                <w:rFonts w:asciiTheme="minorHAnsi" w:hAnsiTheme="minorHAnsi" w:cstheme="minorHAnsi"/>
                <w:color w:val="000000"/>
                <w:sz w:val="22"/>
                <w:szCs w:val="22"/>
                <w:lang w:eastAsia="en-IN"/>
              </w:rPr>
            </w:pPr>
            <w:r w:rsidRPr="00D279DD">
              <w:rPr>
                <w:rFonts w:asciiTheme="minorHAnsi" w:hAnsiTheme="minorHAnsi" w:cstheme="minorHAnsi"/>
                <w:color w:val="000000"/>
                <w:sz w:val="22"/>
                <w:szCs w:val="22"/>
                <w:lang w:eastAsia="en-IN"/>
              </w:rPr>
              <w:t>75</w:t>
            </w:r>
          </w:p>
        </w:tc>
        <w:tc>
          <w:tcPr>
            <w:tcW w:w="3358" w:type="pct"/>
          </w:tcPr>
          <w:p w:rsidR="00D279DD" w:rsidRDefault="002B1059" w:rsidP="00D279DD">
            <w:pPr>
              <w:pStyle w:val="ListParagraph"/>
              <w:numPr>
                <w:ilvl w:val="0"/>
                <w:numId w:val="24"/>
              </w:numPr>
              <w:spacing w:after="0" w:line="360" w:lineRule="auto"/>
              <w:ind w:left="317"/>
              <w:jc w:val="both"/>
              <w:rPr>
                <w:rFonts w:asciiTheme="minorHAnsi" w:hAnsiTheme="minorHAnsi" w:cstheme="minorHAnsi"/>
                <w:color w:val="000000"/>
                <w:sz w:val="22"/>
                <w:szCs w:val="22"/>
                <w:lang w:eastAsia="en-IN"/>
              </w:rPr>
            </w:pPr>
            <w:r w:rsidRPr="00D279DD">
              <w:rPr>
                <w:rFonts w:asciiTheme="minorHAnsi" w:hAnsiTheme="minorHAnsi" w:cstheme="minorHAnsi"/>
                <w:color w:val="000000"/>
                <w:sz w:val="22"/>
                <w:szCs w:val="22"/>
                <w:lang w:eastAsia="en-IN"/>
              </w:rPr>
              <w:t>Sustainable Debt repayable in 9 structured quarterly instalments starting from March 31, 2022 up to March 31, 2024</w:t>
            </w:r>
          </w:p>
          <w:p w:rsidR="00D279DD" w:rsidRDefault="002B1059" w:rsidP="00D279DD">
            <w:pPr>
              <w:pStyle w:val="ListParagraph"/>
              <w:numPr>
                <w:ilvl w:val="0"/>
                <w:numId w:val="24"/>
              </w:numPr>
              <w:spacing w:after="0" w:line="360" w:lineRule="auto"/>
              <w:ind w:left="317"/>
              <w:jc w:val="both"/>
              <w:rPr>
                <w:rFonts w:asciiTheme="minorHAnsi" w:hAnsiTheme="minorHAnsi" w:cstheme="minorHAnsi"/>
                <w:color w:val="000000"/>
                <w:sz w:val="22"/>
                <w:szCs w:val="22"/>
                <w:lang w:eastAsia="en-IN"/>
              </w:rPr>
            </w:pPr>
            <w:r w:rsidRPr="00D279DD">
              <w:rPr>
                <w:rFonts w:asciiTheme="minorHAnsi" w:hAnsiTheme="minorHAnsi" w:cstheme="minorHAnsi"/>
                <w:color w:val="000000"/>
                <w:sz w:val="22"/>
                <w:szCs w:val="22"/>
                <w:lang w:eastAsia="en-IN"/>
              </w:rPr>
              <w:t>Fixed Interest @ 8.5% p.a. from March 25, 2021 till end of NCD tenor.</w:t>
            </w:r>
          </w:p>
          <w:p w:rsidR="002B1059" w:rsidRPr="00D279DD" w:rsidRDefault="002B1059" w:rsidP="00D279DD">
            <w:pPr>
              <w:pStyle w:val="ListParagraph"/>
              <w:numPr>
                <w:ilvl w:val="0"/>
                <w:numId w:val="24"/>
              </w:numPr>
              <w:spacing w:after="0" w:line="360" w:lineRule="auto"/>
              <w:ind w:left="317"/>
              <w:jc w:val="both"/>
              <w:rPr>
                <w:rFonts w:asciiTheme="minorHAnsi" w:hAnsiTheme="minorHAnsi" w:cstheme="minorHAnsi"/>
                <w:color w:val="000000"/>
                <w:sz w:val="22"/>
                <w:szCs w:val="22"/>
                <w:lang w:eastAsia="en-IN"/>
              </w:rPr>
            </w:pPr>
            <w:r w:rsidRPr="00D279DD">
              <w:rPr>
                <w:rFonts w:asciiTheme="minorHAnsi" w:hAnsiTheme="minorHAnsi" w:cstheme="minorHAnsi"/>
                <w:color w:val="000000"/>
                <w:sz w:val="22"/>
                <w:szCs w:val="22"/>
                <w:lang w:eastAsia="en-IN"/>
              </w:rPr>
              <w:t>Interest for 36 months from March 25, 2021, till March 31, 2024 to be converted into Optionally Convertible Debentures.</w:t>
            </w:r>
          </w:p>
        </w:tc>
      </w:tr>
      <w:tr w:rsidR="00B54457" w:rsidRPr="00D279DD" w:rsidTr="00D279DD">
        <w:trPr>
          <w:trHeight w:val="300"/>
        </w:trPr>
        <w:tc>
          <w:tcPr>
            <w:tcW w:w="728" w:type="pct"/>
            <w:shd w:val="clear" w:color="auto" w:fill="8EAADB" w:themeFill="accent5" w:themeFillTint="99"/>
            <w:noWrap/>
            <w:vAlign w:val="center"/>
          </w:tcPr>
          <w:p w:rsidR="00B54457" w:rsidRPr="00D279DD" w:rsidRDefault="00B54457" w:rsidP="00D279DD">
            <w:pPr>
              <w:spacing w:after="0" w:line="360" w:lineRule="auto"/>
              <w:jc w:val="center"/>
              <w:rPr>
                <w:rFonts w:asciiTheme="minorHAnsi" w:hAnsiTheme="minorHAnsi" w:cstheme="minorHAnsi"/>
                <w:b/>
                <w:color w:val="000000"/>
                <w:sz w:val="22"/>
                <w:szCs w:val="22"/>
                <w:lang w:eastAsia="en-IN"/>
              </w:rPr>
            </w:pPr>
            <w:r w:rsidRPr="00D279DD">
              <w:rPr>
                <w:rFonts w:asciiTheme="minorHAnsi" w:hAnsiTheme="minorHAnsi" w:cstheme="minorHAnsi"/>
                <w:b/>
                <w:color w:val="000000"/>
                <w:sz w:val="22"/>
                <w:szCs w:val="22"/>
                <w:lang w:eastAsia="en-IN"/>
              </w:rPr>
              <w:t>Total Part A</w:t>
            </w:r>
          </w:p>
        </w:tc>
        <w:tc>
          <w:tcPr>
            <w:tcW w:w="914" w:type="pct"/>
            <w:shd w:val="clear" w:color="auto" w:fill="8EAADB" w:themeFill="accent5" w:themeFillTint="99"/>
            <w:noWrap/>
            <w:vAlign w:val="center"/>
          </w:tcPr>
          <w:p w:rsidR="00B54457" w:rsidRPr="00D279DD" w:rsidRDefault="00B54457" w:rsidP="00D279DD">
            <w:pPr>
              <w:spacing w:after="0" w:line="360" w:lineRule="auto"/>
              <w:jc w:val="center"/>
              <w:rPr>
                <w:rFonts w:asciiTheme="minorHAnsi" w:hAnsiTheme="minorHAnsi" w:cstheme="minorHAnsi"/>
                <w:b/>
                <w:color w:val="000000"/>
                <w:sz w:val="22"/>
                <w:szCs w:val="22"/>
                <w:lang w:eastAsia="en-IN"/>
              </w:rPr>
            </w:pPr>
            <w:r w:rsidRPr="00D279DD">
              <w:rPr>
                <w:rFonts w:asciiTheme="minorHAnsi" w:hAnsiTheme="minorHAnsi" w:cstheme="minorHAnsi"/>
                <w:b/>
                <w:color w:val="000000"/>
                <w:sz w:val="22"/>
                <w:szCs w:val="22"/>
                <w:lang w:eastAsia="en-IN"/>
              </w:rPr>
              <w:t>2351</w:t>
            </w:r>
          </w:p>
        </w:tc>
        <w:tc>
          <w:tcPr>
            <w:tcW w:w="3358" w:type="pct"/>
            <w:shd w:val="clear" w:color="auto" w:fill="8EAADB" w:themeFill="accent5" w:themeFillTint="99"/>
          </w:tcPr>
          <w:p w:rsidR="00B54457" w:rsidRPr="00D279DD" w:rsidRDefault="00B54457" w:rsidP="00D279DD">
            <w:pPr>
              <w:spacing w:after="0" w:line="360" w:lineRule="auto"/>
              <w:jc w:val="both"/>
              <w:rPr>
                <w:rFonts w:asciiTheme="minorHAnsi" w:hAnsiTheme="minorHAnsi" w:cstheme="minorHAnsi"/>
                <w:color w:val="000000"/>
                <w:sz w:val="22"/>
                <w:szCs w:val="22"/>
                <w:lang w:eastAsia="en-IN"/>
              </w:rPr>
            </w:pPr>
          </w:p>
        </w:tc>
      </w:tr>
      <w:tr w:rsidR="00B54457" w:rsidRPr="00D279DD" w:rsidTr="00D279DD">
        <w:trPr>
          <w:trHeight w:val="300"/>
        </w:trPr>
        <w:tc>
          <w:tcPr>
            <w:tcW w:w="728" w:type="pct"/>
            <w:shd w:val="clear" w:color="auto" w:fill="auto"/>
            <w:noWrap/>
            <w:vAlign w:val="center"/>
          </w:tcPr>
          <w:p w:rsidR="00B54457" w:rsidRPr="00D279DD" w:rsidRDefault="00B54457" w:rsidP="00D279DD">
            <w:pPr>
              <w:spacing w:after="0" w:line="360" w:lineRule="auto"/>
              <w:jc w:val="center"/>
              <w:rPr>
                <w:rFonts w:asciiTheme="minorHAnsi" w:hAnsiTheme="minorHAnsi" w:cstheme="minorHAnsi"/>
                <w:b/>
                <w:color w:val="000000"/>
                <w:sz w:val="22"/>
                <w:szCs w:val="22"/>
                <w:lang w:eastAsia="en-IN"/>
              </w:rPr>
            </w:pPr>
            <w:r w:rsidRPr="00D279DD">
              <w:rPr>
                <w:rFonts w:asciiTheme="minorHAnsi" w:hAnsiTheme="minorHAnsi" w:cstheme="minorHAnsi"/>
                <w:b/>
                <w:color w:val="000000"/>
                <w:sz w:val="22"/>
                <w:szCs w:val="22"/>
                <w:lang w:eastAsia="en-IN"/>
              </w:rPr>
              <w:t>Part B – NCD (Series B)</w:t>
            </w:r>
          </w:p>
        </w:tc>
        <w:tc>
          <w:tcPr>
            <w:tcW w:w="914" w:type="pct"/>
            <w:shd w:val="clear" w:color="auto" w:fill="auto"/>
            <w:noWrap/>
            <w:vAlign w:val="center"/>
          </w:tcPr>
          <w:p w:rsidR="00B54457" w:rsidRPr="00D279DD" w:rsidRDefault="00B54457" w:rsidP="00D279DD">
            <w:pPr>
              <w:spacing w:after="0" w:line="360" w:lineRule="auto"/>
              <w:jc w:val="center"/>
              <w:rPr>
                <w:rFonts w:asciiTheme="minorHAnsi" w:hAnsiTheme="minorHAnsi" w:cstheme="minorHAnsi"/>
                <w:color w:val="000000"/>
                <w:sz w:val="22"/>
                <w:szCs w:val="22"/>
                <w:lang w:eastAsia="en-IN"/>
              </w:rPr>
            </w:pPr>
            <w:r w:rsidRPr="00D279DD">
              <w:rPr>
                <w:rFonts w:asciiTheme="minorHAnsi" w:hAnsiTheme="minorHAnsi" w:cstheme="minorHAnsi"/>
                <w:color w:val="000000"/>
                <w:sz w:val="22"/>
                <w:szCs w:val="22"/>
                <w:lang w:eastAsia="en-IN"/>
              </w:rPr>
              <w:t>562</w:t>
            </w:r>
          </w:p>
        </w:tc>
        <w:tc>
          <w:tcPr>
            <w:tcW w:w="3358" w:type="pct"/>
          </w:tcPr>
          <w:p w:rsidR="00D279DD" w:rsidRDefault="00B54457" w:rsidP="00D279DD">
            <w:pPr>
              <w:pStyle w:val="ListParagraph"/>
              <w:numPr>
                <w:ilvl w:val="0"/>
                <w:numId w:val="24"/>
              </w:numPr>
              <w:spacing w:after="0" w:line="360" w:lineRule="auto"/>
              <w:ind w:left="317"/>
              <w:jc w:val="both"/>
              <w:rPr>
                <w:rFonts w:asciiTheme="minorHAnsi" w:hAnsiTheme="minorHAnsi" w:cstheme="minorHAnsi"/>
                <w:color w:val="000000"/>
                <w:sz w:val="22"/>
                <w:szCs w:val="22"/>
                <w:lang w:eastAsia="en-IN"/>
              </w:rPr>
            </w:pPr>
            <w:r w:rsidRPr="00D279DD">
              <w:rPr>
                <w:rFonts w:asciiTheme="minorHAnsi" w:hAnsiTheme="minorHAnsi" w:cstheme="minorHAnsi"/>
                <w:color w:val="000000"/>
                <w:sz w:val="22"/>
                <w:szCs w:val="22"/>
                <w:lang w:eastAsia="en-IN"/>
              </w:rPr>
              <w:t>Unsustainable Debt (Outstanding Debt of Rs. 2,914 Cr. less Sustainable Debt of Rs. 2,351 Cr.) to be converted to NCDs.</w:t>
            </w:r>
          </w:p>
          <w:p w:rsidR="00B54457" w:rsidRPr="00D279DD" w:rsidRDefault="00B54457" w:rsidP="00D279DD">
            <w:pPr>
              <w:pStyle w:val="ListParagraph"/>
              <w:numPr>
                <w:ilvl w:val="0"/>
                <w:numId w:val="24"/>
              </w:numPr>
              <w:spacing w:after="0" w:line="360" w:lineRule="auto"/>
              <w:ind w:left="317"/>
              <w:jc w:val="both"/>
              <w:rPr>
                <w:rFonts w:asciiTheme="minorHAnsi" w:hAnsiTheme="minorHAnsi" w:cstheme="minorHAnsi"/>
                <w:color w:val="000000"/>
                <w:sz w:val="22"/>
                <w:szCs w:val="22"/>
                <w:lang w:eastAsia="en-IN"/>
              </w:rPr>
            </w:pPr>
            <w:r w:rsidRPr="00D279DD">
              <w:rPr>
                <w:rFonts w:asciiTheme="minorHAnsi" w:hAnsiTheme="minorHAnsi" w:cstheme="minorHAnsi"/>
                <w:color w:val="000000"/>
                <w:sz w:val="22"/>
                <w:szCs w:val="22"/>
                <w:lang w:eastAsia="en-IN"/>
              </w:rPr>
              <w:t>Annual Coupon of 0.01% p.a. on Unsustainable Debt from April 01, 2021, till redemption of NCDs i.e., September 30, 2038.</w:t>
            </w:r>
          </w:p>
        </w:tc>
      </w:tr>
      <w:tr w:rsidR="00B54457" w:rsidRPr="00D279DD" w:rsidTr="00D279DD">
        <w:trPr>
          <w:trHeight w:val="300"/>
        </w:trPr>
        <w:tc>
          <w:tcPr>
            <w:tcW w:w="728" w:type="pct"/>
            <w:shd w:val="clear" w:color="auto" w:fill="8EAADB" w:themeFill="accent5" w:themeFillTint="99"/>
            <w:noWrap/>
            <w:vAlign w:val="center"/>
          </w:tcPr>
          <w:p w:rsidR="00B54457" w:rsidRPr="00D279DD" w:rsidRDefault="00B54457" w:rsidP="00D279DD">
            <w:pPr>
              <w:spacing w:after="0" w:line="360" w:lineRule="auto"/>
              <w:jc w:val="center"/>
              <w:rPr>
                <w:rFonts w:asciiTheme="minorHAnsi" w:hAnsiTheme="minorHAnsi" w:cstheme="minorHAnsi"/>
                <w:b/>
                <w:color w:val="000000"/>
                <w:sz w:val="22"/>
                <w:szCs w:val="22"/>
                <w:lang w:eastAsia="en-IN"/>
              </w:rPr>
            </w:pPr>
            <w:r w:rsidRPr="00D279DD">
              <w:rPr>
                <w:rFonts w:asciiTheme="minorHAnsi" w:hAnsiTheme="minorHAnsi" w:cstheme="minorHAnsi"/>
                <w:b/>
                <w:color w:val="000000"/>
                <w:sz w:val="22"/>
                <w:szCs w:val="22"/>
                <w:lang w:eastAsia="en-IN"/>
              </w:rPr>
              <w:t>Total Part B</w:t>
            </w:r>
          </w:p>
        </w:tc>
        <w:tc>
          <w:tcPr>
            <w:tcW w:w="914" w:type="pct"/>
            <w:shd w:val="clear" w:color="auto" w:fill="8EAADB" w:themeFill="accent5" w:themeFillTint="99"/>
            <w:noWrap/>
            <w:vAlign w:val="center"/>
          </w:tcPr>
          <w:p w:rsidR="00B54457" w:rsidRPr="00D279DD" w:rsidRDefault="00B54457" w:rsidP="00D279DD">
            <w:pPr>
              <w:spacing w:after="0" w:line="360" w:lineRule="auto"/>
              <w:jc w:val="center"/>
              <w:rPr>
                <w:rFonts w:asciiTheme="minorHAnsi" w:hAnsiTheme="minorHAnsi" w:cstheme="minorHAnsi"/>
                <w:b/>
                <w:color w:val="000000"/>
                <w:sz w:val="22"/>
                <w:szCs w:val="22"/>
                <w:lang w:eastAsia="en-IN"/>
              </w:rPr>
            </w:pPr>
            <w:r w:rsidRPr="00D279DD">
              <w:rPr>
                <w:rFonts w:asciiTheme="minorHAnsi" w:hAnsiTheme="minorHAnsi" w:cstheme="minorHAnsi"/>
                <w:b/>
                <w:color w:val="000000"/>
                <w:sz w:val="22"/>
                <w:szCs w:val="22"/>
                <w:lang w:eastAsia="en-IN"/>
              </w:rPr>
              <w:t>562</w:t>
            </w:r>
          </w:p>
        </w:tc>
        <w:tc>
          <w:tcPr>
            <w:tcW w:w="3358" w:type="pct"/>
            <w:shd w:val="clear" w:color="auto" w:fill="8EAADB" w:themeFill="accent5" w:themeFillTint="99"/>
          </w:tcPr>
          <w:p w:rsidR="00B54457" w:rsidRPr="00D279DD" w:rsidRDefault="00B54457" w:rsidP="00D279DD">
            <w:pPr>
              <w:spacing w:after="0" w:line="360" w:lineRule="auto"/>
              <w:jc w:val="center"/>
              <w:rPr>
                <w:rFonts w:asciiTheme="minorHAnsi" w:hAnsiTheme="minorHAnsi" w:cstheme="minorHAnsi"/>
                <w:color w:val="000000"/>
                <w:sz w:val="22"/>
                <w:szCs w:val="22"/>
                <w:lang w:eastAsia="en-IN"/>
              </w:rPr>
            </w:pPr>
          </w:p>
        </w:tc>
      </w:tr>
      <w:tr w:rsidR="00B54457" w:rsidRPr="00D279DD" w:rsidTr="00D279DD">
        <w:trPr>
          <w:trHeight w:val="300"/>
        </w:trPr>
        <w:tc>
          <w:tcPr>
            <w:tcW w:w="728" w:type="pct"/>
            <w:shd w:val="clear" w:color="auto" w:fill="auto"/>
            <w:noWrap/>
            <w:vAlign w:val="center"/>
          </w:tcPr>
          <w:p w:rsidR="00B54457" w:rsidRPr="00D279DD" w:rsidRDefault="00B54457" w:rsidP="00D279DD">
            <w:pPr>
              <w:spacing w:after="0" w:line="360" w:lineRule="auto"/>
              <w:jc w:val="center"/>
              <w:rPr>
                <w:rFonts w:asciiTheme="minorHAnsi" w:hAnsiTheme="minorHAnsi" w:cstheme="minorHAnsi"/>
                <w:b/>
                <w:color w:val="000000"/>
                <w:sz w:val="22"/>
                <w:szCs w:val="22"/>
                <w:lang w:eastAsia="en-IN"/>
              </w:rPr>
            </w:pPr>
            <w:r w:rsidRPr="00D279DD">
              <w:rPr>
                <w:rFonts w:asciiTheme="minorHAnsi" w:hAnsiTheme="minorHAnsi" w:cstheme="minorHAnsi"/>
                <w:b/>
                <w:color w:val="000000"/>
                <w:sz w:val="22"/>
                <w:szCs w:val="22"/>
                <w:lang w:eastAsia="en-IN"/>
              </w:rPr>
              <w:t xml:space="preserve">Part B1 – </w:t>
            </w:r>
            <w:r w:rsidRPr="00D279DD">
              <w:rPr>
                <w:rFonts w:asciiTheme="minorHAnsi" w:hAnsiTheme="minorHAnsi" w:cstheme="minorHAnsi"/>
                <w:b/>
                <w:color w:val="000000"/>
                <w:sz w:val="22"/>
                <w:szCs w:val="22"/>
                <w:lang w:eastAsia="en-IN"/>
              </w:rPr>
              <w:lastRenderedPageBreak/>
              <w:t>Overdue Interest on RTL converted to OCD, Part B1 – Overdue Interest on IIFCL NCD converted to OCD</w:t>
            </w:r>
          </w:p>
        </w:tc>
        <w:tc>
          <w:tcPr>
            <w:tcW w:w="914" w:type="pct"/>
            <w:shd w:val="clear" w:color="auto" w:fill="auto"/>
            <w:noWrap/>
            <w:vAlign w:val="center"/>
          </w:tcPr>
          <w:p w:rsidR="00B54457" w:rsidRPr="00D279DD" w:rsidRDefault="00B54457" w:rsidP="00D279DD">
            <w:pPr>
              <w:spacing w:after="0" w:line="360" w:lineRule="auto"/>
              <w:jc w:val="center"/>
              <w:rPr>
                <w:rFonts w:asciiTheme="minorHAnsi" w:hAnsiTheme="minorHAnsi" w:cstheme="minorHAnsi"/>
                <w:color w:val="000000"/>
                <w:sz w:val="22"/>
                <w:szCs w:val="22"/>
                <w:lang w:eastAsia="en-IN"/>
              </w:rPr>
            </w:pPr>
            <w:r w:rsidRPr="00D279DD">
              <w:rPr>
                <w:rFonts w:asciiTheme="minorHAnsi" w:hAnsiTheme="minorHAnsi" w:cstheme="minorHAnsi"/>
                <w:color w:val="000000"/>
                <w:sz w:val="22"/>
                <w:szCs w:val="22"/>
                <w:lang w:eastAsia="en-IN"/>
              </w:rPr>
              <w:lastRenderedPageBreak/>
              <w:t>208 &amp; 18</w:t>
            </w:r>
          </w:p>
        </w:tc>
        <w:tc>
          <w:tcPr>
            <w:tcW w:w="3358" w:type="pct"/>
          </w:tcPr>
          <w:p w:rsidR="00D279DD" w:rsidRDefault="00B54457" w:rsidP="00D279DD">
            <w:pPr>
              <w:pStyle w:val="ListParagraph"/>
              <w:numPr>
                <w:ilvl w:val="0"/>
                <w:numId w:val="24"/>
              </w:numPr>
              <w:spacing w:after="0" w:line="360" w:lineRule="auto"/>
              <w:ind w:left="317"/>
              <w:jc w:val="both"/>
              <w:rPr>
                <w:rFonts w:asciiTheme="minorHAnsi" w:hAnsiTheme="minorHAnsi" w:cstheme="minorHAnsi"/>
                <w:color w:val="000000"/>
                <w:sz w:val="22"/>
                <w:szCs w:val="22"/>
                <w:lang w:eastAsia="en-IN"/>
              </w:rPr>
            </w:pPr>
            <w:r w:rsidRPr="00D279DD">
              <w:rPr>
                <w:rFonts w:asciiTheme="minorHAnsi" w:hAnsiTheme="minorHAnsi" w:cstheme="minorHAnsi"/>
                <w:color w:val="000000"/>
                <w:sz w:val="22"/>
                <w:szCs w:val="22"/>
                <w:lang w:eastAsia="en-IN"/>
              </w:rPr>
              <w:t xml:space="preserve">Interest accrued but not paid on Part A – RTL for a period of 15 </w:t>
            </w:r>
            <w:r w:rsidRPr="00D279DD">
              <w:rPr>
                <w:rFonts w:asciiTheme="minorHAnsi" w:hAnsiTheme="minorHAnsi" w:cstheme="minorHAnsi"/>
                <w:color w:val="000000"/>
                <w:sz w:val="22"/>
                <w:szCs w:val="22"/>
                <w:lang w:eastAsia="en-IN"/>
              </w:rPr>
              <w:lastRenderedPageBreak/>
              <w:t>months from April 01, 2021 till June 30, 2022 amounting to Rs. 208 Cr. shall be converted to OCDs carrying an annual coupon of 0.01% p.a.</w:t>
            </w:r>
          </w:p>
          <w:p w:rsidR="00D279DD" w:rsidRDefault="00B54457" w:rsidP="00D279DD">
            <w:pPr>
              <w:pStyle w:val="ListParagraph"/>
              <w:numPr>
                <w:ilvl w:val="0"/>
                <w:numId w:val="24"/>
              </w:numPr>
              <w:spacing w:after="0" w:line="360" w:lineRule="auto"/>
              <w:ind w:left="317"/>
              <w:jc w:val="both"/>
              <w:rPr>
                <w:rFonts w:asciiTheme="minorHAnsi" w:hAnsiTheme="minorHAnsi" w:cstheme="minorHAnsi"/>
                <w:color w:val="000000"/>
                <w:sz w:val="22"/>
                <w:szCs w:val="22"/>
                <w:lang w:eastAsia="en-IN"/>
              </w:rPr>
            </w:pPr>
            <w:r w:rsidRPr="00D279DD">
              <w:rPr>
                <w:rFonts w:asciiTheme="minorHAnsi" w:hAnsiTheme="minorHAnsi" w:cstheme="minorHAnsi"/>
                <w:color w:val="000000"/>
                <w:sz w:val="22"/>
                <w:szCs w:val="22"/>
                <w:lang w:eastAsia="en-IN"/>
              </w:rPr>
              <w:t>Interest accrued but not paid on Part A – IIFCL NCD for a period of 36 months from March 25, 2021 till March 31, 2024 amounting to Rs. 18 Cr. shall be converted to OCDs carrying an annual coupon of 0.01% p.a.</w:t>
            </w:r>
          </w:p>
          <w:p w:rsidR="00D279DD" w:rsidRDefault="00B54457" w:rsidP="00D279DD">
            <w:pPr>
              <w:pStyle w:val="ListParagraph"/>
              <w:numPr>
                <w:ilvl w:val="0"/>
                <w:numId w:val="24"/>
              </w:numPr>
              <w:spacing w:after="0" w:line="360" w:lineRule="auto"/>
              <w:ind w:left="317"/>
              <w:jc w:val="both"/>
              <w:rPr>
                <w:rFonts w:asciiTheme="minorHAnsi" w:hAnsiTheme="minorHAnsi" w:cstheme="minorHAnsi"/>
                <w:color w:val="000000"/>
                <w:sz w:val="22"/>
                <w:szCs w:val="22"/>
                <w:lang w:eastAsia="en-IN"/>
              </w:rPr>
            </w:pPr>
            <w:r w:rsidRPr="00D279DD">
              <w:rPr>
                <w:rFonts w:asciiTheme="minorHAnsi" w:hAnsiTheme="minorHAnsi" w:cstheme="minorHAnsi"/>
                <w:color w:val="000000"/>
                <w:sz w:val="22"/>
                <w:szCs w:val="22"/>
                <w:lang w:eastAsia="en-IN"/>
              </w:rPr>
              <w:t>Lenders shall have the option to convert OCDs into equity of the company anytime during the tenure of OCDs at the valuation to be done by IBBI registered valuer (to be appointed by lenders) at the time of conversion.</w:t>
            </w:r>
          </w:p>
          <w:p w:rsidR="00B54457" w:rsidRPr="00D279DD" w:rsidRDefault="00B54457" w:rsidP="00D279DD">
            <w:pPr>
              <w:pStyle w:val="ListParagraph"/>
              <w:numPr>
                <w:ilvl w:val="0"/>
                <w:numId w:val="24"/>
              </w:numPr>
              <w:spacing w:after="0" w:line="360" w:lineRule="auto"/>
              <w:ind w:left="317"/>
              <w:jc w:val="both"/>
              <w:rPr>
                <w:rFonts w:asciiTheme="minorHAnsi" w:hAnsiTheme="minorHAnsi" w:cstheme="minorHAnsi"/>
                <w:color w:val="000000"/>
                <w:sz w:val="22"/>
                <w:szCs w:val="22"/>
                <w:lang w:eastAsia="en-IN"/>
              </w:rPr>
            </w:pPr>
            <w:r w:rsidRPr="00D279DD">
              <w:rPr>
                <w:rFonts w:asciiTheme="minorHAnsi" w:hAnsiTheme="minorHAnsi" w:cstheme="minorHAnsi"/>
                <w:color w:val="000000"/>
                <w:sz w:val="22"/>
                <w:szCs w:val="22"/>
                <w:lang w:eastAsia="en-IN"/>
              </w:rPr>
              <w:t>Tenor of OCDs - Upto September 30, 2038</w:t>
            </w:r>
          </w:p>
        </w:tc>
      </w:tr>
      <w:tr w:rsidR="00B54457" w:rsidRPr="00D279DD" w:rsidTr="00D279DD">
        <w:trPr>
          <w:trHeight w:val="300"/>
        </w:trPr>
        <w:tc>
          <w:tcPr>
            <w:tcW w:w="728" w:type="pct"/>
            <w:shd w:val="clear" w:color="auto" w:fill="8EAADB" w:themeFill="accent5" w:themeFillTint="99"/>
            <w:noWrap/>
            <w:vAlign w:val="center"/>
          </w:tcPr>
          <w:p w:rsidR="00B54457" w:rsidRPr="00D279DD" w:rsidRDefault="00B54457" w:rsidP="00D279DD">
            <w:pPr>
              <w:spacing w:after="0" w:line="360" w:lineRule="auto"/>
              <w:jc w:val="center"/>
              <w:rPr>
                <w:rFonts w:asciiTheme="minorHAnsi" w:hAnsiTheme="minorHAnsi" w:cstheme="minorHAnsi"/>
                <w:b/>
                <w:color w:val="000000"/>
                <w:sz w:val="22"/>
                <w:szCs w:val="22"/>
                <w:lang w:eastAsia="en-IN"/>
              </w:rPr>
            </w:pPr>
            <w:r w:rsidRPr="00D279DD">
              <w:rPr>
                <w:rFonts w:asciiTheme="minorHAnsi" w:hAnsiTheme="minorHAnsi" w:cstheme="minorHAnsi"/>
                <w:b/>
                <w:color w:val="000000"/>
                <w:sz w:val="22"/>
                <w:szCs w:val="22"/>
                <w:lang w:eastAsia="en-IN"/>
              </w:rPr>
              <w:lastRenderedPageBreak/>
              <w:t>Total Part B1</w:t>
            </w:r>
          </w:p>
        </w:tc>
        <w:tc>
          <w:tcPr>
            <w:tcW w:w="914" w:type="pct"/>
            <w:shd w:val="clear" w:color="auto" w:fill="8EAADB" w:themeFill="accent5" w:themeFillTint="99"/>
            <w:noWrap/>
            <w:vAlign w:val="center"/>
          </w:tcPr>
          <w:p w:rsidR="00B54457" w:rsidRPr="00D279DD" w:rsidRDefault="00B54457" w:rsidP="00D279DD">
            <w:pPr>
              <w:spacing w:after="0" w:line="360" w:lineRule="auto"/>
              <w:jc w:val="center"/>
              <w:rPr>
                <w:rFonts w:asciiTheme="minorHAnsi" w:hAnsiTheme="minorHAnsi" w:cstheme="minorHAnsi"/>
                <w:b/>
                <w:color w:val="000000"/>
                <w:sz w:val="22"/>
                <w:szCs w:val="22"/>
                <w:lang w:eastAsia="en-IN"/>
              </w:rPr>
            </w:pPr>
            <w:r w:rsidRPr="00D279DD">
              <w:rPr>
                <w:rFonts w:asciiTheme="minorHAnsi" w:hAnsiTheme="minorHAnsi" w:cstheme="minorHAnsi"/>
                <w:b/>
                <w:color w:val="000000"/>
                <w:sz w:val="22"/>
                <w:szCs w:val="22"/>
                <w:lang w:eastAsia="en-IN"/>
              </w:rPr>
              <w:t>226</w:t>
            </w:r>
          </w:p>
        </w:tc>
        <w:tc>
          <w:tcPr>
            <w:tcW w:w="3358" w:type="pct"/>
            <w:shd w:val="clear" w:color="auto" w:fill="8EAADB" w:themeFill="accent5" w:themeFillTint="99"/>
          </w:tcPr>
          <w:p w:rsidR="00B54457" w:rsidRPr="00D279DD" w:rsidRDefault="00B54457" w:rsidP="00D279DD">
            <w:pPr>
              <w:spacing w:after="0" w:line="360" w:lineRule="auto"/>
              <w:jc w:val="both"/>
              <w:rPr>
                <w:rFonts w:asciiTheme="minorHAnsi" w:hAnsiTheme="minorHAnsi" w:cstheme="minorHAnsi"/>
                <w:color w:val="000000"/>
                <w:sz w:val="22"/>
                <w:szCs w:val="22"/>
                <w:lang w:eastAsia="en-IN"/>
              </w:rPr>
            </w:pPr>
          </w:p>
        </w:tc>
      </w:tr>
      <w:tr w:rsidR="00B54457" w:rsidRPr="00D279DD" w:rsidTr="00D279DD">
        <w:trPr>
          <w:trHeight w:val="300"/>
        </w:trPr>
        <w:tc>
          <w:tcPr>
            <w:tcW w:w="728" w:type="pct"/>
            <w:shd w:val="clear" w:color="auto" w:fill="auto"/>
            <w:noWrap/>
            <w:vAlign w:val="center"/>
          </w:tcPr>
          <w:p w:rsidR="00B54457" w:rsidRPr="00D279DD" w:rsidRDefault="00B54457" w:rsidP="00D279DD">
            <w:pPr>
              <w:spacing w:after="0" w:line="360" w:lineRule="auto"/>
              <w:jc w:val="center"/>
              <w:rPr>
                <w:rFonts w:asciiTheme="minorHAnsi" w:hAnsiTheme="minorHAnsi" w:cstheme="minorHAnsi"/>
                <w:b/>
                <w:color w:val="000000"/>
                <w:sz w:val="22"/>
                <w:szCs w:val="22"/>
                <w:lang w:eastAsia="en-IN"/>
              </w:rPr>
            </w:pPr>
            <w:r w:rsidRPr="00D279DD">
              <w:rPr>
                <w:rFonts w:asciiTheme="minorHAnsi" w:hAnsiTheme="minorHAnsi" w:cstheme="minorHAnsi"/>
                <w:b/>
                <w:color w:val="000000"/>
                <w:sz w:val="22"/>
                <w:szCs w:val="22"/>
                <w:lang w:eastAsia="en-IN"/>
              </w:rPr>
              <w:t>Equity</w:t>
            </w:r>
          </w:p>
        </w:tc>
        <w:tc>
          <w:tcPr>
            <w:tcW w:w="914" w:type="pct"/>
            <w:shd w:val="clear" w:color="auto" w:fill="auto"/>
            <w:noWrap/>
            <w:vAlign w:val="center"/>
          </w:tcPr>
          <w:p w:rsidR="00B54457" w:rsidRPr="00D279DD" w:rsidRDefault="00B54457" w:rsidP="00D279DD">
            <w:pPr>
              <w:spacing w:after="0" w:line="360" w:lineRule="auto"/>
              <w:jc w:val="center"/>
              <w:rPr>
                <w:rFonts w:asciiTheme="minorHAnsi" w:hAnsiTheme="minorHAnsi" w:cstheme="minorHAnsi"/>
                <w:color w:val="000000"/>
                <w:sz w:val="22"/>
                <w:szCs w:val="22"/>
                <w:lang w:eastAsia="en-IN"/>
              </w:rPr>
            </w:pPr>
            <w:r w:rsidRPr="00D279DD">
              <w:rPr>
                <w:rFonts w:asciiTheme="minorHAnsi" w:hAnsiTheme="minorHAnsi" w:cstheme="minorHAnsi"/>
                <w:color w:val="000000"/>
                <w:sz w:val="22"/>
                <w:szCs w:val="22"/>
                <w:lang w:eastAsia="en-IN"/>
              </w:rPr>
              <w:t>33</w:t>
            </w:r>
          </w:p>
        </w:tc>
        <w:tc>
          <w:tcPr>
            <w:tcW w:w="3358" w:type="pct"/>
          </w:tcPr>
          <w:p w:rsidR="00B54457" w:rsidRPr="00D279DD" w:rsidRDefault="00B54457" w:rsidP="00A54738">
            <w:pPr>
              <w:pStyle w:val="ListParagraph"/>
              <w:numPr>
                <w:ilvl w:val="0"/>
                <w:numId w:val="24"/>
              </w:numPr>
              <w:spacing w:after="0" w:line="360" w:lineRule="auto"/>
              <w:ind w:left="317"/>
              <w:jc w:val="both"/>
              <w:rPr>
                <w:rFonts w:asciiTheme="minorHAnsi" w:hAnsiTheme="minorHAnsi" w:cstheme="minorHAnsi"/>
                <w:color w:val="000000"/>
                <w:sz w:val="22"/>
                <w:szCs w:val="22"/>
                <w:lang w:eastAsia="en-IN"/>
              </w:rPr>
            </w:pPr>
            <w:r w:rsidRPr="00D279DD">
              <w:rPr>
                <w:rFonts w:asciiTheme="minorHAnsi" w:hAnsiTheme="minorHAnsi" w:cstheme="minorHAnsi"/>
                <w:color w:val="000000"/>
                <w:sz w:val="22"/>
                <w:szCs w:val="22"/>
                <w:lang w:eastAsia="en-IN"/>
              </w:rPr>
              <w:t xml:space="preserve">Overdue Interest for Part A – RTL to the extent of Rs. 33 Cr. is to be converted to equity of the Company </w:t>
            </w:r>
          </w:p>
        </w:tc>
      </w:tr>
      <w:tr w:rsidR="00C11E53" w:rsidRPr="00D279DD" w:rsidTr="00D279DD">
        <w:trPr>
          <w:trHeight w:val="300"/>
        </w:trPr>
        <w:tc>
          <w:tcPr>
            <w:tcW w:w="728" w:type="pct"/>
            <w:shd w:val="clear" w:color="auto" w:fill="002060"/>
            <w:noWrap/>
            <w:vAlign w:val="center"/>
          </w:tcPr>
          <w:p w:rsidR="002B1059" w:rsidRPr="00D279DD" w:rsidRDefault="00B54457" w:rsidP="00D279DD">
            <w:pPr>
              <w:spacing w:after="0" w:line="360" w:lineRule="auto"/>
              <w:jc w:val="center"/>
              <w:rPr>
                <w:rFonts w:asciiTheme="minorHAnsi" w:hAnsiTheme="minorHAnsi" w:cstheme="minorHAnsi"/>
                <w:b/>
                <w:color w:val="FFFFFF" w:themeColor="background1"/>
                <w:sz w:val="22"/>
                <w:szCs w:val="22"/>
                <w:lang w:eastAsia="en-IN"/>
              </w:rPr>
            </w:pPr>
            <w:r w:rsidRPr="00D279DD">
              <w:rPr>
                <w:rFonts w:asciiTheme="minorHAnsi" w:hAnsiTheme="minorHAnsi" w:cstheme="minorHAnsi"/>
                <w:b/>
                <w:color w:val="FFFFFF" w:themeColor="background1"/>
                <w:sz w:val="22"/>
                <w:szCs w:val="22"/>
                <w:lang w:eastAsia="en-IN"/>
              </w:rPr>
              <w:t>Total</w:t>
            </w:r>
          </w:p>
        </w:tc>
        <w:tc>
          <w:tcPr>
            <w:tcW w:w="914" w:type="pct"/>
            <w:shd w:val="clear" w:color="auto" w:fill="002060"/>
            <w:noWrap/>
            <w:vAlign w:val="center"/>
          </w:tcPr>
          <w:p w:rsidR="002B1059" w:rsidRPr="00D279DD" w:rsidRDefault="00B54457" w:rsidP="00D279DD">
            <w:pPr>
              <w:spacing w:after="0" w:line="360" w:lineRule="auto"/>
              <w:jc w:val="center"/>
              <w:rPr>
                <w:rFonts w:asciiTheme="minorHAnsi" w:hAnsiTheme="minorHAnsi" w:cstheme="minorHAnsi"/>
                <w:b/>
                <w:color w:val="FFFFFF" w:themeColor="background1"/>
                <w:sz w:val="22"/>
                <w:szCs w:val="22"/>
                <w:lang w:eastAsia="en-IN"/>
              </w:rPr>
            </w:pPr>
            <w:r w:rsidRPr="00D279DD">
              <w:rPr>
                <w:rFonts w:asciiTheme="minorHAnsi" w:hAnsiTheme="minorHAnsi" w:cstheme="minorHAnsi"/>
                <w:b/>
                <w:color w:val="FFFFFF" w:themeColor="background1"/>
                <w:sz w:val="22"/>
                <w:szCs w:val="22"/>
                <w:lang w:eastAsia="en-IN"/>
              </w:rPr>
              <w:t>3</w:t>
            </w:r>
            <w:r w:rsidR="00253E66" w:rsidRPr="00D279DD">
              <w:rPr>
                <w:rFonts w:asciiTheme="minorHAnsi" w:hAnsiTheme="minorHAnsi" w:cstheme="minorHAnsi"/>
                <w:b/>
                <w:color w:val="FFFFFF" w:themeColor="background1"/>
                <w:sz w:val="22"/>
                <w:szCs w:val="22"/>
                <w:lang w:eastAsia="en-IN"/>
              </w:rPr>
              <w:t>,</w:t>
            </w:r>
            <w:r w:rsidRPr="00D279DD">
              <w:rPr>
                <w:rFonts w:asciiTheme="minorHAnsi" w:hAnsiTheme="minorHAnsi" w:cstheme="minorHAnsi"/>
                <w:b/>
                <w:color w:val="FFFFFF" w:themeColor="background1"/>
                <w:sz w:val="22"/>
                <w:szCs w:val="22"/>
                <w:lang w:eastAsia="en-IN"/>
              </w:rPr>
              <w:t>173</w:t>
            </w:r>
          </w:p>
        </w:tc>
        <w:tc>
          <w:tcPr>
            <w:tcW w:w="3358" w:type="pct"/>
            <w:shd w:val="clear" w:color="auto" w:fill="002060"/>
          </w:tcPr>
          <w:p w:rsidR="002B1059" w:rsidRPr="00D279DD" w:rsidRDefault="002B1059" w:rsidP="00D279DD">
            <w:pPr>
              <w:spacing w:after="0" w:line="360" w:lineRule="auto"/>
              <w:jc w:val="center"/>
              <w:rPr>
                <w:rFonts w:asciiTheme="minorHAnsi" w:hAnsiTheme="minorHAnsi" w:cstheme="minorHAnsi"/>
                <w:b/>
                <w:color w:val="FFFFFF" w:themeColor="background1"/>
                <w:sz w:val="22"/>
                <w:szCs w:val="22"/>
                <w:lang w:eastAsia="en-IN"/>
              </w:rPr>
            </w:pPr>
          </w:p>
        </w:tc>
      </w:tr>
    </w:tbl>
    <w:p w:rsidR="00C11E53" w:rsidRDefault="00C11E53" w:rsidP="005D61BF">
      <w:pPr>
        <w:spacing w:after="0" w:line="360" w:lineRule="auto"/>
        <w:ind w:right="-613"/>
        <w:jc w:val="both"/>
        <w:rPr>
          <w:rFonts w:ascii="Arial" w:hAnsi="Arial" w:cs="Arial"/>
          <w:b/>
          <w:sz w:val="22"/>
          <w:szCs w:val="22"/>
        </w:rPr>
      </w:pPr>
    </w:p>
    <w:p w:rsidR="00604255" w:rsidRDefault="005B172D" w:rsidP="005D61BF">
      <w:pPr>
        <w:spacing w:after="0" w:line="360" w:lineRule="auto"/>
        <w:ind w:right="-613"/>
        <w:jc w:val="both"/>
        <w:rPr>
          <w:rFonts w:ascii="Arial" w:hAnsi="Arial" w:cs="Arial"/>
          <w:b/>
          <w:w w:val="105"/>
          <w:sz w:val="22"/>
          <w:szCs w:val="22"/>
        </w:rPr>
      </w:pPr>
      <w:r>
        <w:rPr>
          <w:rFonts w:ascii="Arial" w:hAnsi="Arial" w:cs="Arial"/>
          <w:b/>
          <w:sz w:val="22"/>
          <w:szCs w:val="22"/>
        </w:rPr>
        <w:t xml:space="preserve">Thus for the purpose of </w:t>
      </w:r>
      <w:r w:rsidR="00D35FF0">
        <w:rPr>
          <w:rFonts w:ascii="Arial" w:hAnsi="Arial" w:cs="Arial"/>
          <w:b/>
          <w:sz w:val="22"/>
          <w:szCs w:val="22"/>
        </w:rPr>
        <w:t>Debt restructuring</w:t>
      </w:r>
      <w:r>
        <w:rPr>
          <w:rFonts w:ascii="Arial" w:hAnsi="Arial" w:cs="Arial"/>
          <w:b/>
          <w:sz w:val="22"/>
          <w:szCs w:val="22"/>
        </w:rPr>
        <w:t xml:space="preserve"> of this stressed account</w:t>
      </w:r>
      <w:r w:rsidR="00604255" w:rsidRPr="00266C27">
        <w:rPr>
          <w:rFonts w:ascii="Arial" w:hAnsi="Arial" w:cs="Arial"/>
          <w:b/>
          <w:sz w:val="22"/>
          <w:szCs w:val="22"/>
        </w:rPr>
        <w:t xml:space="preserve">, </w:t>
      </w:r>
      <w:r w:rsidR="007F2A87">
        <w:rPr>
          <w:rFonts w:ascii="Arial" w:hAnsi="Arial" w:cs="Arial"/>
          <w:b/>
          <w:sz w:val="22"/>
          <w:szCs w:val="22"/>
        </w:rPr>
        <w:t>M/s GMR Warora Energy Limited</w:t>
      </w:r>
      <w:r w:rsidR="00604255" w:rsidRPr="00266C27">
        <w:rPr>
          <w:rFonts w:ascii="Arial" w:hAnsi="Arial" w:cs="Arial"/>
          <w:b/>
          <w:sz w:val="22"/>
          <w:szCs w:val="22"/>
        </w:rPr>
        <w:t xml:space="preserve"> </w:t>
      </w:r>
      <w:r w:rsidR="005D61BF">
        <w:rPr>
          <w:rFonts w:ascii="Arial" w:hAnsi="Arial" w:cs="Arial"/>
          <w:b/>
          <w:sz w:val="22"/>
          <w:szCs w:val="22"/>
        </w:rPr>
        <w:t>has assigned R K Associated</w:t>
      </w:r>
      <w:r w:rsidR="00604255" w:rsidRPr="00266C27">
        <w:rPr>
          <w:rFonts w:ascii="Arial" w:hAnsi="Arial" w:cs="Arial"/>
          <w:b/>
          <w:sz w:val="22"/>
          <w:szCs w:val="22"/>
        </w:rPr>
        <w:t xml:space="preserve"> to assess &amp; </w:t>
      </w:r>
      <w:r w:rsidR="00101F4F" w:rsidRPr="00101F4F">
        <w:rPr>
          <w:rFonts w:ascii="Arial" w:hAnsi="Arial" w:cs="Arial"/>
          <w:b/>
          <w:sz w:val="22"/>
          <w:szCs w:val="22"/>
        </w:rPr>
        <w:t>determine the conversion pric</w:t>
      </w:r>
      <w:r w:rsidR="00101F4F">
        <w:rPr>
          <w:rFonts w:ascii="Arial" w:hAnsi="Arial" w:cs="Arial"/>
          <w:b/>
          <w:sz w:val="22"/>
          <w:szCs w:val="22"/>
        </w:rPr>
        <w:t>e of the overdue interest of INR</w:t>
      </w:r>
      <w:r w:rsidR="00101F4F" w:rsidRPr="00101F4F">
        <w:rPr>
          <w:rFonts w:ascii="Arial" w:hAnsi="Arial" w:cs="Arial"/>
          <w:b/>
          <w:sz w:val="22"/>
          <w:szCs w:val="22"/>
        </w:rPr>
        <w:t xml:space="preserve"> 33</w:t>
      </w:r>
      <w:r w:rsidR="00101F4F">
        <w:rPr>
          <w:rFonts w:ascii="Arial" w:hAnsi="Arial" w:cs="Arial"/>
          <w:b/>
          <w:sz w:val="22"/>
          <w:szCs w:val="22"/>
        </w:rPr>
        <w:t>.00</w:t>
      </w:r>
      <w:r w:rsidR="00101F4F" w:rsidRPr="00101F4F">
        <w:rPr>
          <w:rFonts w:ascii="Arial" w:hAnsi="Arial" w:cs="Arial"/>
          <w:b/>
          <w:sz w:val="22"/>
          <w:szCs w:val="22"/>
        </w:rPr>
        <w:t xml:space="preserve"> Cr proposed to be converted to equity</w:t>
      </w:r>
      <w:r w:rsidR="005D61BF" w:rsidRPr="00F81AB6">
        <w:rPr>
          <w:rFonts w:ascii="Arial" w:hAnsi="Arial" w:cs="Arial"/>
          <w:b/>
          <w:w w:val="105"/>
          <w:sz w:val="22"/>
          <w:szCs w:val="22"/>
        </w:rPr>
        <w:t xml:space="preserve"> as per </w:t>
      </w:r>
      <w:r w:rsidR="007F2A87">
        <w:rPr>
          <w:rFonts w:ascii="Arial" w:hAnsi="Arial" w:cs="Arial"/>
          <w:b/>
          <w:w w:val="105"/>
          <w:sz w:val="22"/>
          <w:szCs w:val="22"/>
        </w:rPr>
        <w:t xml:space="preserve">the </w:t>
      </w:r>
      <w:r w:rsidR="005D61BF" w:rsidRPr="00F81AB6">
        <w:rPr>
          <w:rFonts w:ascii="Arial" w:hAnsi="Arial" w:cs="Arial"/>
          <w:b/>
          <w:w w:val="105"/>
          <w:sz w:val="22"/>
          <w:szCs w:val="22"/>
        </w:rPr>
        <w:t xml:space="preserve">scope of work, to execute the </w:t>
      </w:r>
      <w:r w:rsidR="00563096">
        <w:rPr>
          <w:rFonts w:ascii="Arial" w:hAnsi="Arial" w:cs="Arial"/>
          <w:b/>
          <w:w w:val="105"/>
          <w:sz w:val="22"/>
          <w:szCs w:val="22"/>
        </w:rPr>
        <w:t xml:space="preserve">proposed </w:t>
      </w:r>
      <w:r w:rsidR="007F2A87">
        <w:rPr>
          <w:rFonts w:ascii="Arial" w:hAnsi="Arial" w:cs="Arial"/>
          <w:b/>
          <w:w w:val="105"/>
          <w:sz w:val="22"/>
          <w:szCs w:val="22"/>
        </w:rPr>
        <w:t>resolution plan</w:t>
      </w:r>
      <w:r w:rsidR="005D61BF" w:rsidRPr="00F81AB6">
        <w:rPr>
          <w:rFonts w:ascii="Arial" w:hAnsi="Arial" w:cs="Arial"/>
          <w:b/>
          <w:w w:val="105"/>
          <w:sz w:val="22"/>
          <w:szCs w:val="22"/>
        </w:rPr>
        <w:t>.</w:t>
      </w:r>
    </w:p>
    <w:p w:rsidR="005D61BF" w:rsidRPr="009955F2" w:rsidRDefault="00E11206" w:rsidP="00C11E53">
      <w:pPr>
        <w:pStyle w:val="ListParagraph"/>
        <w:numPr>
          <w:ilvl w:val="0"/>
          <w:numId w:val="2"/>
        </w:numPr>
        <w:spacing w:before="240" w:after="0" w:line="276" w:lineRule="auto"/>
        <w:ind w:left="0" w:right="-613" w:hanging="284"/>
        <w:jc w:val="both"/>
        <w:rPr>
          <w:rFonts w:ascii="Arial" w:hAnsi="Arial" w:cs="Arial"/>
          <w:b/>
          <w:sz w:val="22"/>
          <w:szCs w:val="22"/>
          <w:u w:val="single"/>
        </w:rPr>
      </w:pPr>
      <w:r w:rsidRPr="005C6FC8">
        <w:rPr>
          <w:rFonts w:ascii="Arial" w:hAnsi="Arial" w:cs="Arial"/>
          <w:b/>
          <w:sz w:val="22"/>
          <w:szCs w:val="22"/>
        </w:rPr>
        <w:t xml:space="preserve">TYPE OF REPORT: </w:t>
      </w:r>
      <w:r w:rsidR="00101F4F">
        <w:rPr>
          <w:rFonts w:ascii="Arial" w:hAnsi="Arial" w:cs="Arial"/>
          <w:sz w:val="22"/>
          <w:szCs w:val="22"/>
          <w:lang w:val="en-IN"/>
        </w:rPr>
        <w:t>S</w:t>
      </w:r>
      <w:r w:rsidR="007F2A87">
        <w:rPr>
          <w:rFonts w:ascii="Arial" w:hAnsi="Arial" w:cs="Arial"/>
          <w:sz w:val="22"/>
          <w:szCs w:val="22"/>
          <w:lang w:val="en-IN"/>
        </w:rPr>
        <w:t>hare</w:t>
      </w:r>
      <w:r w:rsidRPr="005C6FC8">
        <w:rPr>
          <w:rFonts w:ascii="Arial" w:hAnsi="Arial" w:cs="Arial"/>
          <w:sz w:val="22"/>
          <w:szCs w:val="22"/>
          <w:lang w:val="en-IN"/>
        </w:rPr>
        <w:t xml:space="preserve"> </w:t>
      </w:r>
      <w:r w:rsidRPr="005C6FC8">
        <w:rPr>
          <w:rFonts w:ascii="Arial" w:hAnsi="Arial" w:cs="Arial"/>
          <w:sz w:val="22"/>
          <w:szCs w:val="22"/>
        </w:rPr>
        <w:t>Valuation</w:t>
      </w:r>
      <w:r w:rsidR="00BB22DC">
        <w:rPr>
          <w:rFonts w:ascii="Arial" w:hAnsi="Arial" w:cs="Arial"/>
          <w:sz w:val="22"/>
          <w:szCs w:val="22"/>
        </w:rPr>
        <w:t xml:space="preserve"> Report</w:t>
      </w:r>
      <w:r w:rsidRPr="005C6FC8">
        <w:rPr>
          <w:rFonts w:ascii="Arial" w:hAnsi="Arial" w:cs="Arial"/>
          <w:sz w:val="22"/>
          <w:szCs w:val="22"/>
        </w:rPr>
        <w:t>.</w:t>
      </w:r>
    </w:p>
    <w:p w:rsidR="00BB22DC" w:rsidRPr="006C4C94" w:rsidRDefault="00E11206" w:rsidP="00E33ACC">
      <w:pPr>
        <w:pStyle w:val="ListParagraph"/>
        <w:numPr>
          <w:ilvl w:val="0"/>
          <w:numId w:val="2"/>
        </w:numPr>
        <w:spacing w:before="240" w:after="0" w:line="360" w:lineRule="auto"/>
        <w:ind w:left="0" w:right="-613" w:hanging="284"/>
        <w:jc w:val="both"/>
        <w:rPr>
          <w:rFonts w:ascii="Arial" w:hAnsi="Arial" w:cs="Arial"/>
          <w:b/>
          <w:sz w:val="22"/>
          <w:szCs w:val="22"/>
        </w:rPr>
      </w:pPr>
      <w:r w:rsidRPr="005C6FC8">
        <w:rPr>
          <w:rFonts w:ascii="Arial" w:hAnsi="Arial" w:cs="Arial"/>
          <w:b/>
          <w:sz w:val="22"/>
          <w:szCs w:val="22"/>
        </w:rPr>
        <w:t xml:space="preserve">PURPOSE OF THE REPORT: </w:t>
      </w:r>
      <w:r w:rsidR="00E33ACC" w:rsidRPr="00E33ACC">
        <w:rPr>
          <w:rFonts w:ascii="Arial" w:hAnsi="Arial" w:cs="Arial"/>
          <w:sz w:val="22"/>
          <w:szCs w:val="22"/>
        </w:rPr>
        <w:t>To determine the conversion pri</w:t>
      </w:r>
      <w:r w:rsidR="00E33ACC">
        <w:rPr>
          <w:rFonts w:ascii="Arial" w:hAnsi="Arial" w:cs="Arial"/>
          <w:sz w:val="22"/>
          <w:szCs w:val="22"/>
        </w:rPr>
        <w:t>ce of the overdue interest of INR</w:t>
      </w:r>
      <w:r w:rsidR="00E33ACC" w:rsidRPr="00E33ACC">
        <w:rPr>
          <w:rFonts w:ascii="Arial" w:hAnsi="Arial" w:cs="Arial"/>
          <w:sz w:val="22"/>
          <w:szCs w:val="22"/>
        </w:rPr>
        <w:t xml:space="preserve"> 33 Cr proposed to be converted to equity</w:t>
      </w:r>
      <w:r w:rsidR="00E33ACC">
        <w:rPr>
          <w:rFonts w:ascii="Arial" w:hAnsi="Arial" w:cs="Arial"/>
          <w:sz w:val="22"/>
          <w:szCs w:val="22"/>
        </w:rPr>
        <w:t xml:space="preserve"> </w:t>
      </w:r>
      <w:r w:rsidRPr="00E33ACC">
        <w:rPr>
          <w:rFonts w:ascii="Arial" w:hAnsi="Arial" w:cs="Arial"/>
          <w:sz w:val="22"/>
          <w:szCs w:val="22"/>
        </w:rPr>
        <w:t>under implementation as a whole as required by the lenders</w:t>
      </w:r>
      <w:r w:rsidR="005C6FC8" w:rsidRPr="00E33ACC">
        <w:rPr>
          <w:rFonts w:ascii="Arial" w:hAnsi="Arial" w:cs="Arial"/>
          <w:sz w:val="22"/>
          <w:szCs w:val="22"/>
        </w:rPr>
        <w:t>.</w:t>
      </w:r>
    </w:p>
    <w:p w:rsidR="007108CC" w:rsidRPr="00C5267F" w:rsidRDefault="007108CC" w:rsidP="009955F2">
      <w:pPr>
        <w:pStyle w:val="ListParagraph"/>
        <w:numPr>
          <w:ilvl w:val="0"/>
          <w:numId w:val="2"/>
        </w:numPr>
        <w:spacing w:before="240" w:line="360" w:lineRule="auto"/>
        <w:ind w:left="0" w:right="-613" w:hanging="284"/>
        <w:jc w:val="both"/>
        <w:rPr>
          <w:rFonts w:ascii="Arial" w:hAnsi="Arial" w:cs="Arial"/>
          <w:sz w:val="22"/>
          <w:szCs w:val="22"/>
        </w:rPr>
      </w:pPr>
      <w:r w:rsidRPr="00C5267F">
        <w:rPr>
          <w:rFonts w:ascii="Arial" w:hAnsi="Arial" w:cs="Arial"/>
          <w:b/>
          <w:sz w:val="22"/>
          <w:szCs w:val="22"/>
          <w:lang w:val="en-IN"/>
        </w:rPr>
        <w:t>SCOPE</w:t>
      </w:r>
      <w:r w:rsidRPr="00C5267F">
        <w:rPr>
          <w:rFonts w:ascii="Arial" w:hAnsi="Arial" w:cs="Arial"/>
          <w:b/>
          <w:sz w:val="22"/>
          <w:szCs w:val="22"/>
        </w:rPr>
        <w:t xml:space="preserve"> OF THE REPORT: </w:t>
      </w:r>
      <w:r w:rsidR="00BB22DC">
        <w:rPr>
          <w:rFonts w:ascii="Arial" w:eastAsia="Arial" w:hAnsi="Arial" w:cs="Arial"/>
          <w:sz w:val="22"/>
          <w:szCs w:val="22"/>
        </w:rPr>
        <w:t xml:space="preserve">To </w:t>
      </w:r>
      <w:r w:rsidR="00F6083B">
        <w:rPr>
          <w:rFonts w:ascii="Arial" w:eastAsia="Arial" w:hAnsi="Arial" w:cs="Arial"/>
          <w:sz w:val="22"/>
          <w:szCs w:val="22"/>
        </w:rPr>
        <w:t>calculate</w:t>
      </w:r>
      <w:r w:rsidR="00BB22DC">
        <w:rPr>
          <w:rFonts w:ascii="Arial" w:eastAsia="Arial" w:hAnsi="Arial" w:cs="Arial"/>
          <w:sz w:val="22"/>
          <w:szCs w:val="22"/>
        </w:rPr>
        <w:t xml:space="preserve"> </w:t>
      </w:r>
      <w:r w:rsidR="00511832">
        <w:rPr>
          <w:rFonts w:ascii="Arial" w:hAnsi="Arial" w:cs="Arial"/>
          <w:sz w:val="22"/>
          <w:szCs w:val="22"/>
        </w:rPr>
        <w:t>conversion price</w:t>
      </w:r>
      <w:r w:rsidR="007F2A87">
        <w:rPr>
          <w:rFonts w:ascii="Arial" w:hAnsi="Arial" w:cs="Arial"/>
          <w:sz w:val="22"/>
          <w:szCs w:val="22"/>
        </w:rPr>
        <w:t xml:space="preserve"> of the shares of the company</w:t>
      </w:r>
      <w:r w:rsidRPr="00C5267F">
        <w:rPr>
          <w:rFonts w:ascii="Arial" w:eastAsia="Arial" w:hAnsi="Arial" w:cs="Arial"/>
          <w:sz w:val="22"/>
          <w:szCs w:val="22"/>
        </w:rPr>
        <w:t xml:space="preserve"> considering the </w:t>
      </w:r>
      <w:r w:rsidR="00E33ACC">
        <w:rPr>
          <w:rFonts w:ascii="Arial" w:eastAsia="Arial" w:hAnsi="Arial" w:cs="Arial"/>
          <w:sz w:val="22"/>
          <w:szCs w:val="22"/>
        </w:rPr>
        <w:t xml:space="preserve">Restructure proposal under the </w:t>
      </w:r>
      <w:r w:rsidR="00BB22DC">
        <w:rPr>
          <w:rFonts w:ascii="Arial" w:eastAsiaTheme="minorHAnsi" w:hAnsi="Arial" w:cs="Arial"/>
          <w:color w:val="000000"/>
          <w:sz w:val="22"/>
          <w:szCs w:val="22"/>
          <w:lang w:val="en-IN"/>
        </w:rPr>
        <w:t>Resolution Plan</w:t>
      </w:r>
      <w:r w:rsidRPr="00C5267F">
        <w:rPr>
          <w:rFonts w:ascii="Arial" w:eastAsia="Arial" w:hAnsi="Arial" w:cs="Arial"/>
          <w:sz w:val="22"/>
          <w:szCs w:val="22"/>
        </w:rPr>
        <w:t>.</w:t>
      </w:r>
    </w:p>
    <w:p w:rsidR="007108CC" w:rsidRPr="00C5267F" w:rsidRDefault="007108CC" w:rsidP="00021335">
      <w:pPr>
        <w:pStyle w:val="ListParagraph"/>
        <w:numPr>
          <w:ilvl w:val="0"/>
          <w:numId w:val="1"/>
        </w:numPr>
        <w:spacing w:line="360" w:lineRule="auto"/>
        <w:ind w:left="426" w:right="-613" w:hanging="426"/>
        <w:jc w:val="both"/>
        <w:rPr>
          <w:rFonts w:ascii="Arial" w:hAnsi="Arial" w:cs="Arial"/>
          <w:i/>
          <w:color w:val="000000"/>
          <w:sz w:val="22"/>
          <w:szCs w:val="22"/>
        </w:rPr>
      </w:pPr>
      <w:r w:rsidRPr="00C5267F">
        <w:rPr>
          <w:rFonts w:ascii="Arial" w:hAnsi="Arial" w:cs="Arial"/>
          <w:i/>
          <w:color w:val="000000"/>
          <w:sz w:val="22"/>
          <w:szCs w:val="22"/>
        </w:rPr>
        <w:t>This is ju</w:t>
      </w:r>
      <w:r w:rsidRPr="00E33ACC">
        <w:rPr>
          <w:rFonts w:ascii="Arial" w:hAnsi="Arial" w:cs="Arial"/>
          <w:i/>
          <w:color w:val="000000"/>
          <w:sz w:val="22"/>
          <w:szCs w:val="22"/>
        </w:rPr>
        <w:t xml:space="preserve">st the </w:t>
      </w:r>
      <w:r w:rsidR="007F2A87" w:rsidRPr="00E33ACC">
        <w:rPr>
          <w:rFonts w:ascii="Arial" w:hAnsi="Arial" w:cs="Arial"/>
          <w:i/>
          <w:color w:val="000000"/>
          <w:sz w:val="22"/>
          <w:szCs w:val="22"/>
        </w:rPr>
        <w:t>share</w:t>
      </w:r>
      <w:r w:rsidR="00BB22DC" w:rsidRPr="00E33ACC">
        <w:rPr>
          <w:rFonts w:ascii="Arial" w:hAnsi="Arial" w:cs="Arial"/>
          <w:i/>
          <w:color w:val="000000"/>
          <w:sz w:val="22"/>
          <w:szCs w:val="22"/>
        </w:rPr>
        <w:t xml:space="preserve"> valuation of the company</w:t>
      </w:r>
      <w:r w:rsidR="00101F4F" w:rsidRPr="00E33ACC">
        <w:rPr>
          <w:rFonts w:ascii="Arial" w:hAnsi="Arial" w:cs="Arial"/>
          <w:i/>
          <w:color w:val="000000"/>
          <w:sz w:val="22"/>
          <w:szCs w:val="22"/>
        </w:rPr>
        <w:t xml:space="preserve"> </w:t>
      </w:r>
      <w:r w:rsidR="007F2A87" w:rsidRPr="00E33ACC">
        <w:rPr>
          <w:rFonts w:ascii="Arial" w:hAnsi="Arial" w:cs="Arial"/>
          <w:i/>
          <w:color w:val="000000"/>
          <w:sz w:val="22"/>
          <w:szCs w:val="22"/>
        </w:rPr>
        <w:t>based o</w:t>
      </w:r>
      <w:r w:rsidR="0080275F">
        <w:rPr>
          <w:rFonts w:ascii="Arial" w:hAnsi="Arial" w:cs="Arial"/>
          <w:i/>
          <w:color w:val="000000"/>
          <w:sz w:val="22"/>
          <w:szCs w:val="22"/>
        </w:rPr>
        <w:t>n the restructure plan under</w:t>
      </w:r>
      <w:r w:rsidR="007F2A87" w:rsidRPr="00E33ACC">
        <w:rPr>
          <w:rFonts w:ascii="Arial" w:hAnsi="Arial" w:cs="Arial"/>
          <w:i/>
          <w:color w:val="000000"/>
          <w:sz w:val="22"/>
          <w:szCs w:val="22"/>
        </w:rPr>
        <w:t xml:space="preserve"> </w:t>
      </w:r>
      <w:r w:rsidR="00E33ACC" w:rsidRPr="00E33ACC">
        <w:rPr>
          <w:rFonts w:ascii="Arial" w:hAnsi="Arial" w:cs="Arial"/>
          <w:i/>
          <w:sz w:val="22"/>
          <w:szCs w:val="22"/>
          <w:lang w:val="en-IN"/>
        </w:rPr>
        <w:t xml:space="preserve">the Provision 158 (6) (a) of Chapter V Preferential Issue of SEBI ICDR, which in turn refers to </w:t>
      </w:r>
      <w:r w:rsidR="00E33ACC" w:rsidRPr="00E33ACC">
        <w:rPr>
          <w:rFonts w:ascii="Arial" w:hAnsi="Arial" w:cs="Arial"/>
          <w:i/>
          <w:sz w:val="22"/>
        </w:rPr>
        <w:t xml:space="preserve">the </w:t>
      </w:r>
      <w:r w:rsidR="00E33ACC" w:rsidRPr="00E33ACC">
        <w:rPr>
          <w:rFonts w:ascii="Arial" w:hAnsi="Arial" w:cs="Arial"/>
          <w:i/>
          <w:sz w:val="22"/>
          <w:szCs w:val="22"/>
        </w:rPr>
        <w:t xml:space="preserve">Prudential Framework for Resolution of Stressed Assets vide RBI Circular dated June 07, 2019 </w:t>
      </w:r>
      <w:r w:rsidR="00E33ACC" w:rsidRPr="00E33ACC">
        <w:rPr>
          <w:rFonts w:ascii="Arial" w:hAnsi="Arial" w:cs="Arial"/>
          <w:i/>
          <w:sz w:val="22"/>
          <w:szCs w:val="22"/>
          <w:lang w:val="en-IN"/>
        </w:rPr>
        <w:t>Clause 32</w:t>
      </w:r>
      <w:r w:rsidR="009218B1" w:rsidRPr="00F6083B">
        <w:rPr>
          <w:rFonts w:ascii="Arial" w:hAnsi="Arial" w:cs="Arial"/>
          <w:i/>
          <w:color w:val="000000"/>
          <w:sz w:val="22"/>
          <w:szCs w:val="22"/>
        </w:rPr>
        <w:t>.</w:t>
      </w:r>
    </w:p>
    <w:p w:rsidR="007108CC" w:rsidRPr="00C5267F" w:rsidRDefault="007108CC" w:rsidP="00021335">
      <w:pPr>
        <w:pStyle w:val="ListParagraph"/>
        <w:numPr>
          <w:ilvl w:val="0"/>
          <w:numId w:val="1"/>
        </w:numPr>
        <w:spacing w:line="360" w:lineRule="auto"/>
        <w:ind w:left="426" w:right="-613" w:hanging="426"/>
        <w:jc w:val="both"/>
        <w:rPr>
          <w:rFonts w:ascii="Arial" w:hAnsi="Arial" w:cs="Arial"/>
          <w:i/>
          <w:color w:val="000000"/>
          <w:sz w:val="22"/>
          <w:szCs w:val="22"/>
        </w:rPr>
      </w:pPr>
      <w:r w:rsidRPr="00C5267F">
        <w:rPr>
          <w:rFonts w:ascii="Arial" w:eastAsia="Arial" w:hAnsi="Arial" w:cs="Arial"/>
          <w:i/>
          <w:sz w:val="22"/>
          <w:szCs w:val="22"/>
        </w:rPr>
        <w:lastRenderedPageBreak/>
        <w:t>This Valuation only c</w:t>
      </w:r>
      <w:r w:rsidR="006B6F15">
        <w:rPr>
          <w:rFonts w:ascii="Arial" w:eastAsia="Arial" w:hAnsi="Arial" w:cs="Arial"/>
          <w:i/>
          <w:sz w:val="22"/>
          <w:szCs w:val="22"/>
        </w:rPr>
        <w:t>overs the valuation</w:t>
      </w:r>
      <w:r w:rsidR="007F2A87">
        <w:rPr>
          <w:rFonts w:ascii="Arial" w:eastAsia="Arial" w:hAnsi="Arial" w:cs="Arial"/>
          <w:i/>
          <w:sz w:val="22"/>
          <w:szCs w:val="22"/>
        </w:rPr>
        <w:t xml:space="preserve"> of the share </w:t>
      </w:r>
      <w:r w:rsidR="007F2A87" w:rsidRPr="00C5267F">
        <w:rPr>
          <w:rFonts w:ascii="Arial" w:eastAsia="Arial" w:hAnsi="Arial" w:cs="Arial"/>
          <w:i/>
          <w:sz w:val="22"/>
          <w:szCs w:val="22"/>
        </w:rPr>
        <w:t>of</w:t>
      </w:r>
      <w:r w:rsidRPr="00C5267F">
        <w:rPr>
          <w:rFonts w:ascii="Arial" w:eastAsia="Arial" w:hAnsi="Arial" w:cs="Arial"/>
          <w:i/>
          <w:sz w:val="22"/>
          <w:szCs w:val="22"/>
        </w:rPr>
        <w:t xml:space="preserve"> the company</w:t>
      </w:r>
      <w:r w:rsidRPr="00C5267F">
        <w:rPr>
          <w:rFonts w:ascii="Arial" w:hAnsi="Arial" w:cs="Arial"/>
          <w:i/>
          <w:color w:val="000000"/>
          <w:sz w:val="22"/>
          <w:szCs w:val="22"/>
        </w:rPr>
        <w:t>. It does not cover any transaction with the subject company’s subsidiary/ associate/ Joint Venture Companies, as per the requirement by the lender.</w:t>
      </w:r>
    </w:p>
    <w:p w:rsidR="00283EAA" w:rsidRDefault="007108CC" w:rsidP="00283EAA">
      <w:pPr>
        <w:pStyle w:val="ListParagraph"/>
        <w:numPr>
          <w:ilvl w:val="0"/>
          <w:numId w:val="1"/>
        </w:numPr>
        <w:spacing w:line="360" w:lineRule="auto"/>
        <w:ind w:left="426" w:right="-613" w:hanging="426"/>
        <w:jc w:val="both"/>
        <w:rPr>
          <w:rFonts w:ascii="Arial" w:hAnsi="Arial" w:cs="Arial"/>
          <w:i/>
          <w:color w:val="000000"/>
          <w:sz w:val="22"/>
          <w:szCs w:val="22"/>
        </w:rPr>
      </w:pPr>
      <w:r w:rsidRPr="00C5267F">
        <w:rPr>
          <w:rFonts w:ascii="Arial" w:hAnsi="Arial" w:cs="Arial"/>
          <w:i/>
          <w:color w:val="000000"/>
          <w:sz w:val="22"/>
          <w:szCs w:val="22"/>
        </w:rPr>
        <w:t xml:space="preserve">This Valuation </w:t>
      </w:r>
      <w:r w:rsidR="006B6F15">
        <w:rPr>
          <w:rFonts w:ascii="Arial" w:hAnsi="Arial" w:cs="Arial"/>
          <w:i/>
          <w:color w:val="000000"/>
          <w:sz w:val="22"/>
          <w:szCs w:val="22"/>
        </w:rPr>
        <w:t>is prepared based on the</w:t>
      </w:r>
      <w:r w:rsidRPr="00C5267F">
        <w:rPr>
          <w:rFonts w:ascii="Arial" w:hAnsi="Arial" w:cs="Arial"/>
          <w:i/>
          <w:color w:val="000000"/>
          <w:sz w:val="22"/>
          <w:szCs w:val="22"/>
        </w:rPr>
        <w:t xml:space="preserve"> </w:t>
      </w:r>
      <w:r w:rsidR="009218B1">
        <w:rPr>
          <w:rFonts w:ascii="Arial" w:hAnsi="Arial" w:cs="Arial"/>
          <w:i/>
          <w:color w:val="000000"/>
          <w:sz w:val="22"/>
          <w:szCs w:val="22"/>
        </w:rPr>
        <w:t xml:space="preserve">financial </w:t>
      </w:r>
      <w:r w:rsidR="00283EAA">
        <w:rPr>
          <w:rFonts w:ascii="Arial" w:hAnsi="Arial" w:cs="Arial"/>
          <w:i/>
          <w:color w:val="000000"/>
          <w:sz w:val="22"/>
          <w:szCs w:val="22"/>
        </w:rPr>
        <w:t xml:space="preserve">&amp; </w:t>
      </w:r>
      <w:r w:rsidR="009218B1">
        <w:rPr>
          <w:rFonts w:ascii="Arial" w:hAnsi="Arial" w:cs="Arial"/>
          <w:i/>
          <w:color w:val="000000"/>
          <w:sz w:val="22"/>
          <w:szCs w:val="22"/>
        </w:rPr>
        <w:t xml:space="preserve">operational </w:t>
      </w:r>
      <w:r w:rsidR="00283EAA">
        <w:rPr>
          <w:rFonts w:ascii="Arial" w:hAnsi="Arial" w:cs="Arial"/>
          <w:i/>
          <w:color w:val="000000"/>
          <w:sz w:val="22"/>
          <w:szCs w:val="22"/>
        </w:rPr>
        <w:t xml:space="preserve">status </w:t>
      </w:r>
      <w:r w:rsidRPr="00C5267F">
        <w:rPr>
          <w:rFonts w:ascii="Arial" w:hAnsi="Arial" w:cs="Arial"/>
          <w:i/>
          <w:color w:val="000000"/>
          <w:sz w:val="22"/>
          <w:szCs w:val="22"/>
        </w:rPr>
        <w:t>of the company</w:t>
      </w:r>
      <w:r w:rsidR="00283EAA">
        <w:rPr>
          <w:rFonts w:ascii="Arial" w:hAnsi="Arial" w:cs="Arial"/>
          <w:i/>
          <w:color w:val="000000"/>
          <w:sz w:val="22"/>
          <w:szCs w:val="22"/>
        </w:rPr>
        <w:t xml:space="preserve"> considering the resolution plan</w:t>
      </w:r>
      <w:r w:rsidRPr="00C5267F">
        <w:rPr>
          <w:rFonts w:ascii="Arial" w:hAnsi="Arial" w:cs="Arial"/>
          <w:i/>
          <w:color w:val="000000"/>
          <w:sz w:val="22"/>
          <w:szCs w:val="22"/>
        </w:rPr>
        <w:t>, financial data, other facts &amp; information provided by the company/ lender/ Client in writing &amp; verbal discussions held during the course of the assignment and based on independent assessment of certain assumptions which are specifically mentioned in the Valuation section of the Report.</w:t>
      </w:r>
    </w:p>
    <w:p w:rsidR="00283EAA" w:rsidRDefault="007108CC" w:rsidP="00283EAA">
      <w:pPr>
        <w:pStyle w:val="ListParagraph"/>
        <w:numPr>
          <w:ilvl w:val="0"/>
          <w:numId w:val="1"/>
        </w:numPr>
        <w:spacing w:line="360" w:lineRule="auto"/>
        <w:ind w:left="426" w:right="-613" w:hanging="426"/>
        <w:jc w:val="both"/>
        <w:rPr>
          <w:rFonts w:ascii="Arial" w:hAnsi="Arial" w:cs="Arial"/>
          <w:i/>
          <w:color w:val="000000"/>
          <w:sz w:val="22"/>
          <w:szCs w:val="22"/>
        </w:rPr>
      </w:pPr>
      <w:r w:rsidRPr="00283EAA">
        <w:rPr>
          <w:rFonts w:ascii="Arial" w:hAnsi="Arial" w:cs="Arial"/>
          <w:i/>
          <w:color w:val="000000"/>
          <w:sz w:val="22"/>
          <w:szCs w:val="22"/>
        </w:rPr>
        <w:t>We have assumed that the information provided to us is correct and is not manipulated or distorted.</w:t>
      </w:r>
    </w:p>
    <w:p w:rsidR="007108CC" w:rsidRPr="00283EAA" w:rsidRDefault="006B6F15" w:rsidP="00283EAA">
      <w:pPr>
        <w:pStyle w:val="ListParagraph"/>
        <w:numPr>
          <w:ilvl w:val="0"/>
          <w:numId w:val="1"/>
        </w:numPr>
        <w:spacing w:line="360" w:lineRule="auto"/>
        <w:ind w:left="426" w:right="-613" w:hanging="426"/>
        <w:jc w:val="both"/>
        <w:rPr>
          <w:rFonts w:ascii="Arial" w:hAnsi="Arial" w:cs="Arial"/>
          <w:i/>
          <w:color w:val="000000"/>
          <w:sz w:val="22"/>
          <w:szCs w:val="22"/>
        </w:rPr>
      </w:pPr>
      <w:r>
        <w:rPr>
          <w:rFonts w:ascii="Arial" w:hAnsi="Arial" w:cs="Arial"/>
          <w:i/>
          <w:color w:val="000000"/>
          <w:sz w:val="22"/>
          <w:szCs w:val="22"/>
        </w:rPr>
        <w:t xml:space="preserve">As per information provided by the client, </w:t>
      </w:r>
      <w:r w:rsidR="00F229E8" w:rsidRPr="00377E9A">
        <w:rPr>
          <w:rFonts w:ascii="Arial" w:hAnsi="Arial" w:cs="Arial"/>
          <w:sz w:val="22"/>
        </w:rPr>
        <w:t xml:space="preserve">, as Lenders had decided the cut-off/effective date of the restructuring plan as Apr 01, 2021, the Audited Financials as on Mar 31, 2021, have been relied upon for </w:t>
      </w:r>
      <w:r w:rsidR="00F229E8">
        <w:rPr>
          <w:rFonts w:ascii="Arial" w:hAnsi="Arial" w:cs="Arial"/>
          <w:sz w:val="22"/>
        </w:rPr>
        <w:t>calculating the NAV</w:t>
      </w:r>
      <w:r w:rsidR="00294928">
        <w:rPr>
          <w:rFonts w:ascii="Arial" w:hAnsi="Arial" w:cs="Arial"/>
          <w:i/>
          <w:color w:val="000000"/>
          <w:sz w:val="22"/>
          <w:szCs w:val="22"/>
        </w:rPr>
        <w:t xml:space="preserve">. </w:t>
      </w:r>
    </w:p>
    <w:p w:rsidR="009218B1" w:rsidRDefault="00E33ACC" w:rsidP="00021335">
      <w:pPr>
        <w:pStyle w:val="ListParagraph"/>
        <w:numPr>
          <w:ilvl w:val="0"/>
          <w:numId w:val="2"/>
        </w:numPr>
        <w:spacing w:line="360" w:lineRule="auto"/>
        <w:ind w:left="0" w:right="-613" w:hanging="284"/>
        <w:jc w:val="both"/>
        <w:rPr>
          <w:rFonts w:ascii="Arial" w:hAnsi="Arial" w:cs="Arial"/>
          <w:b/>
          <w:sz w:val="22"/>
          <w:szCs w:val="22"/>
        </w:rPr>
      </w:pPr>
      <w:r>
        <w:rPr>
          <w:rFonts w:ascii="Arial" w:hAnsi="Arial" w:cs="Arial"/>
          <w:b/>
          <w:sz w:val="22"/>
          <w:szCs w:val="22"/>
        </w:rPr>
        <w:t>METHODOLOGY/</w:t>
      </w:r>
      <w:r w:rsidR="007108CC" w:rsidRPr="00C5267F">
        <w:rPr>
          <w:rFonts w:ascii="Arial" w:hAnsi="Arial" w:cs="Arial"/>
          <w:b/>
          <w:sz w:val="22"/>
          <w:szCs w:val="22"/>
        </w:rPr>
        <w:t>MODEL</w:t>
      </w:r>
      <w:r>
        <w:rPr>
          <w:rFonts w:ascii="Arial" w:hAnsi="Arial" w:cs="Arial"/>
          <w:b/>
          <w:sz w:val="22"/>
          <w:szCs w:val="22"/>
        </w:rPr>
        <w:t>/PROVISIONS</w:t>
      </w:r>
      <w:r w:rsidR="007108CC" w:rsidRPr="00C5267F">
        <w:rPr>
          <w:rFonts w:ascii="Arial" w:hAnsi="Arial" w:cs="Arial"/>
          <w:b/>
          <w:sz w:val="22"/>
          <w:szCs w:val="22"/>
        </w:rPr>
        <w:t xml:space="preserve"> ADOPTED: </w:t>
      </w:r>
      <w:r w:rsidRPr="00E33ACC">
        <w:rPr>
          <w:rFonts w:ascii="Arial" w:hAnsi="Arial" w:cs="Arial"/>
          <w:sz w:val="22"/>
          <w:szCs w:val="22"/>
        </w:rPr>
        <w:t>T</w:t>
      </w:r>
      <w:r w:rsidRPr="00E33ACC">
        <w:rPr>
          <w:rFonts w:ascii="Arial" w:hAnsi="Arial" w:cs="Arial"/>
          <w:sz w:val="22"/>
        </w:rPr>
        <w:t xml:space="preserve">o determine the conversion price of the overdue interest of INR 33.00 Crore, proposed to be converted to equity as per </w:t>
      </w:r>
      <w:r w:rsidRPr="00E33ACC">
        <w:rPr>
          <w:rFonts w:ascii="Arial" w:hAnsi="Arial" w:cs="Arial"/>
          <w:sz w:val="22"/>
          <w:szCs w:val="22"/>
          <w:lang w:val="en-IN"/>
        </w:rPr>
        <w:t xml:space="preserve">the Provision 158 (6) (a) of Chapter V Preferential Issue of SEBI ICDR, which in turn refers to </w:t>
      </w:r>
      <w:r w:rsidRPr="00E33ACC">
        <w:rPr>
          <w:rFonts w:ascii="Arial" w:hAnsi="Arial" w:cs="Arial"/>
          <w:sz w:val="22"/>
        </w:rPr>
        <w:t xml:space="preserve">the </w:t>
      </w:r>
      <w:r w:rsidRPr="00E33ACC">
        <w:rPr>
          <w:rFonts w:ascii="Arial" w:hAnsi="Arial" w:cs="Arial"/>
          <w:sz w:val="22"/>
          <w:szCs w:val="22"/>
        </w:rPr>
        <w:t xml:space="preserve">Prudential Framework for Resolution of Stressed Assets vide RBI Circular dated June 07, 2019 </w:t>
      </w:r>
      <w:r w:rsidRPr="00E33ACC">
        <w:rPr>
          <w:rFonts w:ascii="Arial" w:hAnsi="Arial" w:cs="Arial"/>
          <w:sz w:val="22"/>
          <w:szCs w:val="22"/>
          <w:lang w:val="en-IN"/>
        </w:rPr>
        <w:t>Clause 32</w:t>
      </w:r>
      <w:r w:rsidR="00283EAA" w:rsidRPr="00F6083B">
        <w:rPr>
          <w:rFonts w:ascii="Arial" w:hAnsi="Arial" w:cs="Arial"/>
          <w:sz w:val="22"/>
          <w:szCs w:val="22"/>
        </w:rPr>
        <w:t>.</w:t>
      </w:r>
    </w:p>
    <w:p w:rsidR="00E11206" w:rsidRPr="009218B1" w:rsidRDefault="00E11206" w:rsidP="00021335">
      <w:pPr>
        <w:pStyle w:val="ListParagraph"/>
        <w:numPr>
          <w:ilvl w:val="0"/>
          <w:numId w:val="2"/>
        </w:numPr>
        <w:spacing w:before="240" w:line="360" w:lineRule="auto"/>
        <w:ind w:left="0" w:right="-613" w:hanging="284"/>
        <w:jc w:val="both"/>
        <w:rPr>
          <w:rFonts w:ascii="Arial" w:hAnsi="Arial" w:cs="Arial"/>
          <w:b/>
          <w:sz w:val="22"/>
          <w:szCs w:val="22"/>
        </w:rPr>
      </w:pPr>
      <w:r w:rsidRPr="009218B1">
        <w:rPr>
          <w:rFonts w:ascii="Arial" w:hAnsi="Arial" w:cs="Arial"/>
          <w:b/>
          <w:sz w:val="22"/>
          <w:szCs w:val="22"/>
        </w:rPr>
        <w:t xml:space="preserve">DOCUMENTS / DATA REFFERED: </w:t>
      </w:r>
    </w:p>
    <w:p w:rsidR="006D30D0" w:rsidRDefault="00E11206" w:rsidP="00E33ACC">
      <w:pPr>
        <w:pStyle w:val="ListParagraph"/>
        <w:numPr>
          <w:ilvl w:val="0"/>
          <w:numId w:val="7"/>
        </w:numPr>
        <w:spacing w:line="360" w:lineRule="auto"/>
        <w:ind w:left="426" w:right="-592" w:hanging="426"/>
        <w:jc w:val="both"/>
        <w:rPr>
          <w:rFonts w:ascii="Arial" w:hAnsi="Arial" w:cs="Arial"/>
          <w:sz w:val="22"/>
          <w:szCs w:val="22"/>
        </w:rPr>
      </w:pPr>
      <w:r w:rsidRPr="009218B1">
        <w:rPr>
          <w:rFonts w:ascii="Arial" w:hAnsi="Arial" w:cs="Arial"/>
          <w:sz w:val="22"/>
          <w:szCs w:val="22"/>
        </w:rPr>
        <w:t xml:space="preserve">Audited Financial Statements and </w:t>
      </w:r>
      <w:r w:rsidR="00101F4F">
        <w:rPr>
          <w:rFonts w:ascii="Arial" w:hAnsi="Arial" w:cs="Arial"/>
          <w:sz w:val="22"/>
          <w:szCs w:val="22"/>
        </w:rPr>
        <w:t>n</w:t>
      </w:r>
      <w:r w:rsidR="00101F4F" w:rsidRPr="009218B1">
        <w:rPr>
          <w:rFonts w:ascii="Arial" w:hAnsi="Arial" w:cs="Arial"/>
          <w:sz w:val="22"/>
          <w:szCs w:val="22"/>
        </w:rPr>
        <w:t xml:space="preserve">otes </w:t>
      </w:r>
      <w:r w:rsidR="00101F4F">
        <w:rPr>
          <w:rFonts w:ascii="Arial" w:hAnsi="Arial" w:cs="Arial"/>
          <w:sz w:val="22"/>
          <w:szCs w:val="22"/>
        </w:rPr>
        <w:t>for the FY 2021 &amp; FY 2022 p</w:t>
      </w:r>
      <w:r w:rsidRPr="009218B1">
        <w:rPr>
          <w:rFonts w:ascii="Arial" w:hAnsi="Arial" w:cs="Arial"/>
          <w:sz w:val="22"/>
          <w:szCs w:val="22"/>
        </w:rPr>
        <w:t>rovided by the Company.</w:t>
      </w:r>
    </w:p>
    <w:p w:rsidR="00283EAA" w:rsidRDefault="00283EAA" w:rsidP="00E33ACC">
      <w:pPr>
        <w:pStyle w:val="ListParagraph"/>
        <w:numPr>
          <w:ilvl w:val="0"/>
          <w:numId w:val="7"/>
        </w:numPr>
        <w:spacing w:line="360" w:lineRule="auto"/>
        <w:ind w:left="426" w:right="-592" w:hanging="426"/>
        <w:jc w:val="both"/>
        <w:rPr>
          <w:rFonts w:ascii="Arial" w:hAnsi="Arial" w:cs="Arial"/>
          <w:sz w:val="22"/>
          <w:szCs w:val="22"/>
        </w:rPr>
      </w:pPr>
      <w:r>
        <w:rPr>
          <w:rFonts w:ascii="Arial" w:hAnsi="Arial" w:cs="Arial"/>
          <w:sz w:val="22"/>
          <w:szCs w:val="22"/>
        </w:rPr>
        <w:t>Lenders Information Memorandum.</w:t>
      </w:r>
    </w:p>
    <w:p w:rsidR="00283EAA" w:rsidRDefault="00283EAA" w:rsidP="00E33ACC">
      <w:pPr>
        <w:pStyle w:val="ListParagraph"/>
        <w:numPr>
          <w:ilvl w:val="0"/>
          <w:numId w:val="7"/>
        </w:numPr>
        <w:spacing w:line="360" w:lineRule="auto"/>
        <w:ind w:left="426" w:right="-592" w:hanging="426"/>
        <w:jc w:val="both"/>
        <w:rPr>
          <w:rFonts w:ascii="Arial" w:hAnsi="Arial" w:cs="Arial"/>
          <w:sz w:val="22"/>
          <w:szCs w:val="22"/>
        </w:rPr>
      </w:pPr>
      <w:r w:rsidRPr="00D35FF0">
        <w:rPr>
          <w:rFonts w:ascii="Arial" w:hAnsi="Arial" w:cs="Arial"/>
          <w:sz w:val="22"/>
          <w:szCs w:val="22"/>
        </w:rPr>
        <w:t>Prudential Framework for Resolution of Stressed Assets vide RBI Circular dated June 07, 2019</w:t>
      </w:r>
      <w:r w:rsidR="00F6083B">
        <w:rPr>
          <w:rFonts w:ascii="Arial" w:hAnsi="Arial" w:cs="Arial"/>
          <w:sz w:val="22"/>
          <w:szCs w:val="22"/>
        </w:rPr>
        <w:t>.</w:t>
      </w:r>
    </w:p>
    <w:p w:rsidR="008D4BAE" w:rsidRDefault="008D4BAE" w:rsidP="008D4BAE">
      <w:pPr>
        <w:spacing w:line="360" w:lineRule="auto"/>
        <w:jc w:val="both"/>
        <w:rPr>
          <w:rFonts w:ascii="Arial" w:hAnsi="Arial" w:cs="Arial"/>
          <w:sz w:val="22"/>
          <w:szCs w:val="22"/>
        </w:rPr>
      </w:pPr>
    </w:p>
    <w:p w:rsidR="00D07ADE" w:rsidRDefault="00D07ADE">
      <w:pPr>
        <w:rPr>
          <w:rFonts w:ascii="Arial" w:hAnsi="Arial" w:cs="Arial"/>
          <w:sz w:val="22"/>
          <w:szCs w:val="22"/>
        </w:rPr>
      </w:pPr>
      <w:r>
        <w:rPr>
          <w:rFonts w:ascii="Arial" w:hAnsi="Arial" w:cs="Arial"/>
          <w:sz w:val="22"/>
          <w:szCs w:val="22"/>
        </w:rPr>
        <w:br w:type="page"/>
      </w:r>
    </w:p>
    <w:tbl>
      <w:tblPr>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8128"/>
      </w:tblGrid>
      <w:tr w:rsidR="004A3A15" w:rsidRPr="0039670B" w:rsidTr="00B01A8B">
        <w:trPr>
          <w:trHeight w:val="436"/>
        </w:trPr>
        <w:tc>
          <w:tcPr>
            <w:tcW w:w="769" w:type="pct"/>
            <w:shd w:val="clear" w:color="auto" w:fill="17365D"/>
            <w:vAlign w:val="center"/>
          </w:tcPr>
          <w:p w:rsidR="004A3A15" w:rsidRPr="0039670B" w:rsidRDefault="00383743" w:rsidP="004A3A15">
            <w:pPr>
              <w:spacing w:after="0" w:line="360" w:lineRule="auto"/>
              <w:jc w:val="center"/>
              <w:rPr>
                <w:rFonts w:ascii="Arial" w:hAnsi="Arial" w:cs="Arial"/>
                <w:b/>
                <w:i/>
                <w:sz w:val="22"/>
                <w:szCs w:val="22"/>
              </w:rPr>
            </w:pPr>
            <w:r>
              <w:rPr>
                <w:rFonts w:ascii="Arial" w:hAnsi="Arial" w:cs="Arial"/>
                <w:b/>
                <w:sz w:val="22"/>
                <w:szCs w:val="22"/>
              </w:rPr>
              <w:lastRenderedPageBreak/>
              <w:t>PART B</w:t>
            </w:r>
          </w:p>
        </w:tc>
        <w:tc>
          <w:tcPr>
            <w:tcW w:w="4231" w:type="pct"/>
            <w:shd w:val="clear" w:color="auto" w:fill="DBE5F1"/>
            <w:vAlign w:val="center"/>
          </w:tcPr>
          <w:p w:rsidR="004A3A15" w:rsidRPr="0039670B" w:rsidRDefault="004A3A15" w:rsidP="000A568F">
            <w:pPr>
              <w:spacing w:after="0" w:line="360" w:lineRule="auto"/>
              <w:jc w:val="center"/>
              <w:rPr>
                <w:rFonts w:ascii="Arial" w:hAnsi="Arial" w:cs="Arial"/>
                <w:b/>
                <w:i/>
                <w:sz w:val="22"/>
                <w:szCs w:val="22"/>
              </w:rPr>
            </w:pPr>
            <w:r w:rsidRPr="0039670B">
              <w:rPr>
                <w:rFonts w:ascii="Arial" w:hAnsi="Arial" w:cs="Arial"/>
                <w:b/>
                <w:sz w:val="22"/>
                <w:szCs w:val="22"/>
              </w:rPr>
              <w:t xml:space="preserve">VALUATION OF THE </w:t>
            </w:r>
            <w:r w:rsidR="000060C4">
              <w:rPr>
                <w:rFonts w:ascii="Arial" w:hAnsi="Arial" w:cs="Arial"/>
                <w:b/>
                <w:sz w:val="22"/>
                <w:szCs w:val="22"/>
              </w:rPr>
              <w:t xml:space="preserve">SHARES OF THE </w:t>
            </w:r>
            <w:r w:rsidRPr="0039670B">
              <w:rPr>
                <w:rFonts w:ascii="Arial" w:hAnsi="Arial" w:cs="Arial"/>
                <w:b/>
                <w:sz w:val="22"/>
                <w:szCs w:val="22"/>
              </w:rPr>
              <w:t>COMPANY</w:t>
            </w:r>
          </w:p>
        </w:tc>
      </w:tr>
    </w:tbl>
    <w:p w:rsidR="008E1CED" w:rsidRDefault="008E1CED" w:rsidP="008E1CED">
      <w:pPr>
        <w:pStyle w:val="ListParagraph"/>
        <w:spacing w:after="0" w:line="360" w:lineRule="auto"/>
        <w:ind w:left="0" w:right="-613"/>
        <w:jc w:val="both"/>
        <w:rPr>
          <w:rFonts w:ascii="Arial" w:hAnsi="Arial" w:cs="Arial"/>
          <w:b/>
          <w:sz w:val="22"/>
          <w:szCs w:val="22"/>
          <w:lang w:val="en-IN"/>
        </w:rPr>
      </w:pPr>
    </w:p>
    <w:p w:rsidR="008E1CED" w:rsidRDefault="00C11E53" w:rsidP="00A0081D">
      <w:pPr>
        <w:pStyle w:val="ListParagraph"/>
        <w:numPr>
          <w:ilvl w:val="0"/>
          <w:numId w:val="16"/>
        </w:numPr>
        <w:spacing w:line="360" w:lineRule="auto"/>
        <w:ind w:left="284" w:right="-613" w:hanging="426"/>
        <w:jc w:val="both"/>
        <w:rPr>
          <w:rFonts w:ascii="Arial" w:hAnsi="Arial" w:cs="Arial"/>
          <w:b/>
          <w:sz w:val="22"/>
          <w:szCs w:val="22"/>
          <w:lang w:val="en-IN"/>
        </w:rPr>
      </w:pPr>
      <w:r w:rsidRPr="00C11E53">
        <w:rPr>
          <w:rFonts w:ascii="Arial" w:hAnsi="Arial" w:cs="Arial"/>
          <w:b/>
          <w:sz w:val="22"/>
          <w:szCs w:val="22"/>
          <w:lang w:val="en-IN"/>
        </w:rPr>
        <w:t>SECURITY STRUCTURE</w:t>
      </w:r>
      <w:r>
        <w:rPr>
          <w:rFonts w:ascii="Arial" w:hAnsi="Arial" w:cs="Arial"/>
          <w:b/>
          <w:sz w:val="22"/>
          <w:szCs w:val="22"/>
          <w:lang w:val="en-IN"/>
        </w:rPr>
        <w:t>:</w:t>
      </w:r>
    </w:p>
    <w:p w:rsidR="008E1CED" w:rsidRDefault="00C11E53" w:rsidP="008E1CED">
      <w:pPr>
        <w:pStyle w:val="ListParagraph"/>
        <w:spacing w:line="360" w:lineRule="auto"/>
        <w:ind w:left="284" w:right="-613"/>
        <w:jc w:val="both"/>
        <w:rPr>
          <w:rFonts w:ascii="Arial" w:hAnsi="Arial" w:cs="Arial"/>
          <w:sz w:val="22"/>
          <w:szCs w:val="22"/>
          <w:lang w:val="en-IN"/>
        </w:rPr>
      </w:pPr>
      <w:r w:rsidRPr="008E1CED">
        <w:rPr>
          <w:rFonts w:ascii="Arial" w:hAnsi="Arial" w:cs="Arial"/>
          <w:sz w:val="22"/>
          <w:szCs w:val="22"/>
          <w:lang w:val="en-IN"/>
        </w:rPr>
        <w:t>All Consortium Lenders (including Working Capital Lenders) shall have a common pool of security i.e., first pari-passu charge on all Company/Project assets.</w:t>
      </w:r>
    </w:p>
    <w:p w:rsidR="008E1CED" w:rsidRPr="008E1CED" w:rsidRDefault="00C11E53" w:rsidP="00A0081D">
      <w:pPr>
        <w:pStyle w:val="ListParagraph"/>
        <w:numPr>
          <w:ilvl w:val="0"/>
          <w:numId w:val="17"/>
        </w:numPr>
        <w:spacing w:line="360" w:lineRule="auto"/>
        <w:ind w:left="709" w:right="-613" w:hanging="425"/>
        <w:jc w:val="both"/>
        <w:rPr>
          <w:rFonts w:ascii="Arial" w:hAnsi="Arial" w:cs="Arial"/>
          <w:b/>
          <w:sz w:val="22"/>
          <w:szCs w:val="22"/>
          <w:lang w:val="en-IN"/>
        </w:rPr>
      </w:pPr>
      <w:r w:rsidRPr="00C11E53">
        <w:rPr>
          <w:rFonts w:ascii="Arial" w:hAnsi="Arial" w:cs="Arial"/>
          <w:sz w:val="22"/>
          <w:szCs w:val="22"/>
          <w:lang w:val="en-IN"/>
        </w:rPr>
        <w:t>ICICI Bank that currently has subservient charge on Project Assets for its Corporate Loan shall get first pari-passu charge on all Company/Project Assets in line with other consortium Lenders.</w:t>
      </w:r>
    </w:p>
    <w:p w:rsidR="008E1CED" w:rsidRPr="008E1CED" w:rsidRDefault="00C11E53" w:rsidP="00A0081D">
      <w:pPr>
        <w:pStyle w:val="ListParagraph"/>
        <w:numPr>
          <w:ilvl w:val="0"/>
          <w:numId w:val="17"/>
        </w:numPr>
        <w:spacing w:line="360" w:lineRule="auto"/>
        <w:ind w:left="709" w:right="-613" w:hanging="425"/>
        <w:jc w:val="both"/>
        <w:rPr>
          <w:rFonts w:ascii="Arial" w:hAnsi="Arial" w:cs="Arial"/>
          <w:b/>
          <w:sz w:val="22"/>
          <w:szCs w:val="22"/>
          <w:lang w:val="en-IN"/>
        </w:rPr>
      </w:pPr>
      <w:r w:rsidRPr="008E1CED">
        <w:rPr>
          <w:rFonts w:ascii="Arial" w:hAnsi="Arial" w:cs="Arial"/>
          <w:sz w:val="22"/>
          <w:szCs w:val="22"/>
          <w:lang w:val="en-IN"/>
        </w:rPr>
        <w:t>TRA arrangement at present with Axis Bank to be shifted to State Bank of India post implementation of RP.</w:t>
      </w:r>
    </w:p>
    <w:p w:rsidR="008E1CED" w:rsidRPr="008E1CED" w:rsidRDefault="00C11E53" w:rsidP="00A0081D">
      <w:pPr>
        <w:pStyle w:val="ListParagraph"/>
        <w:numPr>
          <w:ilvl w:val="0"/>
          <w:numId w:val="17"/>
        </w:numPr>
        <w:spacing w:line="360" w:lineRule="auto"/>
        <w:ind w:left="709" w:right="-613" w:hanging="425"/>
        <w:jc w:val="both"/>
        <w:rPr>
          <w:rFonts w:ascii="Arial" w:hAnsi="Arial" w:cs="Arial"/>
          <w:b/>
          <w:sz w:val="22"/>
          <w:szCs w:val="22"/>
          <w:lang w:val="en-IN"/>
        </w:rPr>
      </w:pPr>
      <w:r w:rsidRPr="008E1CED">
        <w:rPr>
          <w:rFonts w:ascii="Arial" w:hAnsi="Arial" w:cs="Arial"/>
          <w:sz w:val="22"/>
          <w:szCs w:val="22"/>
          <w:lang w:val="en-IN"/>
        </w:rPr>
        <w:t>23% shares of GWEL, currently pledged to ICICI Bank as an exclusive charge, will be shared on pari passu basis among all the Consortium Lenders (including Working Capital Lenders). Inclusive of the equity shares to be issued to the TL Lenders against conversion of Rs. 33 Crore of overdue interest, the Consortium shall have pledge /</w:t>
      </w:r>
      <w:r w:rsidR="006E09C2">
        <w:rPr>
          <w:rFonts w:ascii="Arial" w:hAnsi="Arial" w:cs="Arial"/>
          <w:sz w:val="22"/>
          <w:szCs w:val="22"/>
          <w:lang w:val="en-IN"/>
        </w:rPr>
        <w:t xml:space="preserve"> Control over </w:t>
      </w:r>
      <w:r w:rsidRPr="008E1CED">
        <w:rPr>
          <w:rFonts w:ascii="Arial" w:hAnsi="Arial" w:cs="Arial"/>
          <w:sz w:val="22"/>
          <w:szCs w:val="22"/>
          <w:lang w:val="en-IN"/>
        </w:rPr>
        <w:t>76.1% shares.</w:t>
      </w:r>
    </w:p>
    <w:p w:rsidR="008E1CED" w:rsidRPr="008E1CED" w:rsidRDefault="00C11E53" w:rsidP="00A0081D">
      <w:pPr>
        <w:pStyle w:val="ListParagraph"/>
        <w:numPr>
          <w:ilvl w:val="0"/>
          <w:numId w:val="17"/>
        </w:numPr>
        <w:spacing w:line="360" w:lineRule="auto"/>
        <w:ind w:left="709" w:right="-613" w:hanging="425"/>
        <w:jc w:val="both"/>
        <w:rPr>
          <w:rFonts w:ascii="Arial" w:hAnsi="Arial" w:cs="Arial"/>
          <w:b/>
          <w:sz w:val="22"/>
          <w:szCs w:val="22"/>
          <w:lang w:val="en-IN"/>
        </w:rPr>
      </w:pPr>
      <w:r w:rsidRPr="008E1CED">
        <w:rPr>
          <w:rFonts w:ascii="Arial" w:hAnsi="Arial" w:cs="Arial"/>
          <w:sz w:val="22"/>
          <w:szCs w:val="22"/>
          <w:lang w:val="en-IN"/>
        </w:rPr>
        <w:t>Balance ~23.9% shareholding (on diluted basis) of GWEL, currently pledged with Yes Bank will be pledged to the Consortium Lenders as &amp; when balance shareholding is released by Yes Bank.</w:t>
      </w:r>
    </w:p>
    <w:p w:rsidR="00C11E53" w:rsidRPr="008E1CED" w:rsidRDefault="00C11E53" w:rsidP="00A0081D">
      <w:pPr>
        <w:pStyle w:val="ListParagraph"/>
        <w:numPr>
          <w:ilvl w:val="0"/>
          <w:numId w:val="17"/>
        </w:numPr>
        <w:spacing w:line="360" w:lineRule="auto"/>
        <w:ind w:left="709" w:right="-613" w:hanging="425"/>
        <w:jc w:val="both"/>
        <w:rPr>
          <w:rFonts w:ascii="Arial" w:hAnsi="Arial" w:cs="Arial"/>
          <w:b/>
          <w:sz w:val="22"/>
          <w:szCs w:val="22"/>
          <w:lang w:val="en-IN"/>
        </w:rPr>
      </w:pPr>
      <w:r w:rsidRPr="008E1CED">
        <w:rPr>
          <w:rFonts w:ascii="Arial" w:hAnsi="Arial" w:cs="Arial"/>
          <w:sz w:val="22"/>
          <w:szCs w:val="22"/>
          <w:lang w:val="en-IN"/>
        </w:rPr>
        <w:t>FGD lenders shall have first pari-passu charge on all Company Assets and pari-passu pledge of 68.1% shares of GWEL.</w:t>
      </w:r>
    </w:p>
    <w:p w:rsidR="00C11E53" w:rsidRDefault="00C11E53" w:rsidP="00C11E53">
      <w:pPr>
        <w:pBdr>
          <w:top w:val="nil"/>
          <w:left w:val="nil"/>
          <w:bottom w:val="nil"/>
          <w:right w:val="nil"/>
          <w:between w:val="nil"/>
        </w:pBdr>
        <w:spacing w:line="276" w:lineRule="auto"/>
        <w:ind w:left="284"/>
        <w:rPr>
          <w:rFonts w:ascii="Arial" w:hAnsi="Arial" w:cs="Arial"/>
          <w:sz w:val="22"/>
          <w:szCs w:val="22"/>
          <w:lang w:val="en-IN"/>
        </w:rPr>
      </w:pPr>
      <w:r w:rsidRPr="00C11E53">
        <w:rPr>
          <w:rFonts w:ascii="Arial" w:hAnsi="Arial" w:cs="Arial"/>
          <w:sz w:val="22"/>
          <w:szCs w:val="22"/>
          <w:lang w:val="en-IN"/>
        </w:rPr>
        <w:t xml:space="preserve">Share position pre and post restructuring is shown </w:t>
      </w:r>
      <w:r w:rsidR="008E1CED">
        <w:rPr>
          <w:rFonts w:ascii="Arial" w:hAnsi="Arial" w:cs="Arial"/>
          <w:sz w:val="22"/>
          <w:szCs w:val="22"/>
          <w:lang w:val="en-IN"/>
        </w:rPr>
        <w:t xml:space="preserve">in the </w:t>
      </w:r>
      <w:r w:rsidRPr="00C11E53">
        <w:rPr>
          <w:rFonts w:ascii="Arial" w:hAnsi="Arial" w:cs="Arial"/>
          <w:sz w:val="22"/>
          <w:szCs w:val="22"/>
          <w:lang w:val="en-IN"/>
        </w:rPr>
        <w:t>below:</w:t>
      </w:r>
    </w:p>
    <w:tbl>
      <w:tblPr>
        <w:tblW w:w="5050"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1701"/>
        <w:gridCol w:w="1559"/>
        <w:gridCol w:w="1701"/>
        <w:gridCol w:w="1559"/>
      </w:tblGrid>
      <w:tr w:rsidR="005A6914" w:rsidRPr="008E1CED" w:rsidTr="005A6914">
        <w:trPr>
          <w:trHeight w:val="300"/>
        </w:trPr>
        <w:tc>
          <w:tcPr>
            <w:tcW w:w="1462" w:type="pct"/>
            <w:shd w:val="clear" w:color="auto" w:fill="002060"/>
            <w:noWrap/>
            <w:vAlign w:val="center"/>
          </w:tcPr>
          <w:p w:rsidR="008E1CED" w:rsidRPr="003A4457" w:rsidRDefault="008E1CED" w:rsidP="00383743">
            <w:pPr>
              <w:spacing w:after="0" w:line="240" w:lineRule="auto"/>
              <w:rPr>
                <w:rFonts w:ascii="Arial" w:hAnsi="Arial" w:cs="Arial"/>
                <w:b/>
                <w:color w:val="FFFFFF" w:themeColor="background1"/>
                <w:sz w:val="22"/>
                <w:szCs w:val="22"/>
                <w:lang w:eastAsia="en-IN"/>
              </w:rPr>
            </w:pPr>
            <w:r w:rsidRPr="008E1CED">
              <w:rPr>
                <w:rFonts w:ascii="Arial" w:hAnsi="Arial" w:cs="Arial"/>
                <w:b/>
                <w:color w:val="FFFFFF" w:themeColor="background1"/>
                <w:sz w:val="22"/>
                <w:szCs w:val="22"/>
                <w:lang w:eastAsia="en-IN"/>
              </w:rPr>
              <w:t>Share Holders</w:t>
            </w:r>
          </w:p>
        </w:tc>
        <w:tc>
          <w:tcPr>
            <w:tcW w:w="1769" w:type="pct"/>
            <w:gridSpan w:val="2"/>
            <w:shd w:val="clear" w:color="auto" w:fill="002060"/>
            <w:noWrap/>
            <w:vAlign w:val="center"/>
          </w:tcPr>
          <w:p w:rsidR="008E1CED" w:rsidRPr="003A4457" w:rsidRDefault="008E1CED" w:rsidP="00383743">
            <w:pPr>
              <w:spacing w:after="0" w:line="240" w:lineRule="auto"/>
              <w:jc w:val="center"/>
              <w:rPr>
                <w:rFonts w:ascii="Arial" w:hAnsi="Arial" w:cs="Arial"/>
                <w:b/>
                <w:color w:val="FFFFFF" w:themeColor="background1"/>
                <w:sz w:val="22"/>
                <w:szCs w:val="22"/>
                <w:lang w:eastAsia="en-IN"/>
              </w:rPr>
            </w:pPr>
            <w:r w:rsidRPr="008E1CED">
              <w:rPr>
                <w:rFonts w:ascii="Arial" w:hAnsi="Arial" w:cs="Arial"/>
                <w:b/>
                <w:color w:val="FFFFFF" w:themeColor="background1"/>
                <w:sz w:val="22"/>
                <w:szCs w:val="22"/>
                <w:lang w:eastAsia="en-IN"/>
              </w:rPr>
              <w:t>Pre-Structuring</w:t>
            </w:r>
          </w:p>
        </w:tc>
        <w:tc>
          <w:tcPr>
            <w:tcW w:w="1769" w:type="pct"/>
            <w:gridSpan w:val="2"/>
            <w:shd w:val="clear" w:color="auto" w:fill="002060"/>
            <w:noWrap/>
            <w:vAlign w:val="center"/>
          </w:tcPr>
          <w:p w:rsidR="008E1CED" w:rsidRPr="003A4457" w:rsidRDefault="008E1CED" w:rsidP="00383743">
            <w:pPr>
              <w:spacing w:after="0" w:line="240" w:lineRule="auto"/>
              <w:jc w:val="center"/>
              <w:rPr>
                <w:rFonts w:ascii="Arial" w:hAnsi="Arial" w:cs="Arial"/>
                <w:b/>
                <w:color w:val="FFFFFF" w:themeColor="background1"/>
                <w:sz w:val="22"/>
                <w:szCs w:val="22"/>
                <w:lang w:eastAsia="en-IN"/>
              </w:rPr>
            </w:pPr>
            <w:r w:rsidRPr="008E1CED">
              <w:rPr>
                <w:rFonts w:ascii="Arial" w:hAnsi="Arial" w:cs="Arial"/>
                <w:b/>
                <w:color w:val="FFFFFF" w:themeColor="background1"/>
                <w:sz w:val="22"/>
                <w:szCs w:val="22"/>
                <w:lang w:eastAsia="en-IN"/>
              </w:rPr>
              <w:t>Post-Structuring</w:t>
            </w:r>
          </w:p>
        </w:tc>
      </w:tr>
      <w:tr w:rsidR="005A6914" w:rsidRPr="008E1CED" w:rsidTr="005A6914">
        <w:trPr>
          <w:trHeight w:val="300"/>
        </w:trPr>
        <w:tc>
          <w:tcPr>
            <w:tcW w:w="1462" w:type="pct"/>
            <w:shd w:val="clear" w:color="auto" w:fill="8EAADB" w:themeFill="accent5" w:themeFillTint="99"/>
            <w:noWrap/>
            <w:vAlign w:val="center"/>
          </w:tcPr>
          <w:p w:rsidR="008E1CED" w:rsidRPr="003A4457" w:rsidRDefault="008E1CED" w:rsidP="008E1CED">
            <w:pPr>
              <w:spacing w:after="0" w:line="240" w:lineRule="auto"/>
              <w:rPr>
                <w:rFonts w:ascii="Arial" w:hAnsi="Arial" w:cs="Arial"/>
                <w:b/>
                <w:color w:val="000000"/>
                <w:sz w:val="22"/>
                <w:szCs w:val="22"/>
                <w:lang w:eastAsia="en-IN"/>
              </w:rPr>
            </w:pPr>
            <w:r w:rsidRPr="008E1CED">
              <w:rPr>
                <w:rFonts w:ascii="Arial" w:hAnsi="Arial" w:cs="Arial"/>
                <w:b/>
                <w:color w:val="000000"/>
                <w:sz w:val="22"/>
                <w:szCs w:val="22"/>
                <w:lang w:eastAsia="en-IN"/>
              </w:rPr>
              <w:t>Name</w:t>
            </w:r>
          </w:p>
        </w:tc>
        <w:tc>
          <w:tcPr>
            <w:tcW w:w="923" w:type="pct"/>
            <w:shd w:val="clear" w:color="auto" w:fill="8EAADB" w:themeFill="accent5" w:themeFillTint="99"/>
            <w:noWrap/>
            <w:vAlign w:val="center"/>
          </w:tcPr>
          <w:p w:rsidR="008E1CED" w:rsidRPr="003A4457" w:rsidRDefault="008E1CED" w:rsidP="008E1CED">
            <w:pPr>
              <w:spacing w:after="0" w:line="240" w:lineRule="auto"/>
              <w:jc w:val="center"/>
              <w:rPr>
                <w:rFonts w:ascii="Arial" w:hAnsi="Arial" w:cs="Arial"/>
                <w:b/>
                <w:color w:val="000000"/>
                <w:sz w:val="22"/>
                <w:szCs w:val="22"/>
                <w:lang w:eastAsia="en-IN"/>
              </w:rPr>
            </w:pPr>
            <w:r w:rsidRPr="008E1CED">
              <w:rPr>
                <w:rFonts w:ascii="Arial" w:hAnsi="Arial" w:cs="Arial"/>
                <w:b/>
                <w:color w:val="000000"/>
                <w:sz w:val="22"/>
                <w:szCs w:val="22"/>
                <w:lang w:eastAsia="en-IN"/>
              </w:rPr>
              <w:t>No. of Shares</w:t>
            </w:r>
          </w:p>
        </w:tc>
        <w:tc>
          <w:tcPr>
            <w:tcW w:w="846" w:type="pct"/>
            <w:shd w:val="clear" w:color="auto" w:fill="8EAADB" w:themeFill="accent5" w:themeFillTint="99"/>
            <w:noWrap/>
            <w:vAlign w:val="center"/>
          </w:tcPr>
          <w:p w:rsidR="008E1CED" w:rsidRPr="003A4457" w:rsidRDefault="008E1CED" w:rsidP="008E1CED">
            <w:pPr>
              <w:spacing w:after="0" w:line="240" w:lineRule="auto"/>
              <w:jc w:val="center"/>
              <w:rPr>
                <w:rFonts w:ascii="Arial" w:hAnsi="Arial" w:cs="Arial"/>
                <w:b/>
                <w:color w:val="000000"/>
                <w:sz w:val="22"/>
                <w:szCs w:val="22"/>
                <w:lang w:eastAsia="en-IN"/>
              </w:rPr>
            </w:pPr>
            <w:r w:rsidRPr="008E1CED">
              <w:rPr>
                <w:rFonts w:ascii="Arial" w:hAnsi="Arial" w:cs="Arial"/>
                <w:b/>
                <w:color w:val="000000"/>
                <w:sz w:val="22"/>
                <w:szCs w:val="22"/>
                <w:lang w:eastAsia="en-IN"/>
              </w:rPr>
              <w:t>% of Shares</w:t>
            </w:r>
          </w:p>
        </w:tc>
        <w:tc>
          <w:tcPr>
            <w:tcW w:w="923" w:type="pct"/>
            <w:shd w:val="clear" w:color="auto" w:fill="8EAADB" w:themeFill="accent5" w:themeFillTint="99"/>
            <w:noWrap/>
            <w:vAlign w:val="center"/>
          </w:tcPr>
          <w:p w:rsidR="008E1CED" w:rsidRPr="003A4457" w:rsidRDefault="008E1CED" w:rsidP="008E1CED">
            <w:pPr>
              <w:spacing w:after="0" w:line="240" w:lineRule="auto"/>
              <w:jc w:val="center"/>
              <w:rPr>
                <w:rFonts w:ascii="Arial" w:hAnsi="Arial" w:cs="Arial"/>
                <w:b/>
                <w:color w:val="000000"/>
                <w:sz w:val="22"/>
                <w:szCs w:val="22"/>
                <w:lang w:eastAsia="en-IN"/>
              </w:rPr>
            </w:pPr>
            <w:r w:rsidRPr="008E1CED">
              <w:rPr>
                <w:rFonts w:ascii="Arial" w:hAnsi="Arial" w:cs="Arial"/>
                <w:b/>
                <w:color w:val="000000"/>
                <w:sz w:val="22"/>
                <w:szCs w:val="22"/>
                <w:lang w:eastAsia="en-IN"/>
              </w:rPr>
              <w:t>No. of Shares</w:t>
            </w:r>
          </w:p>
        </w:tc>
        <w:tc>
          <w:tcPr>
            <w:tcW w:w="846" w:type="pct"/>
            <w:shd w:val="clear" w:color="auto" w:fill="8EAADB" w:themeFill="accent5" w:themeFillTint="99"/>
            <w:noWrap/>
            <w:vAlign w:val="center"/>
          </w:tcPr>
          <w:p w:rsidR="008E1CED" w:rsidRPr="003A4457" w:rsidRDefault="008E1CED" w:rsidP="008E1CED">
            <w:pPr>
              <w:spacing w:after="0" w:line="240" w:lineRule="auto"/>
              <w:jc w:val="center"/>
              <w:rPr>
                <w:rFonts w:ascii="Arial" w:hAnsi="Arial" w:cs="Arial"/>
                <w:b/>
                <w:color w:val="000000"/>
                <w:sz w:val="22"/>
                <w:szCs w:val="22"/>
                <w:lang w:eastAsia="en-IN"/>
              </w:rPr>
            </w:pPr>
            <w:r w:rsidRPr="008E1CED">
              <w:rPr>
                <w:rFonts w:ascii="Arial" w:hAnsi="Arial" w:cs="Arial"/>
                <w:b/>
                <w:color w:val="000000"/>
                <w:sz w:val="22"/>
                <w:szCs w:val="22"/>
                <w:lang w:eastAsia="en-IN"/>
              </w:rPr>
              <w:t>% of Shares</w:t>
            </w:r>
          </w:p>
        </w:tc>
      </w:tr>
      <w:tr w:rsidR="005A6914" w:rsidRPr="008E1CED" w:rsidTr="005A6914">
        <w:trPr>
          <w:trHeight w:val="300"/>
        </w:trPr>
        <w:tc>
          <w:tcPr>
            <w:tcW w:w="1462" w:type="pct"/>
            <w:shd w:val="clear" w:color="auto" w:fill="auto"/>
            <w:noWrap/>
            <w:vAlign w:val="center"/>
          </w:tcPr>
          <w:p w:rsidR="008E1CED" w:rsidRDefault="008E1CED" w:rsidP="008E1CED">
            <w:pPr>
              <w:spacing w:after="0" w:line="240" w:lineRule="auto"/>
              <w:rPr>
                <w:rFonts w:ascii="Arial" w:hAnsi="Arial" w:cs="Arial"/>
                <w:color w:val="000000"/>
                <w:sz w:val="22"/>
                <w:szCs w:val="22"/>
                <w:lang w:eastAsia="en-IN"/>
              </w:rPr>
            </w:pPr>
            <w:r w:rsidRPr="008E1CED">
              <w:rPr>
                <w:rFonts w:ascii="Arial" w:hAnsi="Arial" w:cs="Arial"/>
                <w:color w:val="000000"/>
                <w:sz w:val="22"/>
                <w:szCs w:val="22"/>
                <w:lang w:eastAsia="en-IN"/>
              </w:rPr>
              <w:t xml:space="preserve">ICICI Bank </w:t>
            </w:r>
          </w:p>
          <w:p w:rsidR="008E1CED" w:rsidRPr="003A4457" w:rsidRDefault="008E1CED" w:rsidP="008E1CED">
            <w:pPr>
              <w:spacing w:after="0" w:line="240" w:lineRule="auto"/>
              <w:rPr>
                <w:rFonts w:ascii="Arial" w:hAnsi="Arial" w:cs="Arial"/>
                <w:color w:val="000000"/>
                <w:sz w:val="22"/>
                <w:szCs w:val="22"/>
                <w:lang w:eastAsia="en-IN"/>
              </w:rPr>
            </w:pPr>
            <w:r w:rsidRPr="008E1CED">
              <w:rPr>
                <w:rFonts w:ascii="Arial" w:hAnsi="Arial" w:cs="Arial"/>
                <w:color w:val="000000"/>
                <w:sz w:val="22"/>
                <w:szCs w:val="22"/>
                <w:lang w:eastAsia="en-IN"/>
              </w:rPr>
              <w:t>exclusive charge</w:t>
            </w:r>
          </w:p>
        </w:tc>
        <w:tc>
          <w:tcPr>
            <w:tcW w:w="923" w:type="pct"/>
            <w:shd w:val="clear" w:color="auto" w:fill="auto"/>
            <w:noWrap/>
            <w:vAlign w:val="center"/>
          </w:tcPr>
          <w:p w:rsidR="008E1CED" w:rsidRPr="003A4457" w:rsidRDefault="008E1CED" w:rsidP="008E1CED">
            <w:pPr>
              <w:spacing w:after="0" w:line="240" w:lineRule="auto"/>
              <w:jc w:val="center"/>
              <w:rPr>
                <w:rFonts w:ascii="Arial" w:hAnsi="Arial" w:cs="Arial"/>
                <w:color w:val="000000"/>
                <w:sz w:val="22"/>
                <w:szCs w:val="22"/>
                <w:lang w:eastAsia="en-IN"/>
              </w:rPr>
            </w:pPr>
            <w:r>
              <w:rPr>
                <w:rFonts w:ascii="Arial" w:hAnsi="Arial" w:cs="Arial"/>
                <w:color w:val="000000"/>
                <w:sz w:val="22"/>
                <w:szCs w:val="22"/>
                <w:lang w:eastAsia="en-IN"/>
              </w:rPr>
              <w:t>20.01</w:t>
            </w:r>
          </w:p>
        </w:tc>
        <w:tc>
          <w:tcPr>
            <w:tcW w:w="846" w:type="pct"/>
            <w:shd w:val="clear" w:color="auto" w:fill="auto"/>
            <w:noWrap/>
            <w:vAlign w:val="center"/>
          </w:tcPr>
          <w:p w:rsidR="008E1CED" w:rsidRPr="003A4457" w:rsidRDefault="008E1CED" w:rsidP="008E1CED">
            <w:pPr>
              <w:spacing w:after="0" w:line="240" w:lineRule="auto"/>
              <w:jc w:val="center"/>
              <w:rPr>
                <w:rFonts w:ascii="Arial" w:hAnsi="Arial" w:cs="Arial"/>
                <w:color w:val="000000"/>
                <w:sz w:val="22"/>
                <w:szCs w:val="22"/>
                <w:lang w:eastAsia="en-IN"/>
              </w:rPr>
            </w:pPr>
            <w:r>
              <w:rPr>
                <w:rFonts w:ascii="Arial" w:hAnsi="Arial" w:cs="Arial"/>
                <w:color w:val="000000"/>
                <w:sz w:val="22"/>
                <w:szCs w:val="22"/>
                <w:lang w:eastAsia="en-IN"/>
              </w:rPr>
              <w:t>23%</w:t>
            </w:r>
          </w:p>
        </w:tc>
        <w:tc>
          <w:tcPr>
            <w:tcW w:w="923" w:type="pct"/>
            <w:shd w:val="clear" w:color="auto" w:fill="auto"/>
            <w:noWrap/>
            <w:vAlign w:val="center"/>
          </w:tcPr>
          <w:p w:rsidR="008E1CED" w:rsidRPr="003A4457" w:rsidRDefault="008E1CED" w:rsidP="008E1CED">
            <w:pPr>
              <w:spacing w:after="0" w:line="240" w:lineRule="auto"/>
              <w:jc w:val="center"/>
              <w:rPr>
                <w:rFonts w:ascii="Arial" w:hAnsi="Arial" w:cs="Arial"/>
                <w:color w:val="000000"/>
                <w:sz w:val="22"/>
                <w:szCs w:val="22"/>
                <w:lang w:eastAsia="en-IN"/>
              </w:rPr>
            </w:pPr>
            <w:r>
              <w:rPr>
                <w:rFonts w:ascii="Arial" w:hAnsi="Arial" w:cs="Arial"/>
                <w:color w:val="000000"/>
                <w:sz w:val="22"/>
                <w:szCs w:val="22"/>
                <w:lang w:eastAsia="en-IN"/>
              </w:rPr>
              <w:t>-</w:t>
            </w:r>
          </w:p>
        </w:tc>
        <w:tc>
          <w:tcPr>
            <w:tcW w:w="846" w:type="pct"/>
            <w:shd w:val="clear" w:color="auto" w:fill="auto"/>
            <w:noWrap/>
            <w:vAlign w:val="center"/>
          </w:tcPr>
          <w:p w:rsidR="008E1CED" w:rsidRPr="003A4457" w:rsidRDefault="008E1CED" w:rsidP="008E1CED">
            <w:pPr>
              <w:spacing w:after="0" w:line="240" w:lineRule="auto"/>
              <w:jc w:val="center"/>
              <w:rPr>
                <w:rFonts w:ascii="Arial" w:hAnsi="Arial" w:cs="Arial"/>
                <w:color w:val="000000"/>
                <w:sz w:val="22"/>
                <w:szCs w:val="22"/>
                <w:lang w:eastAsia="en-IN"/>
              </w:rPr>
            </w:pPr>
            <w:r>
              <w:rPr>
                <w:rFonts w:ascii="Arial" w:hAnsi="Arial" w:cs="Arial"/>
                <w:color w:val="000000"/>
                <w:sz w:val="22"/>
                <w:szCs w:val="22"/>
                <w:lang w:eastAsia="en-IN"/>
              </w:rPr>
              <w:t>-</w:t>
            </w:r>
          </w:p>
        </w:tc>
      </w:tr>
      <w:tr w:rsidR="008E1CED" w:rsidRPr="008E1CED" w:rsidTr="005A6914">
        <w:trPr>
          <w:trHeight w:val="402"/>
        </w:trPr>
        <w:tc>
          <w:tcPr>
            <w:tcW w:w="5000" w:type="pct"/>
            <w:gridSpan w:val="5"/>
            <w:shd w:val="clear" w:color="auto" w:fill="8EAADB" w:themeFill="accent5" w:themeFillTint="99"/>
            <w:noWrap/>
            <w:vAlign w:val="center"/>
          </w:tcPr>
          <w:p w:rsidR="008E1CED" w:rsidRPr="003A4457" w:rsidRDefault="008E1CED" w:rsidP="008E1CED">
            <w:pPr>
              <w:spacing w:after="0" w:line="240" w:lineRule="auto"/>
              <w:jc w:val="center"/>
              <w:rPr>
                <w:rFonts w:ascii="Arial" w:hAnsi="Arial" w:cs="Arial"/>
                <w:b/>
                <w:color w:val="000000"/>
                <w:sz w:val="22"/>
                <w:szCs w:val="22"/>
                <w:lang w:eastAsia="en-IN"/>
              </w:rPr>
            </w:pPr>
            <w:r w:rsidRPr="008E1CED">
              <w:rPr>
                <w:rFonts w:ascii="Arial" w:hAnsi="Arial" w:cs="Arial"/>
                <w:b/>
                <w:color w:val="000000"/>
                <w:sz w:val="22"/>
                <w:szCs w:val="22"/>
                <w:lang w:eastAsia="en-IN"/>
              </w:rPr>
              <w:t>GMR Warora Lenders Consortium</w:t>
            </w:r>
          </w:p>
        </w:tc>
      </w:tr>
      <w:tr w:rsidR="005A6914" w:rsidRPr="008E1CED" w:rsidTr="005A6914">
        <w:trPr>
          <w:trHeight w:val="300"/>
        </w:trPr>
        <w:tc>
          <w:tcPr>
            <w:tcW w:w="1462" w:type="pct"/>
            <w:shd w:val="clear" w:color="auto" w:fill="auto"/>
            <w:noWrap/>
            <w:vAlign w:val="center"/>
          </w:tcPr>
          <w:p w:rsidR="008E1CED" w:rsidRPr="003A4457" w:rsidRDefault="008E1CED" w:rsidP="008E1CED">
            <w:pPr>
              <w:spacing w:after="0" w:line="240" w:lineRule="auto"/>
              <w:rPr>
                <w:rFonts w:ascii="Arial" w:hAnsi="Arial" w:cs="Arial"/>
                <w:color w:val="000000"/>
                <w:sz w:val="22"/>
                <w:szCs w:val="22"/>
                <w:lang w:eastAsia="en-IN"/>
              </w:rPr>
            </w:pPr>
            <w:r w:rsidRPr="008E1CED">
              <w:rPr>
                <w:rFonts w:ascii="Arial" w:hAnsi="Arial" w:cs="Arial"/>
                <w:color w:val="000000"/>
                <w:sz w:val="22"/>
                <w:szCs w:val="22"/>
                <w:lang w:eastAsia="en-IN"/>
              </w:rPr>
              <w:t>Shares pledged</w:t>
            </w:r>
          </w:p>
        </w:tc>
        <w:tc>
          <w:tcPr>
            <w:tcW w:w="923" w:type="pct"/>
            <w:shd w:val="clear" w:color="auto" w:fill="auto"/>
            <w:noWrap/>
            <w:vAlign w:val="center"/>
          </w:tcPr>
          <w:p w:rsidR="008E1CED" w:rsidRPr="003A4457" w:rsidRDefault="008E1CED" w:rsidP="008E1CED">
            <w:pPr>
              <w:spacing w:after="0" w:line="240" w:lineRule="auto"/>
              <w:jc w:val="center"/>
              <w:rPr>
                <w:rFonts w:ascii="Arial" w:hAnsi="Arial" w:cs="Arial"/>
                <w:color w:val="000000"/>
                <w:sz w:val="22"/>
                <w:szCs w:val="22"/>
                <w:lang w:eastAsia="en-IN"/>
              </w:rPr>
            </w:pPr>
            <w:r>
              <w:rPr>
                <w:rFonts w:ascii="Arial" w:hAnsi="Arial" w:cs="Arial"/>
                <w:color w:val="000000"/>
                <w:sz w:val="22"/>
                <w:szCs w:val="22"/>
                <w:lang w:eastAsia="en-IN"/>
              </w:rPr>
              <w:t>44.37</w:t>
            </w:r>
          </w:p>
        </w:tc>
        <w:tc>
          <w:tcPr>
            <w:tcW w:w="846" w:type="pct"/>
            <w:shd w:val="clear" w:color="auto" w:fill="auto"/>
            <w:noWrap/>
            <w:vAlign w:val="center"/>
          </w:tcPr>
          <w:p w:rsidR="008E1CED" w:rsidRPr="003A4457" w:rsidRDefault="008E1CED" w:rsidP="008E1CED">
            <w:pPr>
              <w:spacing w:after="0" w:line="240" w:lineRule="auto"/>
              <w:jc w:val="center"/>
              <w:rPr>
                <w:rFonts w:ascii="Arial" w:hAnsi="Arial" w:cs="Arial"/>
                <w:color w:val="000000"/>
                <w:sz w:val="22"/>
                <w:szCs w:val="22"/>
                <w:lang w:eastAsia="en-IN"/>
              </w:rPr>
            </w:pPr>
            <w:r>
              <w:rPr>
                <w:rFonts w:ascii="Arial" w:hAnsi="Arial" w:cs="Arial"/>
                <w:color w:val="000000"/>
                <w:sz w:val="22"/>
                <w:szCs w:val="22"/>
                <w:lang w:eastAsia="en-IN"/>
              </w:rPr>
              <w:t>51%</w:t>
            </w:r>
          </w:p>
        </w:tc>
        <w:tc>
          <w:tcPr>
            <w:tcW w:w="923" w:type="pct"/>
            <w:shd w:val="clear" w:color="auto" w:fill="auto"/>
            <w:noWrap/>
            <w:vAlign w:val="center"/>
          </w:tcPr>
          <w:p w:rsidR="008E1CED" w:rsidRPr="003A4457" w:rsidRDefault="008E1CED" w:rsidP="008E1CED">
            <w:pPr>
              <w:spacing w:after="0" w:line="240" w:lineRule="auto"/>
              <w:jc w:val="center"/>
              <w:rPr>
                <w:rFonts w:ascii="Arial" w:hAnsi="Arial" w:cs="Arial"/>
                <w:color w:val="000000"/>
                <w:sz w:val="22"/>
                <w:szCs w:val="22"/>
                <w:lang w:eastAsia="en-IN"/>
              </w:rPr>
            </w:pPr>
            <w:r>
              <w:rPr>
                <w:rFonts w:ascii="Arial" w:hAnsi="Arial" w:cs="Arial"/>
                <w:color w:val="000000"/>
                <w:sz w:val="22"/>
                <w:szCs w:val="22"/>
                <w:lang w:eastAsia="en-IN"/>
              </w:rPr>
              <w:t>64.38</w:t>
            </w:r>
          </w:p>
        </w:tc>
        <w:tc>
          <w:tcPr>
            <w:tcW w:w="846" w:type="pct"/>
            <w:shd w:val="clear" w:color="auto" w:fill="auto"/>
            <w:noWrap/>
            <w:vAlign w:val="center"/>
          </w:tcPr>
          <w:p w:rsidR="008E1CED" w:rsidRPr="003A4457" w:rsidRDefault="008E1CED" w:rsidP="008E1CED">
            <w:pPr>
              <w:spacing w:after="0" w:line="240" w:lineRule="auto"/>
              <w:jc w:val="center"/>
              <w:rPr>
                <w:rFonts w:ascii="Arial" w:hAnsi="Arial" w:cs="Arial"/>
                <w:color w:val="000000"/>
                <w:sz w:val="22"/>
                <w:szCs w:val="22"/>
                <w:lang w:eastAsia="en-IN"/>
              </w:rPr>
            </w:pPr>
            <w:r>
              <w:rPr>
                <w:rFonts w:ascii="Arial" w:hAnsi="Arial" w:cs="Arial"/>
                <w:color w:val="000000"/>
                <w:sz w:val="22"/>
                <w:szCs w:val="22"/>
                <w:lang w:eastAsia="en-IN"/>
              </w:rPr>
              <w:t>68.1%</w:t>
            </w:r>
          </w:p>
        </w:tc>
      </w:tr>
      <w:tr w:rsidR="005A6914" w:rsidRPr="008E1CED" w:rsidTr="005A6914">
        <w:trPr>
          <w:trHeight w:val="300"/>
        </w:trPr>
        <w:tc>
          <w:tcPr>
            <w:tcW w:w="1462" w:type="pct"/>
            <w:shd w:val="clear" w:color="auto" w:fill="auto"/>
            <w:noWrap/>
            <w:vAlign w:val="center"/>
          </w:tcPr>
          <w:p w:rsidR="008E1CED" w:rsidRPr="003A4457" w:rsidRDefault="008E1CED" w:rsidP="008E1CED">
            <w:pPr>
              <w:spacing w:after="0" w:line="240" w:lineRule="auto"/>
              <w:rPr>
                <w:rFonts w:ascii="Arial" w:hAnsi="Arial" w:cs="Arial"/>
                <w:color w:val="000000"/>
                <w:sz w:val="22"/>
                <w:szCs w:val="22"/>
                <w:lang w:eastAsia="en-IN"/>
              </w:rPr>
            </w:pPr>
            <w:r w:rsidRPr="008E1CED">
              <w:rPr>
                <w:rFonts w:ascii="Arial" w:hAnsi="Arial" w:cs="Arial"/>
                <w:color w:val="000000"/>
                <w:sz w:val="22"/>
                <w:szCs w:val="22"/>
                <w:lang w:eastAsia="en-IN"/>
              </w:rPr>
              <w:t>Additional shares against Rs. 33 Cr. OCD B1 at book value of Rs. 4.34/ share</w:t>
            </w:r>
          </w:p>
        </w:tc>
        <w:tc>
          <w:tcPr>
            <w:tcW w:w="923" w:type="pct"/>
            <w:shd w:val="clear" w:color="auto" w:fill="auto"/>
            <w:noWrap/>
            <w:vAlign w:val="center"/>
          </w:tcPr>
          <w:p w:rsidR="008E1CED" w:rsidRPr="003A4457" w:rsidRDefault="008E1CED" w:rsidP="008E1CED">
            <w:pPr>
              <w:spacing w:after="0" w:line="240" w:lineRule="auto"/>
              <w:jc w:val="center"/>
              <w:rPr>
                <w:rFonts w:ascii="Arial" w:hAnsi="Arial" w:cs="Arial"/>
                <w:color w:val="000000"/>
                <w:sz w:val="22"/>
                <w:szCs w:val="22"/>
                <w:lang w:eastAsia="en-IN"/>
              </w:rPr>
            </w:pPr>
            <w:r>
              <w:rPr>
                <w:rFonts w:ascii="Arial" w:hAnsi="Arial" w:cs="Arial"/>
                <w:color w:val="000000"/>
                <w:sz w:val="22"/>
                <w:szCs w:val="22"/>
                <w:lang w:eastAsia="en-IN"/>
              </w:rPr>
              <w:t>0.00</w:t>
            </w:r>
          </w:p>
        </w:tc>
        <w:tc>
          <w:tcPr>
            <w:tcW w:w="846" w:type="pct"/>
            <w:shd w:val="clear" w:color="auto" w:fill="auto"/>
            <w:noWrap/>
            <w:vAlign w:val="center"/>
          </w:tcPr>
          <w:p w:rsidR="008E1CED" w:rsidRPr="003A4457" w:rsidRDefault="008E1CED" w:rsidP="008E1CED">
            <w:pPr>
              <w:spacing w:after="0" w:line="240" w:lineRule="auto"/>
              <w:jc w:val="center"/>
              <w:rPr>
                <w:rFonts w:ascii="Arial" w:hAnsi="Arial" w:cs="Arial"/>
                <w:color w:val="000000"/>
                <w:sz w:val="22"/>
                <w:szCs w:val="22"/>
                <w:lang w:eastAsia="en-IN"/>
              </w:rPr>
            </w:pPr>
            <w:r>
              <w:rPr>
                <w:rFonts w:ascii="Arial" w:hAnsi="Arial" w:cs="Arial"/>
                <w:color w:val="000000"/>
                <w:sz w:val="22"/>
                <w:szCs w:val="22"/>
                <w:lang w:eastAsia="en-IN"/>
              </w:rPr>
              <w:t>0.00%</w:t>
            </w:r>
          </w:p>
        </w:tc>
        <w:tc>
          <w:tcPr>
            <w:tcW w:w="923" w:type="pct"/>
            <w:shd w:val="clear" w:color="auto" w:fill="auto"/>
            <w:noWrap/>
            <w:vAlign w:val="center"/>
          </w:tcPr>
          <w:p w:rsidR="008E1CED" w:rsidRPr="003A4457" w:rsidRDefault="008E1CED" w:rsidP="008E1CED">
            <w:pPr>
              <w:spacing w:after="0" w:line="240" w:lineRule="auto"/>
              <w:jc w:val="center"/>
              <w:rPr>
                <w:rFonts w:ascii="Arial" w:hAnsi="Arial" w:cs="Arial"/>
                <w:color w:val="000000"/>
                <w:sz w:val="22"/>
                <w:szCs w:val="22"/>
                <w:lang w:eastAsia="en-IN"/>
              </w:rPr>
            </w:pPr>
            <w:r>
              <w:rPr>
                <w:rFonts w:ascii="Arial" w:hAnsi="Arial" w:cs="Arial"/>
                <w:color w:val="000000"/>
                <w:sz w:val="22"/>
                <w:szCs w:val="22"/>
                <w:lang w:eastAsia="en-IN"/>
              </w:rPr>
              <w:t>7.60</w:t>
            </w:r>
          </w:p>
        </w:tc>
        <w:tc>
          <w:tcPr>
            <w:tcW w:w="846" w:type="pct"/>
            <w:shd w:val="clear" w:color="auto" w:fill="auto"/>
            <w:noWrap/>
            <w:vAlign w:val="center"/>
          </w:tcPr>
          <w:p w:rsidR="008E1CED" w:rsidRPr="003A4457" w:rsidRDefault="008E1CED" w:rsidP="008E1CED">
            <w:pPr>
              <w:spacing w:after="0" w:line="240" w:lineRule="auto"/>
              <w:jc w:val="center"/>
              <w:rPr>
                <w:rFonts w:ascii="Arial" w:hAnsi="Arial" w:cs="Arial"/>
                <w:color w:val="000000"/>
                <w:sz w:val="22"/>
                <w:szCs w:val="22"/>
                <w:lang w:eastAsia="en-IN"/>
              </w:rPr>
            </w:pPr>
            <w:r>
              <w:rPr>
                <w:rFonts w:ascii="Arial" w:hAnsi="Arial" w:cs="Arial"/>
                <w:color w:val="000000"/>
                <w:sz w:val="22"/>
                <w:szCs w:val="22"/>
                <w:lang w:eastAsia="en-IN"/>
              </w:rPr>
              <w:t>8.00%</w:t>
            </w:r>
          </w:p>
        </w:tc>
      </w:tr>
      <w:tr w:rsidR="005A6914" w:rsidRPr="008E1CED" w:rsidTr="005A6914">
        <w:trPr>
          <w:trHeight w:val="300"/>
        </w:trPr>
        <w:tc>
          <w:tcPr>
            <w:tcW w:w="1462" w:type="pct"/>
            <w:shd w:val="clear" w:color="auto" w:fill="002060"/>
            <w:noWrap/>
            <w:vAlign w:val="center"/>
          </w:tcPr>
          <w:p w:rsidR="008E1CED" w:rsidRPr="008E1CED" w:rsidRDefault="008E1CED" w:rsidP="008E1CED">
            <w:pPr>
              <w:spacing w:after="0" w:line="240" w:lineRule="auto"/>
              <w:rPr>
                <w:rFonts w:ascii="Arial" w:hAnsi="Arial" w:cs="Arial"/>
                <w:b/>
                <w:color w:val="FFFFFF" w:themeColor="background1"/>
                <w:sz w:val="22"/>
                <w:szCs w:val="22"/>
                <w:lang w:eastAsia="en-IN"/>
              </w:rPr>
            </w:pPr>
            <w:r>
              <w:rPr>
                <w:rFonts w:ascii="Arial" w:hAnsi="Arial" w:cs="Arial"/>
                <w:b/>
                <w:color w:val="FFFFFF" w:themeColor="background1"/>
                <w:sz w:val="22"/>
                <w:szCs w:val="22"/>
                <w:lang w:eastAsia="en-IN"/>
              </w:rPr>
              <w:t>Total</w:t>
            </w:r>
          </w:p>
        </w:tc>
        <w:tc>
          <w:tcPr>
            <w:tcW w:w="923" w:type="pct"/>
            <w:shd w:val="clear" w:color="auto" w:fill="002060"/>
            <w:noWrap/>
            <w:vAlign w:val="center"/>
          </w:tcPr>
          <w:p w:rsidR="008E1CED" w:rsidRPr="008E1CED" w:rsidRDefault="008E1CED" w:rsidP="008E1CED">
            <w:pPr>
              <w:spacing w:after="0" w:line="240" w:lineRule="auto"/>
              <w:jc w:val="center"/>
              <w:rPr>
                <w:rFonts w:ascii="Arial" w:hAnsi="Arial" w:cs="Arial"/>
                <w:b/>
                <w:color w:val="FFFFFF" w:themeColor="background1"/>
                <w:sz w:val="22"/>
                <w:szCs w:val="22"/>
                <w:lang w:eastAsia="en-IN"/>
              </w:rPr>
            </w:pPr>
            <w:r>
              <w:rPr>
                <w:rFonts w:ascii="Arial" w:hAnsi="Arial" w:cs="Arial"/>
                <w:b/>
                <w:color w:val="FFFFFF" w:themeColor="background1"/>
                <w:sz w:val="22"/>
                <w:szCs w:val="22"/>
                <w:lang w:eastAsia="en-IN"/>
              </w:rPr>
              <w:t>64.38</w:t>
            </w:r>
          </w:p>
        </w:tc>
        <w:tc>
          <w:tcPr>
            <w:tcW w:w="846" w:type="pct"/>
            <w:shd w:val="clear" w:color="auto" w:fill="002060"/>
            <w:noWrap/>
            <w:vAlign w:val="center"/>
          </w:tcPr>
          <w:p w:rsidR="008E1CED" w:rsidRPr="008E1CED" w:rsidRDefault="008E1CED" w:rsidP="008E1CED">
            <w:pPr>
              <w:spacing w:after="0" w:line="240" w:lineRule="auto"/>
              <w:jc w:val="center"/>
              <w:rPr>
                <w:rFonts w:ascii="Arial" w:hAnsi="Arial" w:cs="Arial"/>
                <w:b/>
                <w:color w:val="FFFFFF" w:themeColor="background1"/>
                <w:sz w:val="22"/>
                <w:szCs w:val="22"/>
                <w:lang w:eastAsia="en-IN"/>
              </w:rPr>
            </w:pPr>
            <w:r>
              <w:rPr>
                <w:rFonts w:ascii="Arial" w:hAnsi="Arial" w:cs="Arial"/>
                <w:b/>
                <w:color w:val="FFFFFF" w:themeColor="background1"/>
                <w:sz w:val="22"/>
                <w:szCs w:val="22"/>
                <w:lang w:eastAsia="en-IN"/>
              </w:rPr>
              <w:t>74.00%</w:t>
            </w:r>
          </w:p>
        </w:tc>
        <w:tc>
          <w:tcPr>
            <w:tcW w:w="923" w:type="pct"/>
            <w:shd w:val="clear" w:color="auto" w:fill="002060"/>
            <w:noWrap/>
            <w:vAlign w:val="center"/>
          </w:tcPr>
          <w:p w:rsidR="008E1CED" w:rsidRPr="008E1CED" w:rsidRDefault="008E1CED" w:rsidP="008E1CED">
            <w:pPr>
              <w:spacing w:after="0" w:line="240" w:lineRule="auto"/>
              <w:jc w:val="center"/>
              <w:rPr>
                <w:rFonts w:ascii="Arial" w:hAnsi="Arial" w:cs="Arial"/>
                <w:b/>
                <w:color w:val="FFFFFF" w:themeColor="background1"/>
                <w:sz w:val="22"/>
                <w:szCs w:val="22"/>
                <w:lang w:eastAsia="en-IN"/>
              </w:rPr>
            </w:pPr>
            <w:r>
              <w:rPr>
                <w:rFonts w:ascii="Arial" w:hAnsi="Arial" w:cs="Arial"/>
                <w:b/>
                <w:color w:val="FFFFFF" w:themeColor="background1"/>
                <w:sz w:val="22"/>
                <w:szCs w:val="22"/>
                <w:lang w:eastAsia="en-IN"/>
              </w:rPr>
              <w:t>71.98</w:t>
            </w:r>
          </w:p>
        </w:tc>
        <w:tc>
          <w:tcPr>
            <w:tcW w:w="846" w:type="pct"/>
            <w:shd w:val="clear" w:color="auto" w:fill="002060"/>
            <w:noWrap/>
            <w:vAlign w:val="center"/>
          </w:tcPr>
          <w:p w:rsidR="008E1CED" w:rsidRPr="008E1CED" w:rsidRDefault="008E1CED" w:rsidP="008E1CED">
            <w:pPr>
              <w:spacing w:after="0" w:line="240" w:lineRule="auto"/>
              <w:jc w:val="center"/>
              <w:rPr>
                <w:rFonts w:ascii="Arial" w:hAnsi="Arial" w:cs="Arial"/>
                <w:b/>
                <w:color w:val="FFFFFF" w:themeColor="background1"/>
                <w:sz w:val="22"/>
                <w:szCs w:val="22"/>
                <w:lang w:eastAsia="en-IN"/>
              </w:rPr>
            </w:pPr>
            <w:r>
              <w:rPr>
                <w:rFonts w:ascii="Arial" w:hAnsi="Arial" w:cs="Arial"/>
                <w:b/>
                <w:color w:val="FFFFFF" w:themeColor="background1"/>
                <w:sz w:val="22"/>
                <w:szCs w:val="22"/>
                <w:lang w:eastAsia="en-IN"/>
              </w:rPr>
              <w:t>76.10%</w:t>
            </w:r>
          </w:p>
        </w:tc>
      </w:tr>
    </w:tbl>
    <w:p w:rsidR="008E1CED" w:rsidRPr="00C11E53" w:rsidRDefault="008E1CED" w:rsidP="00C11E53">
      <w:pPr>
        <w:pBdr>
          <w:top w:val="nil"/>
          <w:left w:val="nil"/>
          <w:bottom w:val="nil"/>
          <w:right w:val="nil"/>
          <w:between w:val="nil"/>
        </w:pBdr>
        <w:spacing w:line="276" w:lineRule="auto"/>
        <w:ind w:left="284"/>
        <w:rPr>
          <w:rFonts w:ascii="Arial" w:hAnsi="Arial" w:cs="Arial"/>
          <w:sz w:val="22"/>
          <w:szCs w:val="22"/>
          <w:lang w:val="en-IN"/>
        </w:rPr>
      </w:pPr>
    </w:p>
    <w:p w:rsidR="00C11E53" w:rsidRDefault="00C11E53" w:rsidP="00C11E53">
      <w:pPr>
        <w:pBdr>
          <w:top w:val="nil"/>
          <w:left w:val="nil"/>
          <w:bottom w:val="nil"/>
          <w:right w:val="nil"/>
          <w:between w:val="nil"/>
        </w:pBdr>
        <w:spacing w:line="276" w:lineRule="auto"/>
        <w:ind w:left="284"/>
        <w:rPr>
          <w:rFonts w:ascii="Arial" w:hAnsi="Arial" w:cs="Arial"/>
          <w:b/>
          <w:sz w:val="22"/>
          <w:szCs w:val="22"/>
          <w:lang w:val="en-IN"/>
        </w:rPr>
      </w:pPr>
    </w:p>
    <w:p w:rsidR="00AA1C96" w:rsidRDefault="00000D0F" w:rsidP="00AA1C96">
      <w:pPr>
        <w:pStyle w:val="ListParagraph"/>
        <w:numPr>
          <w:ilvl w:val="0"/>
          <w:numId w:val="16"/>
        </w:numPr>
        <w:spacing w:line="360" w:lineRule="auto"/>
        <w:ind w:left="284" w:right="-613" w:hanging="426"/>
        <w:jc w:val="both"/>
        <w:rPr>
          <w:rFonts w:ascii="Arial" w:hAnsi="Arial" w:cs="Arial"/>
          <w:b/>
          <w:sz w:val="22"/>
          <w:szCs w:val="22"/>
          <w:lang w:val="en-IN"/>
        </w:rPr>
      </w:pPr>
      <w:r w:rsidRPr="00C64F5D">
        <w:rPr>
          <w:rFonts w:ascii="Arial" w:hAnsi="Arial" w:cs="Arial"/>
          <w:b/>
          <w:sz w:val="22"/>
          <w:szCs w:val="22"/>
          <w:lang w:val="en-IN"/>
        </w:rPr>
        <w:lastRenderedPageBreak/>
        <w:t>METHODOLOGY/ MODEL</w:t>
      </w:r>
      <w:r w:rsidR="005B4E6C">
        <w:rPr>
          <w:rFonts w:ascii="Arial" w:hAnsi="Arial" w:cs="Arial"/>
          <w:b/>
          <w:sz w:val="22"/>
          <w:szCs w:val="22"/>
          <w:lang w:val="en-IN"/>
        </w:rPr>
        <w:t>/PROVISION</w:t>
      </w:r>
      <w:r w:rsidR="00AA1C96">
        <w:rPr>
          <w:rFonts w:ascii="Arial" w:hAnsi="Arial" w:cs="Arial"/>
          <w:b/>
          <w:sz w:val="22"/>
          <w:szCs w:val="22"/>
          <w:lang w:val="en-IN"/>
        </w:rPr>
        <w:t>S ADOPTED:</w:t>
      </w:r>
    </w:p>
    <w:p w:rsidR="00AA1C96" w:rsidRDefault="00AA1C96" w:rsidP="00AA1C96">
      <w:pPr>
        <w:pStyle w:val="ListParagraph"/>
        <w:spacing w:line="360" w:lineRule="auto"/>
        <w:ind w:left="284" w:right="-613"/>
        <w:jc w:val="both"/>
        <w:rPr>
          <w:rFonts w:ascii="Arial" w:hAnsi="Arial" w:cs="Arial"/>
        </w:rPr>
      </w:pPr>
      <w:r w:rsidRPr="00AA1C96">
        <w:rPr>
          <w:rFonts w:ascii="Arial" w:hAnsi="Arial" w:cs="Arial"/>
          <w:sz w:val="22"/>
          <w:szCs w:val="22"/>
        </w:rPr>
        <w:t xml:space="preserve">The restructuring plan involves conversion </w:t>
      </w:r>
      <w:r>
        <w:rPr>
          <w:rFonts w:ascii="Arial" w:hAnsi="Arial" w:cs="Arial"/>
          <w:sz w:val="22"/>
          <w:szCs w:val="22"/>
        </w:rPr>
        <w:t>of debt (overdue interest of INR</w:t>
      </w:r>
      <w:r w:rsidRPr="00AA1C96">
        <w:rPr>
          <w:rFonts w:ascii="Arial" w:hAnsi="Arial" w:cs="Arial"/>
          <w:sz w:val="22"/>
          <w:szCs w:val="22"/>
        </w:rPr>
        <w:t xml:space="preserve"> 33</w:t>
      </w:r>
      <w:r>
        <w:rPr>
          <w:rFonts w:ascii="Arial" w:hAnsi="Arial" w:cs="Arial"/>
          <w:sz w:val="22"/>
          <w:szCs w:val="22"/>
        </w:rPr>
        <w:t>.00</w:t>
      </w:r>
      <w:r w:rsidRPr="00AA1C96">
        <w:rPr>
          <w:rFonts w:ascii="Arial" w:hAnsi="Arial" w:cs="Arial"/>
          <w:sz w:val="22"/>
          <w:szCs w:val="22"/>
        </w:rPr>
        <w:t xml:space="preserve"> Cr) to equity. Reference is drawn to </w:t>
      </w:r>
      <w:r>
        <w:rPr>
          <w:rFonts w:ascii="Arial" w:hAnsi="Arial" w:cs="Arial"/>
          <w:sz w:val="22"/>
          <w:szCs w:val="22"/>
        </w:rPr>
        <w:t>Securities and Exchange Board of India (</w:t>
      </w:r>
      <w:r w:rsidRPr="00AA1C96">
        <w:rPr>
          <w:rFonts w:ascii="Arial" w:hAnsi="Arial" w:cs="Arial"/>
          <w:sz w:val="22"/>
          <w:szCs w:val="22"/>
        </w:rPr>
        <w:t>SEBI</w:t>
      </w:r>
      <w:r>
        <w:rPr>
          <w:rFonts w:ascii="Arial" w:hAnsi="Arial" w:cs="Arial"/>
          <w:sz w:val="22"/>
          <w:szCs w:val="22"/>
        </w:rPr>
        <w:t>)</w:t>
      </w:r>
      <w:r w:rsidRPr="00AA1C96">
        <w:rPr>
          <w:rFonts w:ascii="Arial" w:hAnsi="Arial" w:cs="Arial"/>
          <w:sz w:val="22"/>
          <w:szCs w:val="22"/>
        </w:rPr>
        <w:t xml:space="preserve"> Issue of Capital and Disclosure Requirements (ICDR) Regulations, 2018, Chapter V – Preferential Issue, for estimation of the price of </w:t>
      </w:r>
      <w:r>
        <w:rPr>
          <w:rFonts w:ascii="Arial" w:hAnsi="Arial" w:cs="Arial"/>
        </w:rPr>
        <w:t>conversion of debt into equity.</w:t>
      </w:r>
    </w:p>
    <w:p w:rsidR="00AA1C96" w:rsidRDefault="00AA1C96" w:rsidP="00AA1C96">
      <w:pPr>
        <w:pStyle w:val="ListParagraph"/>
        <w:spacing w:line="360" w:lineRule="auto"/>
        <w:ind w:left="284" w:right="-613"/>
        <w:jc w:val="both"/>
        <w:rPr>
          <w:rFonts w:ascii="Arial" w:hAnsi="Arial" w:cs="Arial"/>
          <w:sz w:val="22"/>
        </w:rPr>
      </w:pPr>
      <w:r w:rsidRPr="00AA1C96">
        <w:rPr>
          <w:rFonts w:ascii="Arial" w:hAnsi="Arial" w:cs="Arial"/>
          <w:sz w:val="22"/>
        </w:rPr>
        <w:t xml:space="preserve">Provision 158 (6)(a) of Chapter V (Preferential Issue) states that provisions of Chapter V do not apply in case of conversion of debt into equity pursuant to restructuring implemented under RBI guidelines. </w:t>
      </w:r>
      <w:r>
        <w:rPr>
          <w:rFonts w:ascii="Arial" w:hAnsi="Arial" w:cs="Arial"/>
          <w:sz w:val="22"/>
        </w:rPr>
        <w:t>As per the clause:</w:t>
      </w:r>
      <w:r w:rsidRPr="00AA1C96">
        <w:rPr>
          <w:rFonts w:ascii="Arial" w:hAnsi="Arial" w:cs="Arial"/>
          <w:sz w:val="22"/>
        </w:rPr>
        <w:t xml:space="preserve"> </w:t>
      </w:r>
    </w:p>
    <w:p w:rsidR="00AA1C96" w:rsidRPr="00AA1C96" w:rsidRDefault="00AA1C96" w:rsidP="00AA1C96">
      <w:pPr>
        <w:pStyle w:val="ListParagraph"/>
        <w:spacing w:line="360" w:lineRule="auto"/>
        <w:ind w:left="284" w:right="-613"/>
        <w:jc w:val="both"/>
        <w:rPr>
          <w:rFonts w:ascii="Arial" w:hAnsi="Arial" w:cs="Arial"/>
          <w:b/>
          <w:sz w:val="20"/>
          <w:szCs w:val="22"/>
          <w:lang w:val="en-IN"/>
        </w:rPr>
      </w:pPr>
      <w:r w:rsidRPr="00171098">
        <w:rPr>
          <w:rFonts w:ascii="Arial" w:hAnsi="Arial" w:cs="Arial"/>
          <w:i/>
          <w:iCs/>
          <w:sz w:val="22"/>
          <w:szCs w:val="22"/>
        </w:rPr>
        <w:t xml:space="preserve">The provisions of this Chapter shall not apply where the preferential issue of specified securities is made to the lenders pursuant to conversion of their debt, as part of a debt restructuring [***]165 implemented in accordance with the guidelines specified by the Reserve Bank of India, subject to the following conditions: </w:t>
      </w:r>
    </w:p>
    <w:p w:rsidR="00AA1C96" w:rsidRPr="00AA1C96" w:rsidRDefault="00AA1C96" w:rsidP="00377E9A">
      <w:pPr>
        <w:pStyle w:val="Default"/>
        <w:numPr>
          <w:ilvl w:val="0"/>
          <w:numId w:val="20"/>
        </w:numPr>
        <w:spacing w:line="360" w:lineRule="auto"/>
        <w:ind w:right="-592" w:hanging="436"/>
        <w:jc w:val="both"/>
        <w:rPr>
          <w:sz w:val="22"/>
          <w:szCs w:val="22"/>
        </w:rPr>
      </w:pPr>
      <w:r w:rsidRPr="00171098">
        <w:rPr>
          <w:i/>
          <w:iCs/>
          <w:sz w:val="22"/>
          <w:szCs w:val="22"/>
        </w:rPr>
        <w:t>guidelines for determining the conversion price have been specified by the Reserve Bank of India in accordance with which the conversion price shall be determined and which shall be in compliance with the applicable provis</w:t>
      </w:r>
      <w:r>
        <w:rPr>
          <w:i/>
          <w:iCs/>
          <w:sz w:val="22"/>
          <w:szCs w:val="22"/>
        </w:rPr>
        <w:t>ions of the Companies Act, 2013</w:t>
      </w:r>
    </w:p>
    <w:p w:rsidR="00377E9A" w:rsidRDefault="00AA1C96" w:rsidP="00377E9A">
      <w:pPr>
        <w:pStyle w:val="ListParagraph"/>
        <w:spacing w:before="240" w:line="360" w:lineRule="auto"/>
        <w:ind w:left="284" w:right="-613"/>
        <w:jc w:val="both"/>
        <w:rPr>
          <w:rFonts w:ascii="Arial" w:hAnsi="Arial" w:cs="Arial"/>
          <w:color w:val="000000"/>
          <w:sz w:val="22"/>
          <w:szCs w:val="22"/>
        </w:rPr>
      </w:pPr>
      <w:r w:rsidRPr="00AA1C96">
        <w:rPr>
          <w:rFonts w:ascii="Arial" w:hAnsi="Arial" w:cs="Arial"/>
          <w:sz w:val="22"/>
          <w:szCs w:val="22"/>
        </w:rPr>
        <w:t xml:space="preserve">Further, as per the above clause, conversion price shall be determined in accordance with RBI guidelines. Clause 32 of RBI Circular dated June 07, 2019 on Prudential Framework of Resolution of Stressed Assets states that issue price shall be lower of Average of weekly high and low of the volume weighted average price of the related equity shares quoted on the recognized stock exchange during the twenty </w:t>
      </w:r>
      <w:r w:rsidR="00F229E8">
        <w:rPr>
          <w:rFonts w:ascii="Arial" w:hAnsi="Arial" w:cs="Arial"/>
          <w:sz w:val="22"/>
          <w:szCs w:val="22"/>
        </w:rPr>
        <w:t>two/</w:t>
      </w:r>
      <w:r w:rsidRPr="00AA1C96">
        <w:rPr>
          <w:rFonts w:ascii="Arial" w:hAnsi="Arial" w:cs="Arial"/>
          <w:sz w:val="22"/>
          <w:szCs w:val="22"/>
        </w:rPr>
        <w:t>six weeks preceding</w:t>
      </w:r>
      <w:r w:rsidRPr="00AA1C96">
        <w:rPr>
          <w:rFonts w:ascii="Arial" w:hAnsi="Arial" w:cs="Arial"/>
          <w:color w:val="000000"/>
          <w:sz w:val="22"/>
          <w:szCs w:val="22"/>
        </w:rPr>
        <w:t xml:space="preserve"> the ‘reference date’ or Book Value. Clause 32 of RBI Circular is reproduced below:</w:t>
      </w:r>
    </w:p>
    <w:p w:rsidR="00AA1C96" w:rsidRPr="00377E9A" w:rsidRDefault="00AA1C96" w:rsidP="00377E9A">
      <w:pPr>
        <w:pStyle w:val="ListParagraph"/>
        <w:spacing w:before="240" w:line="360" w:lineRule="auto"/>
        <w:ind w:left="284" w:right="-613"/>
        <w:jc w:val="both"/>
        <w:rPr>
          <w:rFonts w:ascii="Arial" w:hAnsi="Arial" w:cs="Arial"/>
          <w:sz w:val="20"/>
          <w:szCs w:val="22"/>
        </w:rPr>
      </w:pPr>
      <w:r w:rsidRPr="00377E9A">
        <w:rPr>
          <w:rFonts w:ascii="Arial" w:hAnsi="Arial" w:cs="Arial"/>
          <w:i/>
          <w:iCs/>
          <w:color w:val="000000"/>
          <w:sz w:val="22"/>
        </w:rPr>
        <w:t xml:space="preserve">With reference to the requirements contained in sub-regulations 158 (6) (a) of ICDR Regulations, 2018, the issue price of the equity shall be the lower of (a) or (b) below: </w:t>
      </w:r>
    </w:p>
    <w:p w:rsidR="00377E9A" w:rsidRDefault="00AA1C96" w:rsidP="00AA1C96">
      <w:pPr>
        <w:pStyle w:val="Default"/>
        <w:numPr>
          <w:ilvl w:val="0"/>
          <w:numId w:val="21"/>
        </w:numPr>
        <w:spacing w:line="360" w:lineRule="auto"/>
        <w:ind w:right="-592"/>
        <w:jc w:val="both"/>
        <w:rPr>
          <w:i/>
          <w:iCs/>
          <w:sz w:val="22"/>
        </w:rPr>
      </w:pPr>
      <w:r w:rsidRPr="00377E9A">
        <w:rPr>
          <w:i/>
          <w:iCs/>
          <w:sz w:val="22"/>
        </w:rPr>
        <w:t>The average of the weekly high and low of the volume weighted average price of the related equity shares quoted on the recognised stock exchange during the twenty six weeks preceding the ‘reference date’ or the average of the weekly high and low of the volume weighted average prices of the related equity shares quoted on a recognised stock exchange during the two weeks preceding the ‘reference</w:t>
      </w:r>
      <w:r w:rsidR="00377E9A">
        <w:rPr>
          <w:i/>
          <w:iCs/>
          <w:sz w:val="22"/>
        </w:rPr>
        <w:t xml:space="preserve"> date’, whichever is lower.</w:t>
      </w:r>
    </w:p>
    <w:p w:rsidR="00AA1C96" w:rsidRPr="00377E9A" w:rsidRDefault="00AA1C96" w:rsidP="00AA1C96">
      <w:pPr>
        <w:pStyle w:val="Default"/>
        <w:numPr>
          <w:ilvl w:val="0"/>
          <w:numId w:val="21"/>
        </w:numPr>
        <w:spacing w:before="240" w:line="360" w:lineRule="auto"/>
        <w:ind w:right="-592"/>
        <w:jc w:val="both"/>
        <w:rPr>
          <w:i/>
          <w:iCs/>
          <w:sz w:val="20"/>
        </w:rPr>
      </w:pPr>
      <w:r w:rsidRPr="00377E9A">
        <w:rPr>
          <w:b/>
          <w:i/>
          <w:iCs/>
          <w:sz w:val="22"/>
        </w:rPr>
        <w:t>Book value</w:t>
      </w:r>
      <w:r w:rsidRPr="00377E9A">
        <w:rPr>
          <w:i/>
          <w:iCs/>
          <w:sz w:val="22"/>
        </w:rPr>
        <w:t xml:space="preserve">: Book value per share to be calculated from the latest audited balance sheet (without considering 'revaluation reserves', if any) adjusted for cash flows and financials post the earlier restructuring, if any. The date as on which the latest balance sheet is </w:t>
      </w:r>
      <w:r w:rsidRPr="00377E9A">
        <w:rPr>
          <w:i/>
          <w:iCs/>
          <w:sz w:val="22"/>
        </w:rPr>
        <w:lastRenderedPageBreak/>
        <w:t xml:space="preserve">drawn up should not precede the date of restructuring by more than 18 months. In case the latest audited balance sheet is not available the shares are to be collectively valued at Re.1 per company. </w:t>
      </w:r>
    </w:p>
    <w:p w:rsidR="008D41AD" w:rsidRPr="00377E9A" w:rsidRDefault="00AA1C96" w:rsidP="00377E9A">
      <w:pPr>
        <w:pStyle w:val="ListParagraph"/>
        <w:spacing w:before="240" w:line="360" w:lineRule="auto"/>
        <w:ind w:left="284" w:right="-613"/>
        <w:jc w:val="both"/>
        <w:rPr>
          <w:rFonts w:ascii="Arial" w:hAnsi="Arial" w:cs="Arial"/>
          <w:sz w:val="22"/>
        </w:rPr>
      </w:pPr>
      <w:r w:rsidRPr="00377E9A">
        <w:rPr>
          <w:rFonts w:ascii="Arial" w:hAnsi="Arial" w:cs="Arial"/>
          <w:sz w:val="22"/>
        </w:rPr>
        <w:t xml:space="preserve">As </w:t>
      </w:r>
      <w:r w:rsidR="00377E9A">
        <w:rPr>
          <w:rFonts w:ascii="Arial" w:hAnsi="Arial" w:cs="Arial"/>
          <w:sz w:val="22"/>
        </w:rPr>
        <w:t xml:space="preserve">M/s </w:t>
      </w:r>
      <w:r w:rsidRPr="00377E9A">
        <w:rPr>
          <w:rFonts w:ascii="Arial" w:hAnsi="Arial" w:cs="Arial"/>
          <w:sz w:val="22"/>
        </w:rPr>
        <w:t>GMR Warora</w:t>
      </w:r>
      <w:r w:rsidR="00377E9A">
        <w:rPr>
          <w:rFonts w:ascii="Arial" w:hAnsi="Arial" w:cs="Arial"/>
          <w:sz w:val="22"/>
        </w:rPr>
        <w:t xml:space="preserve"> Energy Limited</w:t>
      </w:r>
      <w:r w:rsidRPr="00377E9A">
        <w:rPr>
          <w:rFonts w:ascii="Arial" w:hAnsi="Arial" w:cs="Arial"/>
          <w:sz w:val="22"/>
        </w:rPr>
        <w:t xml:space="preserve"> is an unlisted company, </w:t>
      </w:r>
      <w:r w:rsidR="00377E9A">
        <w:rPr>
          <w:rFonts w:ascii="Arial" w:hAnsi="Arial" w:cs="Arial"/>
          <w:sz w:val="22"/>
        </w:rPr>
        <w:t xml:space="preserve">The </w:t>
      </w:r>
      <w:r w:rsidRPr="00377E9A">
        <w:rPr>
          <w:rFonts w:ascii="Arial" w:hAnsi="Arial" w:cs="Arial"/>
          <w:sz w:val="22"/>
        </w:rPr>
        <w:t xml:space="preserve">Book Value has been identified as the conversion price for debt into equity. Further, as Lenders had decided the cut-off/effective date of the restructuring plan as Apr 01, 2021, </w:t>
      </w:r>
      <w:r w:rsidR="000C5603">
        <w:rPr>
          <w:rFonts w:ascii="Arial" w:hAnsi="Arial" w:cs="Arial"/>
          <w:sz w:val="22"/>
        </w:rPr>
        <w:t xml:space="preserve">the day on which the debt shall stand converted to securities proposed to be issued </w:t>
      </w:r>
      <w:r w:rsidR="00B96484">
        <w:rPr>
          <w:rFonts w:ascii="Arial" w:hAnsi="Arial" w:cs="Arial"/>
          <w:sz w:val="22"/>
        </w:rPr>
        <w:t xml:space="preserve">pursuant to the said restructuring plan, </w:t>
      </w:r>
      <w:r w:rsidRPr="00377E9A">
        <w:rPr>
          <w:rFonts w:ascii="Arial" w:hAnsi="Arial" w:cs="Arial"/>
          <w:sz w:val="22"/>
        </w:rPr>
        <w:t xml:space="preserve">the Audited Financials as on Mar 31, 2021, have been relied upon for </w:t>
      </w:r>
      <w:r w:rsidR="00377E9A">
        <w:rPr>
          <w:rFonts w:ascii="Arial" w:hAnsi="Arial" w:cs="Arial"/>
          <w:sz w:val="22"/>
        </w:rPr>
        <w:t xml:space="preserve">determination of the Book Value </w:t>
      </w:r>
      <w:r w:rsidR="005B4E6C" w:rsidRPr="00377E9A">
        <w:rPr>
          <w:rFonts w:ascii="Arial" w:hAnsi="Arial" w:cs="Arial"/>
          <w:sz w:val="22"/>
          <w:szCs w:val="22"/>
          <w:lang w:val="en-IN"/>
        </w:rPr>
        <w:t>as such, entire INR</w:t>
      </w:r>
      <w:r w:rsidR="008D41AD" w:rsidRPr="00377E9A">
        <w:rPr>
          <w:rFonts w:ascii="Arial" w:hAnsi="Arial" w:cs="Arial"/>
          <w:sz w:val="22"/>
          <w:szCs w:val="22"/>
          <w:lang w:val="en-IN"/>
        </w:rPr>
        <w:t xml:space="preserve"> 33</w:t>
      </w:r>
      <w:r w:rsidR="00126E86" w:rsidRPr="00377E9A">
        <w:rPr>
          <w:rFonts w:ascii="Arial" w:hAnsi="Arial" w:cs="Arial"/>
          <w:sz w:val="22"/>
          <w:szCs w:val="22"/>
          <w:lang w:val="en-IN"/>
        </w:rPr>
        <w:t>.00</w:t>
      </w:r>
      <w:r w:rsidR="008D41AD" w:rsidRPr="00377E9A">
        <w:rPr>
          <w:rFonts w:ascii="Arial" w:hAnsi="Arial" w:cs="Arial"/>
          <w:sz w:val="22"/>
          <w:szCs w:val="22"/>
          <w:lang w:val="en-IN"/>
        </w:rPr>
        <w:t xml:space="preserve"> Cr</w:t>
      </w:r>
      <w:r w:rsidR="00377E9A">
        <w:rPr>
          <w:rFonts w:ascii="Arial" w:hAnsi="Arial" w:cs="Arial"/>
          <w:sz w:val="22"/>
          <w:szCs w:val="22"/>
          <w:lang w:val="en-IN"/>
        </w:rPr>
        <w:t>ore</w:t>
      </w:r>
      <w:r w:rsidR="008D41AD" w:rsidRPr="00377E9A">
        <w:rPr>
          <w:rFonts w:ascii="Arial" w:hAnsi="Arial" w:cs="Arial"/>
          <w:sz w:val="22"/>
          <w:szCs w:val="22"/>
          <w:lang w:val="en-IN"/>
        </w:rPr>
        <w:t xml:space="preserve"> of overdue interest proposed to be converted to equity shall have to be provided for.</w:t>
      </w:r>
    </w:p>
    <w:p w:rsidR="00000D0F" w:rsidRDefault="00000D0F" w:rsidP="00492E80">
      <w:pPr>
        <w:pStyle w:val="Default"/>
        <w:spacing w:line="360" w:lineRule="auto"/>
        <w:ind w:left="284" w:right="-592"/>
        <w:jc w:val="both"/>
        <w:rPr>
          <w:sz w:val="22"/>
          <w:szCs w:val="22"/>
        </w:rPr>
      </w:pPr>
      <w:r w:rsidRPr="00320F78">
        <w:rPr>
          <w:b/>
          <w:sz w:val="22"/>
          <w:szCs w:val="22"/>
        </w:rPr>
        <w:t>Gathering of Information on high</w:t>
      </w:r>
      <w:r w:rsidR="00C90B4A">
        <w:rPr>
          <w:b/>
          <w:sz w:val="22"/>
          <w:szCs w:val="22"/>
        </w:rPr>
        <w:t xml:space="preserve"> level breakup of each head of </w:t>
      </w:r>
      <w:r w:rsidR="000060C4">
        <w:rPr>
          <w:b/>
          <w:sz w:val="22"/>
          <w:szCs w:val="22"/>
        </w:rPr>
        <w:t>Balance sheet</w:t>
      </w:r>
      <w:r w:rsidRPr="00320F78">
        <w:rPr>
          <w:b/>
          <w:sz w:val="22"/>
          <w:szCs w:val="22"/>
        </w:rPr>
        <w:t xml:space="preserve"> for assessment (as per RKA Format)</w:t>
      </w:r>
      <w:r w:rsidRPr="00320F78">
        <w:rPr>
          <w:sz w:val="22"/>
          <w:szCs w:val="22"/>
        </w:rPr>
        <w:t>.</w:t>
      </w:r>
    </w:p>
    <w:p w:rsidR="00492E80" w:rsidRDefault="00000D0F" w:rsidP="00A0081D">
      <w:pPr>
        <w:pStyle w:val="ListParagraph"/>
        <w:numPr>
          <w:ilvl w:val="0"/>
          <w:numId w:val="5"/>
        </w:numPr>
        <w:spacing w:before="240" w:after="0" w:line="360" w:lineRule="auto"/>
        <w:ind w:left="567" w:right="-613" w:hanging="284"/>
        <w:jc w:val="both"/>
        <w:rPr>
          <w:rFonts w:ascii="Arial" w:hAnsi="Arial" w:cs="Arial"/>
          <w:sz w:val="22"/>
          <w:szCs w:val="22"/>
          <w:lang w:val="en-IN"/>
        </w:rPr>
      </w:pPr>
      <w:r w:rsidRPr="002808B8">
        <w:rPr>
          <w:rFonts w:ascii="Arial" w:hAnsi="Arial" w:cs="Arial"/>
          <w:sz w:val="22"/>
          <w:szCs w:val="22"/>
          <w:lang w:val="en-IN"/>
        </w:rPr>
        <w:t>Review of data/ inputs/ information which company could provide to us against the queries raised by the consultant.</w:t>
      </w:r>
    </w:p>
    <w:p w:rsidR="00000D0F" w:rsidRPr="00492E80" w:rsidRDefault="00000D0F" w:rsidP="00A0081D">
      <w:pPr>
        <w:pStyle w:val="ListParagraph"/>
        <w:numPr>
          <w:ilvl w:val="0"/>
          <w:numId w:val="5"/>
        </w:numPr>
        <w:spacing w:before="240" w:after="0" w:line="360" w:lineRule="auto"/>
        <w:ind w:left="567" w:right="-613" w:hanging="284"/>
        <w:jc w:val="both"/>
        <w:rPr>
          <w:rFonts w:ascii="Arial" w:hAnsi="Arial" w:cs="Arial"/>
          <w:sz w:val="22"/>
          <w:szCs w:val="22"/>
          <w:lang w:val="en-IN"/>
        </w:rPr>
      </w:pPr>
      <w:r w:rsidRPr="00492E80">
        <w:rPr>
          <w:rFonts w:ascii="Arial" w:hAnsi="Arial" w:cs="Arial"/>
          <w:sz w:val="22"/>
          <w:szCs w:val="22"/>
          <w:lang w:val="en-IN"/>
        </w:rPr>
        <w:t>Final assessment as per the data /information available on record.</w:t>
      </w:r>
    </w:p>
    <w:p w:rsidR="00000D0F" w:rsidRPr="006E09C2" w:rsidRDefault="00000D0F" w:rsidP="006E09C2">
      <w:pPr>
        <w:autoSpaceDE w:val="0"/>
        <w:autoSpaceDN w:val="0"/>
        <w:adjustRightInd w:val="0"/>
        <w:spacing w:before="240" w:after="0" w:line="360" w:lineRule="auto"/>
        <w:ind w:left="284" w:right="-592" w:hanging="90"/>
        <w:jc w:val="both"/>
        <w:rPr>
          <w:rFonts w:ascii="Arial" w:hAnsi="Arial" w:cs="Arial"/>
          <w:i/>
          <w:sz w:val="22"/>
          <w:szCs w:val="22"/>
          <w:lang w:val="en-IN"/>
        </w:rPr>
      </w:pPr>
      <w:r>
        <w:rPr>
          <w:rFonts w:ascii="Arial" w:hAnsi="Arial" w:cs="Arial"/>
          <w:b/>
          <w:sz w:val="22"/>
          <w:szCs w:val="22"/>
          <w:lang w:val="en-IN"/>
        </w:rPr>
        <w:t xml:space="preserve"> </w:t>
      </w:r>
      <w:r w:rsidRPr="002808B8">
        <w:rPr>
          <w:rFonts w:ascii="Arial" w:hAnsi="Arial" w:cs="Arial"/>
          <w:b/>
          <w:sz w:val="22"/>
          <w:szCs w:val="22"/>
          <w:lang w:val="en-IN"/>
        </w:rPr>
        <w:t>Note:</w:t>
      </w:r>
      <w:r w:rsidR="004F1865">
        <w:rPr>
          <w:rFonts w:ascii="Arial" w:hAnsi="Arial" w:cs="Arial"/>
          <w:b/>
          <w:sz w:val="22"/>
          <w:szCs w:val="22"/>
          <w:lang w:val="en-IN"/>
        </w:rPr>
        <w:t xml:space="preserve"> </w:t>
      </w:r>
      <w:r w:rsidR="004F1865" w:rsidRPr="006E09C2">
        <w:rPr>
          <w:rFonts w:ascii="Arial" w:hAnsi="Arial" w:cs="Arial"/>
          <w:i/>
          <w:sz w:val="22"/>
          <w:szCs w:val="22"/>
          <w:lang w:val="en-IN"/>
        </w:rPr>
        <w:t>Valuation of the shares has been done after conside</w:t>
      </w:r>
      <w:r w:rsidR="008D41AD" w:rsidRPr="006E09C2">
        <w:rPr>
          <w:rFonts w:ascii="Arial" w:hAnsi="Arial" w:cs="Arial"/>
          <w:i/>
          <w:sz w:val="22"/>
          <w:szCs w:val="22"/>
          <w:lang w:val="en-IN"/>
        </w:rPr>
        <w:t xml:space="preserve">ring the resolution plan as per </w:t>
      </w:r>
      <w:r w:rsidR="00F82485" w:rsidRPr="006E09C2">
        <w:rPr>
          <w:rFonts w:ascii="Arial" w:hAnsi="Arial" w:cs="Arial"/>
          <w:i/>
          <w:sz w:val="22"/>
          <w:szCs w:val="22"/>
          <w:lang w:val="en-IN"/>
        </w:rPr>
        <w:t>the Provision 158 (6</w:t>
      </w:r>
      <w:r w:rsidR="006E09C2" w:rsidRPr="006E09C2">
        <w:rPr>
          <w:rFonts w:ascii="Arial" w:hAnsi="Arial" w:cs="Arial"/>
          <w:i/>
          <w:sz w:val="22"/>
          <w:szCs w:val="22"/>
          <w:lang w:val="en-IN"/>
        </w:rPr>
        <w:t>) (</w:t>
      </w:r>
      <w:r w:rsidR="00F82485" w:rsidRPr="006E09C2">
        <w:rPr>
          <w:rFonts w:ascii="Arial" w:hAnsi="Arial" w:cs="Arial"/>
          <w:i/>
          <w:sz w:val="22"/>
          <w:szCs w:val="22"/>
          <w:lang w:val="en-IN"/>
        </w:rPr>
        <w:t xml:space="preserve">a) of Chapter V Preferential Issue of SEBI ICDR, which in turn refers to </w:t>
      </w:r>
      <w:r w:rsidR="004F1865" w:rsidRPr="006E09C2">
        <w:rPr>
          <w:rFonts w:ascii="Arial" w:hAnsi="Arial" w:cs="Arial"/>
          <w:i/>
          <w:sz w:val="22"/>
        </w:rPr>
        <w:t xml:space="preserve">the </w:t>
      </w:r>
      <w:r w:rsidR="004F1865" w:rsidRPr="006E09C2">
        <w:rPr>
          <w:rFonts w:ascii="Arial" w:hAnsi="Arial" w:cs="Arial"/>
          <w:i/>
          <w:sz w:val="22"/>
          <w:szCs w:val="22"/>
        </w:rPr>
        <w:t>Prudential Framework for Resolution of Stressed Assets vide RBI Circular dated June 07, 2019</w:t>
      </w:r>
      <w:r w:rsidR="00596659" w:rsidRPr="006E09C2">
        <w:rPr>
          <w:rFonts w:ascii="Arial" w:hAnsi="Arial" w:cs="Arial"/>
          <w:i/>
          <w:sz w:val="22"/>
          <w:szCs w:val="22"/>
        </w:rPr>
        <w:t xml:space="preserve"> </w:t>
      </w:r>
      <w:r w:rsidR="00596659" w:rsidRPr="006E09C2">
        <w:rPr>
          <w:rFonts w:ascii="Arial" w:hAnsi="Arial" w:cs="Arial"/>
          <w:i/>
          <w:sz w:val="22"/>
          <w:szCs w:val="22"/>
          <w:lang w:val="en-IN"/>
        </w:rPr>
        <w:t>Clause 32</w:t>
      </w:r>
      <w:r w:rsidR="004F1865" w:rsidRPr="006E09C2">
        <w:rPr>
          <w:rFonts w:ascii="Arial" w:hAnsi="Arial" w:cs="Arial"/>
          <w:i/>
          <w:sz w:val="22"/>
          <w:szCs w:val="22"/>
        </w:rPr>
        <w:t xml:space="preserve"> and </w:t>
      </w:r>
      <w:r w:rsidR="004F1865" w:rsidRPr="006E09C2">
        <w:rPr>
          <w:rFonts w:ascii="Arial" w:hAnsi="Arial" w:cs="Arial"/>
          <w:i/>
          <w:sz w:val="22"/>
        </w:rPr>
        <w:t xml:space="preserve">the data/ input that the </w:t>
      </w:r>
      <w:r w:rsidR="004F1865" w:rsidRPr="006E09C2">
        <w:rPr>
          <w:rFonts w:ascii="Arial" w:hAnsi="Arial" w:cs="Arial"/>
          <w:i/>
          <w:iCs/>
          <w:sz w:val="22"/>
        </w:rPr>
        <w:t>Bank/Client/Company</w:t>
      </w:r>
      <w:r w:rsidR="004F1865" w:rsidRPr="006E09C2">
        <w:rPr>
          <w:rFonts w:ascii="Arial" w:hAnsi="Arial" w:cs="Arial"/>
          <w:i/>
          <w:sz w:val="22"/>
        </w:rPr>
        <w:t xml:space="preserve"> could provide to us against our questions/ queries</w:t>
      </w:r>
    </w:p>
    <w:p w:rsidR="00F6083B" w:rsidRDefault="00F6083B" w:rsidP="00F6083B">
      <w:pPr>
        <w:pStyle w:val="ListParagraph"/>
        <w:spacing w:after="0" w:line="360" w:lineRule="auto"/>
        <w:ind w:left="284" w:right="-613"/>
        <w:jc w:val="both"/>
        <w:rPr>
          <w:rFonts w:ascii="Arial" w:hAnsi="Arial" w:cs="Arial"/>
          <w:b/>
          <w:sz w:val="22"/>
          <w:lang w:val="en-IN"/>
        </w:rPr>
      </w:pPr>
    </w:p>
    <w:p w:rsidR="001B5B21" w:rsidRDefault="005A6914" w:rsidP="00A0081D">
      <w:pPr>
        <w:pStyle w:val="ListParagraph"/>
        <w:numPr>
          <w:ilvl w:val="0"/>
          <w:numId w:val="16"/>
        </w:numPr>
        <w:spacing w:after="0" w:line="360" w:lineRule="auto"/>
        <w:ind w:left="284" w:right="-613" w:hanging="426"/>
        <w:jc w:val="both"/>
        <w:rPr>
          <w:rFonts w:ascii="Arial" w:hAnsi="Arial" w:cs="Arial"/>
          <w:b/>
          <w:sz w:val="22"/>
          <w:lang w:val="en-IN"/>
        </w:rPr>
      </w:pPr>
      <w:r>
        <w:rPr>
          <w:rFonts w:ascii="Arial" w:hAnsi="Arial" w:cs="Arial"/>
          <w:b/>
          <w:sz w:val="22"/>
          <w:lang w:val="en-IN"/>
        </w:rPr>
        <w:t>TERMS OF CONVERSION: (</w:t>
      </w:r>
      <w:r w:rsidR="001B5B21">
        <w:rPr>
          <w:rFonts w:ascii="Arial" w:hAnsi="Arial" w:cs="Arial"/>
          <w:b/>
          <w:sz w:val="22"/>
          <w:lang w:val="en-IN"/>
        </w:rPr>
        <w:t xml:space="preserve">INR 33 CRORE </w:t>
      </w:r>
      <w:r w:rsidRPr="005A6914">
        <w:rPr>
          <w:rFonts w:ascii="Arial" w:hAnsi="Arial" w:cs="Arial"/>
          <w:b/>
          <w:sz w:val="22"/>
          <w:lang w:val="en-IN"/>
        </w:rPr>
        <w:t>TO EQUITY</w:t>
      </w:r>
      <w:r>
        <w:rPr>
          <w:rFonts w:ascii="Arial" w:hAnsi="Arial" w:cs="Arial"/>
          <w:b/>
          <w:sz w:val="22"/>
          <w:lang w:val="en-IN"/>
        </w:rPr>
        <w:t>)</w:t>
      </w:r>
    </w:p>
    <w:p w:rsidR="005A6914" w:rsidRDefault="005A6914" w:rsidP="00F6083B">
      <w:pPr>
        <w:pStyle w:val="ListParagraph"/>
        <w:spacing w:after="0" w:line="360" w:lineRule="auto"/>
        <w:ind w:left="284" w:right="-613"/>
        <w:jc w:val="both"/>
        <w:rPr>
          <w:rFonts w:ascii="Arial" w:hAnsi="Arial" w:cs="Arial"/>
          <w:sz w:val="22"/>
          <w:lang w:val="en-IN"/>
        </w:rPr>
      </w:pPr>
      <w:r w:rsidRPr="001B5B21">
        <w:rPr>
          <w:rFonts w:ascii="Arial" w:hAnsi="Arial" w:cs="Arial"/>
          <w:sz w:val="22"/>
          <w:lang w:val="en-IN"/>
        </w:rPr>
        <w:t>Overdue Interest of Rs. 33 Cr. shall be converted at a price equal to book value of Rs. 4.34 per share (based on Net Worth as on March 31, 2021), resulting in total share pledge with the lenders of ~76.1% on post-restructuring basis (including existing pledge on 74% shares held collectively between consortium lenders and ICICI Bank).</w:t>
      </w:r>
    </w:p>
    <w:p w:rsidR="00F6083B" w:rsidRDefault="00F6083B" w:rsidP="00F6083B">
      <w:pPr>
        <w:pStyle w:val="ListParagraph"/>
        <w:spacing w:after="0" w:line="360" w:lineRule="auto"/>
        <w:ind w:left="284" w:right="-613"/>
        <w:jc w:val="both"/>
        <w:rPr>
          <w:rFonts w:ascii="Arial" w:hAnsi="Arial" w:cs="Arial"/>
          <w:b/>
          <w:sz w:val="22"/>
          <w:lang w:val="en-IN"/>
        </w:rPr>
      </w:pPr>
    </w:p>
    <w:p w:rsidR="00D524A9" w:rsidRDefault="00D524A9" w:rsidP="00A0081D">
      <w:pPr>
        <w:pStyle w:val="ListParagraph"/>
        <w:numPr>
          <w:ilvl w:val="0"/>
          <w:numId w:val="16"/>
        </w:numPr>
        <w:spacing w:after="0" w:line="360" w:lineRule="auto"/>
        <w:ind w:left="284" w:right="-613" w:hanging="426"/>
        <w:jc w:val="both"/>
        <w:rPr>
          <w:rFonts w:ascii="Arial" w:hAnsi="Arial" w:cs="Arial"/>
          <w:b/>
          <w:sz w:val="22"/>
          <w:lang w:val="en-IN"/>
        </w:rPr>
      </w:pPr>
      <w:r w:rsidRPr="00A70114">
        <w:rPr>
          <w:rFonts w:ascii="Arial" w:hAnsi="Arial" w:cs="Arial"/>
          <w:b/>
          <w:sz w:val="22"/>
          <w:lang w:val="en-IN"/>
        </w:rPr>
        <w:t>SUMMARY OF VALUATION ASSESSMENT:</w:t>
      </w:r>
    </w:p>
    <w:p w:rsidR="001B5B21" w:rsidRPr="001B5B21" w:rsidRDefault="001B5B21" w:rsidP="001B5B21">
      <w:pPr>
        <w:pStyle w:val="ListParagraph"/>
        <w:spacing w:line="360" w:lineRule="auto"/>
        <w:ind w:left="284" w:right="-613"/>
        <w:jc w:val="both"/>
        <w:rPr>
          <w:rFonts w:ascii="Arial" w:hAnsi="Arial" w:cs="Arial"/>
          <w:sz w:val="22"/>
          <w:lang w:val="en-IN"/>
        </w:rPr>
      </w:pPr>
      <w:r w:rsidRPr="001B5B21">
        <w:rPr>
          <w:rFonts w:ascii="Arial" w:hAnsi="Arial" w:cs="Arial"/>
          <w:sz w:val="22"/>
          <w:lang w:val="en-IN"/>
        </w:rPr>
        <w:t>As per informati</w:t>
      </w:r>
      <w:r>
        <w:rPr>
          <w:rFonts w:ascii="Arial" w:hAnsi="Arial" w:cs="Arial"/>
          <w:sz w:val="22"/>
          <w:lang w:val="en-IN"/>
        </w:rPr>
        <w:t>on shared by the client/company, below table shows the determination of book value per share:</w:t>
      </w: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3544"/>
      </w:tblGrid>
      <w:tr w:rsidR="000060C4" w:rsidRPr="000060C4" w:rsidTr="00253E66">
        <w:trPr>
          <w:trHeight w:val="330"/>
        </w:trPr>
        <w:tc>
          <w:tcPr>
            <w:tcW w:w="4110" w:type="dxa"/>
            <w:shd w:val="clear" w:color="auto" w:fill="002060"/>
            <w:noWrap/>
            <w:vAlign w:val="center"/>
            <w:hideMark/>
          </w:tcPr>
          <w:p w:rsidR="000060C4" w:rsidRPr="000060C4" w:rsidRDefault="000060C4" w:rsidP="000060C4">
            <w:pPr>
              <w:spacing w:after="0" w:line="240" w:lineRule="auto"/>
              <w:rPr>
                <w:rFonts w:ascii="Calibri" w:hAnsi="Calibri" w:cs="Calibri"/>
                <w:b/>
                <w:bCs/>
                <w:color w:val="FFFFFF" w:themeColor="background1"/>
                <w:lang w:val="en-IN" w:eastAsia="en-IN"/>
              </w:rPr>
            </w:pPr>
            <w:r w:rsidRPr="000060C4">
              <w:rPr>
                <w:rFonts w:ascii="Calibri" w:hAnsi="Calibri" w:cs="Calibri"/>
                <w:b/>
                <w:bCs/>
                <w:color w:val="FFFFFF" w:themeColor="background1"/>
                <w:lang w:val="en-IN" w:eastAsia="en-IN"/>
              </w:rPr>
              <w:t>Particulars</w:t>
            </w:r>
          </w:p>
        </w:tc>
        <w:tc>
          <w:tcPr>
            <w:tcW w:w="3544" w:type="dxa"/>
            <w:shd w:val="clear" w:color="auto" w:fill="002060"/>
            <w:noWrap/>
            <w:vAlign w:val="center"/>
            <w:hideMark/>
          </w:tcPr>
          <w:p w:rsidR="000060C4" w:rsidRPr="000060C4" w:rsidRDefault="000060C4" w:rsidP="000060C4">
            <w:pPr>
              <w:spacing w:after="0" w:line="240" w:lineRule="auto"/>
              <w:jc w:val="center"/>
              <w:rPr>
                <w:rFonts w:ascii="Calibri" w:hAnsi="Calibri" w:cs="Calibri"/>
                <w:b/>
                <w:bCs/>
                <w:color w:val="FFFFFF" w:themeColor="background1"/>
                <w:lang w:val="en-IN" w:eastAsia="en-IN"/>
              </w:rPr>
            </w:pPr>
            <w:r w:rsidRPr="000060C4">
              <w:rPr>
                <w:rFonts w:ascii="Calibri" w:hAnsi="Calibri" w:cs="Calibri"/>
                <w:b/>
                <w:bCs/>
                <w:color w:val="FFFFFF" w:themeColor="background1"/>
                <w:lang w:val="en-IN" w:eastAsia="en-IN"/>
              </w:rPr>
              <w:t xml:space="preserve"> Amount</w:t>
            </w:r>
            <w:r w:rsidR="001B5B21">
              <w:rPr>
                <w:rFonts w:ascii="Calibri" w:hAnsi="Calibri" w:cs="Calibri"/>
                <w:b/>
                <w:bCs/>
                <w:color w:val="FFFFFF" w:themeColor="background1"/>
                <w:lang w:val="en-IN" w:eastAsia="en-IN"/>
              </w:rPr>
              <w:t xml:space="preserve"> as on 31</w:t>
            </w:r>
            <w:r w:rsidR="001B5B21" w:rsidRPr="001B5B21">
              <w:rPr>
                <w:rFonts w:ascii="Calibri" w:hAnsi="Calibri" w:cs="Calibri"/>
                <w:b/>
                <w:bCs/>
                <w:color w:val="FFFFFF" w:themeColor="background1"/>
                <w:vertAlign w:val="superscript"/>
                <w:lang w:val="en-IN" w:eastAsia="en-IN"/>
              </w:rPr>
              <w:t>st</w:t>
            </w:r>
            <w:r w:rsidR="001B5B21">
              <w:rPr>
                <w:rFonts w:ascii="Calibri" w:hAnsi="Calibri" w:cs="Calibri"/>
                <w:b/>
                <w:bCs/>
                <w:color w:val="FFFFFF" w:themeColor="background1"/>
                <w:lang w:val="en-IN" w:eastAsia="en-IN"/>
              </w:rPr>
              <w:t xml:space="preserve"> March 2021</w:t>
            </w:r>
            <w:r w:rsidRPr="000060C4">
              <w:rPr>
                <w:rFonts w:ascii="Calibri" w:hAnsi="Calibri" w:cs="Calibri"/>
                <w:b/>
                <w:bCs/>
                <w:color w:val="FFFFFF" w:themeColor="background1"/>
                <w:lang w:val="en-IN" w:eastAsia="en-IN"/>
              </w:rPr>
              <w:t xml:space="preserve"> (in Rs. Crore) </w:t>
            </w:r>
          </w:p>
        </w:tc>
      </w:tr>
      <w:tr w:rsidR="000060C4" w:rsidRPr="000060C4" w:rsidTr="00253E66">
        <w:trPr>
          <w:trHeight w:val="327"/>
        </w:trPr>
        <w:tc>
          <w:tcPr>
            <w:tcW w:w="4110" w:type="dxa"/>
            <w:shd w:val="clear" w:color="auto" w:fill="auto"/>
            <w:noWrap/>
            <w:vAlign w:val="center"/>
            <w:hideMark/>
          </w:tcPr>
          <w:p w:rsidR="000060C4" w:rsidRPr="000060C4" w:rsidRDefault="000060C4" w:rsidP="000060C4">
            <w:pPr>
              <w:spacing w:after="0" w:line="240" w:lineRule="auto"/>
              <w:rPr>
                <w:rFonts w:ascii="Calibri" w:hAnsi="Calibri" w:cs="Calibri"/>
                <w:b/>
                <w:bCs/>
                <w:color w:val="000000"/>
                <w:lang w:val="en-IN" w:eastAsia="en-IN"/>
              </w:rPr>
            </w:pPr>
            <w:r w:rsidRPr="000060C4">
              <w:rPr>
                <w:rFonts w:ascii="Calibri" w:hAnsi="Calibri" w:cs="Calibri"/>
                <w:b/>
                <w:bCs/>
                <w:color w:val="000000"/>
                <w:lang w:val="en-IN" w:eastAsia="en-IN"/>
              </w:rPr>
              <w:lastRenderedPageBreak/>
              <w:t>Assets</w:t>
            </w:r>
          </w:p>
        </w:tc>
        <w:tc>
          <w:tcPr>
            <w:tcW w:w="3544" w:type="dxa"/>
            <w:shd w:val="clear" w:color="auto" w:fill="auto"/>
            <w:noWrap/>
            <w:vAlign w:val="center"/>
            <w:hideMark/>
          </w:tcPr>
          <w:p w:rsidR="000060C4" w:rsidRPr="000060C4" w:rsidRDefault="000060C4" w:rsidP="000060C4">
            <w:pPr>
              <w:spacing w:after="0" w:line="240" w:lineRule="auto"/>
              <w:jc w:val="right"/>
              <w:rPr>
                <w:rFonts w:ascii="Arial" w:hAnsi="Arial" w:cs="Arial"/>
                <w:sz w:val="36"/>
                <w:szCs w:val="36"/>
                <w:lang w:val="en-IN" w:eastAsia="en-IN"/>
              </w:rPr>
            </w:pPr>
            <w:r w:rsidRPr="000060C4">
              <w:rPr>
                <w:rFonts w:ascii="Arial" w:hAnsi="Arial" w:cs="Arial"/>
                <w:sz w:val="36"/>
                <w:szCs w:val="36"/>
                <w:lang w:val="en-IN" w:eastAsia="en-IN"/>
              </w:rPr>
              <w:t> </w:t>
            </w:r>
          </w:p>
        </w:tc>
      </w:tr>
      <w:tr w:rsidR="000060C4" w:rsidRPr="000060C4" w:rsidTr="00253E66">
        <w:trPr>
          <w:trHeight w:val="330"/>
        </w:trPr>
        <w:tc>
          <w:tcPr>
            <w:tcW w:w="4110" w:type="dxa"/>
            <w:shd w:val="clear" w:color="auto" w:fill="auto"/>
            <w:noWrap/>
            <w:vAlign w:val="center"/>
            <w:hideMark/>
          </w:tcPr>
          <w:p w:rsidR="000060C4" w:rsidRPr="000060C4" w:rsidRDefault="000060C4" w:rsidP="000060C4">
            <w:pPr>
              <w:spacing w:after="0" w:line="240" w:lineRule="auto"/>
              <w:rPr>
                <w:rFonts w:ascii="Calibri" w:hAnsi="Calibri" w:cs="Calibri"/>
                <w:color w:val="000000"/>
                <w:lang w:val="en-IN" w:eastAsia="en-IN"/>
              </w:rPr>
            </w:pPr>
            <w:r w:rsidRPr="000060C4">
              <w:rPr>
                <w:rFonts w:ascii="Calibri" w:hAnsi="Calibri" w:cs="Calibri"/>
                <w:color w:val="000000"/>
                <w:lang w:val="en-IN" w:eastAsia="en-IN"/>
              </w:rPr>
              <w:t xml:space="preserve">Property, plant and equipment </w:t>
            </w:r>
          </w:p>
        </w:tc>
        <w:tc>
          <w:tcPr>
            <w:tcW w:w="3544" w:type="dxa"/>
            <w:shd w:val="clear" w:color="auto" w:fill="auto"/>
            <w:noWrap/>
            <w:vAlign w:val="center"/>
            <w:hideMark/>
          </w:tcPr>
          <w:p w:rsidR="000060C4" w:rsidRPr="000060C4" w:rsidRDefault="000060C4" w:rsidP="005A6914">
            <w:pPr>
              <w:spacing w:after="0" w:line="240" w:lineRule="auto"/>
              <w:jc w:val="center"/>
              <w:rPr>
                <w:rFonts w:ascii="Calibri" w:hAnsi="Calibri" w:cs="Calibri"/>
                <w:color w:val="000000"/>
                <w:lang w:val="en-IN" w:eastAsia="en-IN"/>
              </w:rPr>
            </w:pPr>
            <w:r w:rsidRPr="000060C4">
              <w:rPr>
                <w:rFonts w:ascii="Calibri" w:hAnsi="Calibri" w:cs="Calibri"/>
                <w:color w:val="000000"/>
                <w:lang w:val="en-IN" w:eastAsia="en-IN"/>
              </w:rPr>
              <w:t>3,057.59</w:t>
            </w:r>
          </w:p>
        </w:tc>
      </w:tr>
      <w:tr w:rsidR="000060C4" w:rsidRPr="000060C4" w:rsidTr="00253E66">
        <w:trPr>
          <w:trHeight w:val="330"/>
        </w:trPr>
        <w:tc>
          <w:tcPr>
            <w:tcW w:w="4110" w:type="dxa"/>
            <w:shd w:val="clear" w:color="auto" w:fill="auto"/>
            <w:noWrap/>
            <w:vAlign w:val="center"/>
            <w:hideMark/>
          </w:tcPr>
          <w:p w:rsidR="000060C4" w:rsidRPr="000060C4" w:rsidRDefault="000060C4" w:rsidP="000060C4">
            <w:pPr>
              <w:spacing w:after="0" w:line="240" w:lineRule="auto"/>
              <w:rPr>
                <w:rFonts w:ascii="Calibri" w:hAnsi="Calibri" w:cs="Calibri"/>
                <w:color w:val="000000"/>
                <w:lang w:val="en-IN" w:eastAsia="en-IN"/>
              </w:rPr>
            </w:pPr>
            <w:r w:rsidRPr="000060C4">
              <w:rPr>
                <w:rFonts w:ascii="Calibri" w:hAnsi="Calibri" w:cs="Calibri"/>
                <w:color w:val="000000"/>
                <w:lang w:val="en-IN" w:eastAsia="en-IN"/>
              </w:rPr>
              <w:t>Cash and cash equivalent</w:t>
            </w:r>
          </w:p>
        </w:tc>
        <w:tc>
          <w:tcPr>
            <w:tcW w:w="3544" w:type="dxa"/>
            <w:shd w:val="clear" w:color="auto" w:fill="auto"/>
            <w:noWrap/>
            <w:vAlign w:val="center"/>
            <w:hideMark/>
          </w:tcPr>
          <w:p w:rsidR="000060C4" w:rsidRPr="000060C4" w:rsidRDefault="000060C4" w:rsidP="005A6914">
            <w:pPr>
              <w:spacing w:after="0" w:line="240" w:lineRule="auto"/>
              <w:jc w:val="center"/>
              <w:rPr>
                <w:rFonts w:ascii="Calibri" w:hAnsi="Calibri" w:cs="Calibri"/>
                <w:color w:val="000000"/>
                <w:lang w:val="en-IN" w:eastAsia="en-IN"/>
              </w:rPr>
            </w:pPr>
            <w:r w:rsidRPr="000060C4">
              <w:rPr>
                <w:rFonts w:ascii="Calibri" w:hAnsi="Calibri" w:cs="Calibri"/>
                <w:color w:val="000000"/>
                <w:lang w:val="en-IN" w:eastAsia="en-IN"/>
              </w:rPr>
              <w:t>9.56</w:t>
            </w:r>
          </w:p>
        </w:tc>
      </w:tr>
      <w:tr w:rsidR="000060C4" w:rsidRPr="000060C4" w:rsidTr="00253E66">
        <w:trPr>
          <w:trHeight w:val="330"/>
        </w:trPr>
        <w:tc>
          <w:tcPr>
            <w:tcW w:w="4110" w:type="dxa"/>
            <w:shd w:val="clear" w:color="auto" w:fill="auto"/>
            <w:noWrap/>
            <w:vAlign w:val="center"/>
            <w:hideMark/>
          </w:tcPr>
          <w:p w:rsidR="000060C4" w:rsidRPr="000060C4" w:rsidRDefault="000060C4" w:rsidP="000060C4">
            <w:pPr>
              <w:spacing w:after="0" w:line="240" w:lineRule="auto"/>
              <w:rPr>
                <w:rFonts w:ascii="Calibri" w:hAnsi="Calibri" w:cs="Calibri"/>
                <w:color w:val="000000"/>
                <w:lang w:val="en-IN" w:eastAsia="en-IN"/>
              </w:rPr>
            </w:pPr>
            <w:r w:rsidRPr="000060C4">
              <w:rPr>
                <w:rFonts w:ascii="Calibri" w:hAnsi="Calibri" w:cs="Calibri"/>
                <w:color w:val="000000"/>
                <w:lang w:val="en-IN" w:eastAsia="en-IN"/>
              </w:rPr>
              <w:t xml:space="preserve">Investment </w:t>
            </w:r>
          </w:p>
        </w:tc>
        <w:tc>
          <w:tcPr>
            <w:tcW w:w="3544" w:type="dxa"/>
            <w:shd w:val="clear" w:color="auto" w:fill="auto"/>
            <w:noWrap/>
            <w:vAlign w:val="center"/>
            <w:hideMark/>
          </w:tcPr>
          <w:p w:rsidR="000060C4" w:rsidRPr="000060C4" w:rsidRDefault="000060C4" w:rsidP="005A6914">
            <w:pPr>
              <w:spacing w:after="0" w:line="240" w:lineRule="auto"/>
              <w:jc w:val="center"/>
              <w:rPr>
                <w:rFonts w:ascii="Calibri" w:hAnsi="Calibri" w:cs="Calibri"/>
                <w:color w:val="000000"/>
                <w:lang w:val="en-IN" w:eastAsia="en-IN"/>
              </w:rPr>
            </w:pPr>
            <w:r w:rsidRPr="000060C4">
              <w:rPr>
                <w:rFonts w:ascii="Calibri" w:hAnsi="Calibri" w:cs="Calibri"/>
                <w:color w:val="000000"/>
                <w:lang w:val="en-IN" w:eastAsia="en-IN"/>
              </w:rPr>
              <w:t>54.14</w:t>
            </w:r>
          </w:p>
        </w:tc>
      </w:tr>
      <w:tr w:rsidR="000060C4" w:rsidRPr="000060C4" w:rsidTr="00253E66">
        <w:trPr>
          <w:trHeight w:val="330"/>
        </w:trPr>
        <w:tc>
          <w:tcPr>
            <w:tcW w:w="4110" w:type="dxa"/>
            <w:shd w:val="clear" w:color="auto" w:fill="auto"/>
            <w:noWrap/>
            <w:vAlign w:val="center"/>
            <w:hideMark/>
          </w:tcPr>
          <w:p w:rsidR="000060C4" w:rsidRPr="000060C4" w:rsidRDefault="000060C4" w:rsidP="000060C4">
            <w:pPr>
              <w:spacing w:after="0" w:line="240" w:lineRule="auto"/>
              <w:rPr>
                <w:rFonts w:ascii="Calibri" w:hAnsi="Calibri" w:cs="Calibri"/>
                <w:color w:val="000000"/>
                <w:lang w:val="en-IN" w:eastAsia="en-IN"/>
              </w:rPr>
            </w:pPr>
            <w:r w:rsidRPr="000060C4">
              <w:rPr>
                <w:rFonts w:ascii="Calibri" w:hAnsi="Calibri" w:cs="Calibri"/>
                <w:color w:val="000000"/>
                <w:lang w:val="en-IN" w:eastAsia="en-IN"/>
              </w:rPr>
              <w:t>Net Working Capital</w:t>
            </w:r>
          </w:p>
        </w:tc>
        <w:tc>
          <w:tcPr>
            <w:tcW w:w="3544" w:type="dxa"/>
            <w:shd w:val="clear" w:color="auto" w:fill="auto"/>
            <w:noWrap/>
            <w:vAlign w:val="center"/>
            <w:hideMark/>
          </w:tcPr>
          <w:p w:rsidR="000060C4" w:rsidRPr="000060C4" w:rsidRDefault="000060C4" w:rsidP="005A6914">
            <w:pPr>
              <w:spacing w:after="0" w:line="240" w:lineRule="auto"/>
              <w:jc w:val="center"/>
              <w:rPr>
                <w:rFonts w:ascii="Calibri" w:hAnsi="Calibri" w:cs="Calibri"/>
                <w:color w:val="000000"/>
                <w:lang w:val="en-IN" w:eastAsia="en-IN"/>
              </w:rPr>
            </w:pPr>
            <w:r w:rsidRPr="000060C4">
              <w:rPr>
                <w:rFonts w:ascii="Calibri" w:hAnsi="Calibri" w:cs="Calibri"/>
                <w:color w:val="000000"/>
                <w:lang w:val="en-IN" w:eastAsia="en-IN"/>
              </w:rPr>
              <w:t>-169.71</w:t>
            </w:r>
          </w:p>
        </w:tc>
      </w:tr>
      <w:tr w:rsidR="000060C4" w:rsidRPr="000060C4" w:rsidTr="00253E66">
        <w:trPr>
          <w:trHeight w:val="330"/>
        </w:trPr>
        <w:tc>
          <w:tcPr>
            <w:tcW w:w="4110" w:type="dxa"/>
            <w:shd w:val="clear" w:color="auto" w:fill="8EAADB" w:themeFill="accent5" w:themeFillTint="99"/>
            <w:noWrap/>
            <w:vAlign w:val="center"/>
            <w:hideMark/>
          </w:tcPr>
          <w:p w:rsidR="000060C4" w:rsidRPr="000060C4" w:rsidRDefault="000060C4" w:rsidP="000060C4">
            <w:pPr>
              <w:spacing w:after="0" w:line="240" w:lineRule="auto"/>
              <w:rPr>
                <w:rFonts w:ascii="Calibri" w:hAnsi="Calibri" w:cs="Calibri"/>
                <w:b/>
                <w:bCs/>
                <w:color w:val="000000"/>
                <w:lang w:val="en-IN" w:eastAsia="en-IN"/>
              </w:rPr>
            </w:pPr>
            <w:r w:rsidRPr="000060C4">
              <w:rPr>
                <w:rFonts w:ascii="Calibri" w:hAnsi="Calibri" w:cs="Calibri"/>
                <w:b/>
                <w:bCs/>
                <w:color w:val="000000"/>
                <w:lang w:val="en-IN" w:eastAsia="en-IN"/>
              </w:rPr>
              <w:t>Total Assets</w:t>
            </w:r>
          </w:p>
        </w:tc>
        <w:tc>
          <w:tcPr>
            <w:tcW w:w="3544" w:type="dxa"/>
            <w:shd w:val="clear" w:color="auto" w:fill="8EAADB" w:themeFill="accent5" w:themeFillTint="99"/>
            <w:noWrap/>
            <w:vAlign w:val="center"/>
            <w:hideMark/>
          </w:tcPr>
          <w:p w:rsidR="000060C4" w:rsidRPr="000060C4" w:rsidRDefault="000060C4" w:rsidP="005A6914">
            <w:pPr>
              <w:spacing w:after="0" w:line="240" w:lineRule="auto"/>
              <w:jc w:val="center"/>
              <w:rPr>
                <w:rFonts w:ascii="Calibri" w:hAnsi="Calibri" w:cs="Calibri"/>
                <w:b/>
                <w:bCs/>
                <w:color w:val="000000"/>
                <w:lang w:val="en-IN" w:eastAsia="en-IN"/>
              </w:rPr>
            </w:pPr>
            <w:r w:rsidRPr="000060C4">
              <w:rPr>
                <w:rFonts w:ascii="Calibri" w:hAnsi="Calibri" w:cs="Calibri"/>
                <w:b/>
                <w:bCs/>
                <w:color w:val="000000"/>
                <w:lang w:val="en-IN" w:eastAsia="en-IN"/>
              </w:rPr>
              <w:t>2,951.58</w:t>
            </w:r>
          </w:p>
        </w:tc>
      </w:tr>
      <w:tr w:rsidR="000060C4" w:rsidRPr="000060C4" w:rsidTr="00253E66">
        <w:trPr>
          <w:trHeight w:val="343"/>
        </w:trPr>
        <w:tc>
          <w:tcPr>
            <w:tcW w:w="4110" w:type="dxa"/>
            <w:shd w:val="clear" w:color="auto" w:fill="auto"/>
            <w:noWrap/>
            <w:vAlign w:val="center"/>
            <w:hideMark/>
          </w:tcPr>
          <w:p w:rsidR="000060C4" w:rsidRPr="000060C4" w:rsidRDefault="000060C4" w:rsidP="000060C4">
            <w:pPr>
              <w:spacing w:after="0" w:line="240" w:lineRule="auto"/>
              <w:rPr>
                <w:rFonts w:ascii="Calibri" w:hAnsi="Calibri" w:cs="Calibri"/>
                <w:b/>
                <w:bCs/>
                <w:color w:val="000000"/>
                <w:lang w:val="en-IN" w:eastAsia="en-IN"/>
              </w:rPr>
            </w:pPr>
            <w:r w:rsidRPr="000060C4">
              <w:rPr>
                <w:rFonts w:ascii="Calibri" w:hAnsi="Calibri" w:cs="Calibri"/>
                <w:b/>
                <w:bCs/>
                <w:color w:val="000000"/>
                <w:lang w:val="en-IN" w:eastAsia="en-IN"/>
              </w:rPr>
              <w:t>Liabilities</w:t>
            </w:r>
          </w:p>
        </w:tc>
        <w:tc>
          <w:tcPr>
            <w:tcW w:w="3544" w:type="dxa"/>
            <w:shd w:val="clear" w:color="auto" w:fill="auto"/>
            <w:noWrap/>
            <w:vAlign w:val="center"/>
            <w:hideMark/>
          </w:tcPr>
          <w:p w:rsidR="000060C4" w:rsidRPr="000060C4" w:rsidRDefault="000060C4" w:rsidP="005A6914">
            <w:pPr>
              <w:spacing w:after="0" w:line="240" w:lineRule="auto"/>
              <w:jc w:val="center"/>
              <w:rPr>
                <w:rFonts w:ascii="Arial" w:hAnsi="Arial" w:cs="Arial"/>
                <w:sz w:val="36"/>
                <w:szCs w:val="36"/>
                <w:lang w:val="en-IN" w:eastAsia="en-IN"/>
              </w:rPr>
            </w:pPr>
          </w:p>
        </w:tc>
      </w:tr>
      <w:tr w:rsidR="000060C4" w:rsidRPr="000060C4" w:rsidTr="00253E66">
        <w:trPr>
          <w:trHeight w:val="330"/>
        </w:trPr>
        <w:tc>
          <w:tcPr>
            <w:tcW w:w="4110" w:type="dxa"/>
            <w:shd w:val="clear" w:color="auto" w:fill="auto"/>
            <w:noWrap/>
            <w:vAlign w:val="center"/>
            <w:hideMark/>
          </w:tcPr>
          <w:p w:rsidR="000060C4" w:rsidRPr="000060C4" w:rsidRDefault="000060C4" w:rsidP="000060C4">
            <w:pPr>
              <w:spacing w:after="0" w:line="240" w:lineRule="auto"/>
              <w:rPr>
                <w:rFonts w:ascii="Calibri" w:hAnsi="Calibri" w:cs="Calibri"/>
                <w:color w:val="000000"/>
                <w:lang w:val="en-IN" w:eastAsia="en-IN"/>
              </w:rPr>
            </w:pPr>
            <w:r w:rsidRPr="000060C4">
              <w:rPr>
                <w:rFonts w:ascii="Calibri" w:hAnsi="Calibri" w:cs="Calibri"/>
                <w:color w:val="000000"/>
                <w:lang w:val="en-IN" w:eastAsia="en-IN"/>
              </w:rPr>
              <w:t>Borrowing</w:t>
            </w:r>
          </w:p>
        </w:tc>
        <w:tc>
          <w:tcPr>
            <w:tcW w:w="3544" w:type="dxa"/>
            <w:shd w:val="clear" w:color="auto" w:fill="auto"/>
            <w:noWrap/>
            <w:vAlign w:val="center"/>
            <w:hideMark/>
          </w:tcPr>
          <w:p w:rsidR="000060C4" w:rsidRPr="000060C4" w:rsidRDefault="000060C4" w:rsidP="005A6914">
            <w:pPr>
              <w:spacing w:after="0" w:line="240" w:lineRule="auto"/>
              <w:jc w:val="center"/>
              <w:rPr>
                <w:rFonts w:ascii="Calibri" w:hAnsi="Calibri" w:cs="Calibri"/>
                <w:color w:val="000000"/>
                <w:lang w:val="en-IN" w:eastAsia="en-IN"/>
              </w:rPr>
            </w:pPr>
            <w:r w:rsidRPr="000060C4">
              <w:rPr>
                <w:rFonts w:ascii="Calibri" w:hAnsi="Calibri" w:cs="Calibri"/>
                <w:color w:val="000000"/>
                <w:lang w:val="en-IN" w:eastAsia="en-IN"/>
              </w:rPr>
              <w:t>2,548.01</w:t>
            </w:r>
          </w:p>
        </w:tc>
      </w:tr>
      <w:tr w:rsidR="000060C4" w:rsidRPr="000060C4" w:rsidTr="00253E66">
        <w:trPr>
          <w:trHeight w:val="330"/>
        </w:trPr>
        <w:tc>
          <w:tcPr>
            <w:tcW w:w="4110" w:type="dxa"/>
            <w:shd w:val="clear" w:color="auto" w:fill="auto"/>
            <w:noWrap/>
            <w:vAlign w:val="center"/>
            <w:hideMark/>
          </w:tcPr>
          <w:p w:rsidR="000060C4" w:rsidRPr="000060C4" w:rsidRDefault="000060C4" w:rsidP="000060C4">
            <w:pPr>
              <w:spacing w:after="0" w:line="240" w:lineRule="auto"/>
              <w:rPr>
                <w:rFonts w:ascii="Calibri" w:hAnsi="Calibri" w:cs="Calibri"/>
                <w:color w:val="000000"/>
                <w:lang w:val="en-IN" w:eastAsia="en-IN"/>
              </w:rPr>
            </w:pPr>
            <w:r w:rsidRPr="000060C4">
              <w:rPr>
                <w:rFonts w:ascii="Calibri" w:hAnsi="Calibri" w:cs="Calibri"/>
                <w:color w:val="000000"/>
                <w:lang w:val="en-IN" w:eastAsia="en-IN"/>
              </w:rPr>
              <w:t>Deferred tax liabilities</w:t>
            </w:r>
          </w:p>
        </w:tc>
        <w:tc>
          <w:tcPr>
            <w:tcW w:w="3544" w:type="dxa"/>
            <w:shd w:val="clear" w:color="auto" w:fill="auto"/>
            <w:noWrap/>
            <w:vAlign w:val="center"/>
            <w:hideMark/>
          </w:tcPr>
          <w:p w:rsidR="000060C4" w:rsidRPr="000060C4" w:rsidRDefault="000060C4" w:rsidP="005A6914">
            <w:pPr>
              <w:spacing w:after="0" w:line="240" w:lineRule="auto"/>
              <w:jc w:val="center"/>
              <w:rPr>
                <w:rFonts w:ascii="Calibri" w:hAnsi="Calibri" w:cs="Calibri"/>
                <w:color w:val="000000"/>
                <w:lang w:val="en-IN" w:eastAsia="en-IN"/>
              </w:rPr>
            </w:pPr>
            <w:r w:rsidRPr="000060C4">
              <w:rPr>
                <w:rFonts w:ascii="Calibri" w:hAnsi="Calibri" w:cs="Calibri"/>
                <w:color w:val="000000"/>
                <w:lang w:val="en-IN" w:eastAsia="en-IN"/>
              </w:rPr>
              <w:t>19.53</w:t>
            </w:r>
          </w:p>
        </w:tc>
      </w:tr>
      <w:tr w:rsidR="000060C4" w:rsidRPr="000060C4" w:rsidTr="00253E66">
        <w:trPr>
          <w:trHeight w:val="330"/>
        </w:trPr>
        <w:tc>
          <w:tcPr>
            <w:tcW w:w="4110" w:type="dxa"/>
            <w:shd w:val="clear" w:color="auto" w:fill="auto"/>
            <w:noWrap/>
            <w:vAlign w:val="center"/>
            <w:hideMark/>
          </w:tcPr>
          <w:p w:rsidR="000060C4" w:rsidRPr="000060C4" w:rsidRDefault="000060C4" w:rsidP="000060C4">
            <w:pPr>
              <w:spacing w:after="0" w:line="240" w:lineRule="auto"/>
              <w:rPr>
                <w:rFonts w:ascii="Calibri" w:hAnsi="Calibri" w:cs="Calibri"/>
                <w:color w:val="000000"/>
                <w:lang w:val="en-IN" w:eastAsia="en-IN"/>
              </w:rPr>
            </w:pPr>
            <w:r w:rsidRPr="000060C4">
              <w:rPr>
                <w:rFonts w:ascii="Calibri" w:hAnsi="Calibri" w:cs="Calibri"/>
                <w:color w:val="000000"/>
                <w:lang w:val="en-IN" w:eastAsia="en-IN"/>
              </w:rPr>
              <w:t>Other non-financial liabilities</w:t>
            </w:r>
          </w:p>
        </w:tc>
        <w:tc>
          <w:tcPr>
            <w:tcW w:w="3544" w:type="dxa"/>
            <w:shd w:val="clear" w:color="auto" w:fill="auto"/>
            <w:noWrap/>
            <w:vAlign w:val="center"/>
            <w:hideMark/>
          </w:tcPr>
          <w:p w:rsidR="000060C4" w:rsidRPr="000060C4" w:rsidRDefault="000060C4" w:rsidP="005A6914">
            <w:pPr>
              <w:spacing w:after="0" w:line="240" w:lineRule="auto"/>
              <w:jc w:val="center"/>
              <w:rPr>
                <w:rFonts w:ascii="Calibri" w:hAnsi="Calibri" w:cs="Calibri"/>
                <w:color w:val="000000"/>
                <w:lang w:val="en-IN" w:eastAsia="en-IN"/>
              </w:rPr>
            </w:pPr>
            <w:r w:rsidRPr="000060C4">
              <w:rPr>
                <w:rFonts w:ascii="Calibri" w:hAnsi="Calibri" w:cs="Calibri"/>
                <w:color w:val="000000"/>
                <w:lang w:val="en-IN" w:eastAsia="en-IN"/>
              </w:rPr>
              <w:t>6.15</w:t>
            </w:r>
          </w:p>
        </w:tc>
      </w:tr>
      <w:tr w:rsidR="000060C4" w:rsidRPr="000060C4" w:rsidTr="00253E66">
        <w:trPr>
          <w:trHeight w:val="330"/>
        </w:trPr>
        <w:tc>
          <w:tcPr>
            <w:tcW w:w="4110" w:type="dxa"/>
            <w:shd w:val="clear" w:color="auto" w:fill="8EAADB" w:themeFill="accent5" w:themeFillTint="99"/>
            <w:noWrap/>
            <w:vAlign w:val="center"/>
            <w:hideMark/>
          </w:tcPr>
          <w:p w:rsidR="000060C4" w:rsidRPr="000060C4" w:rsidRDefault="000060C4" w:rsidP="000060C4">
            <w:pPr>
              <w:spacing w:after="0" w:line="240" w:lineRule="auto"/>
              <w:rPr>
                <w:rFonts w:ascii="Calibri" w:hAnsi="Calibri" w:cs="Calibri"/>
                <w:b/>
                <w:bCs/>
                <w:color w:val="000000"/>
                <w:lang w:val="en-IN" w:eastAsia="en-IN"/>
              </w:rPr>
            </w:pPr>
            <w:r w:rsidRPr="000060C4">
              <w:rPr>
                <w:rFonts w:ascii="Calibri" w:hAnsi="Calibri" w:cs="Calibri"/>
                <w:b/>
                <w:bCs/>
                <w:color w:val="000000"/>
                <w:lang w:val="en-IN" w:eastAsia="en-IN"/>
              </w:rPr>
              <w:t>Total Liabilities</w:t>
            </w:r>
          </w:p>
        </w:tc>
        <w:tc>
          <w:tcPr>
            <w:tcW w:w="3544" w:type="dxa"/>
            <w:shd w:val="clear" w:color="auto" w:fill="8EAADB" w:themeFill="accent5" w:themeFillTint="99"/>
            <w:noWrap/>
            <w:vAlign w:val="center"/>
            <w:hideMark/>
          </w:tcPr>
          <w:p w:rsidR="000060C4" w:rsidRPr="000060C4" w:rsidRDefault="000060C4" w:rsidP="005A6914">
            <w:pPr>
              <w:spacing w:after="0" w:line="240" w:lineRule="auto"/>
              <w:jc w:val="center"/>
              <w:rPr>
                <w:rFonts w:ascii="Calibri" w:hAnsi="Calibri" w:cs="Calibri"/>
                <w:b/>
                <w:bCs/>
                <w:color w:val="000000"/>
                <w:lang w:val="en-IN" w:eastAsia="en-IN"/>
              </w:rPr>
            </w:pPr>
            <w:r w:rsidRPr="000060C4">
              <w:rPr>
                <w:rFonts w:ascii="Calibri" w:hAnsi="Calibri" w:cs="Calibri"/>
                <w:b/>
                <w:bCs/>
                <w:color w:val="000000"/>
                <w:lang w:val="en-IN" w:eastAsia="en-IN"/>
              </w:rPr>
              <w:t>2,573.69</w:t>
            </w:r>
          </w:p>
        </w:tc>
      </w:tr>
      <w:tr w:rsidR="000060C4" w:rsidRPr="000060C4" w:rsidTr="00253E66">
        <w:trPr>
          <w:trHeight w:val="330"/>
        </w:trPr>
        <w:tc>
          <w:tcPr>
            <w:tcW w:w="4110" w:type="dxa"/>
            <w:shd w:val="clear" w:color="auto" w:fill="auto"/>
            <w:noWrap/>
            <w:vAlign w:val="center"/>
            <w:hideMark/>
          </w:tcPr>
          <w:p w:rsidR="000060C4" w:rsidRPr="000060C4" w:rsidRDefault="000060C4" w:rsidP="000060C4">
            <w:pPr>
              <w:spacing w:after="0" w:line="240" w:lineRule="auto"/>
              <w:rPr>
                <w:rFonts w:ascii="Calibri" w:hAnsi="Calibri" w:cs="Calibri"/>
                <w:b/>
                <w:bCs/>
                <w:color w:val="000000"/>
                <w:lang w:val="en-IN" w:eastAsia="en-IN"/>
              </w:rPr>
            </w:pPr>
            <w:r w:rsidRPr="000060C4">
              <w:rPr>
                <w:rFonts w:ascii="Calibri" w:hAnsi="Calibri" w:cs="Calibri"/>
                <w:b/>
                <w:bCs/>
                <w:color w:val="000000"/>
                <w:lang w:val="en-IN" w:eastAsia="en-IN"/>
              </w:rPr>
              <w:t>Net Asset Value</w:t>
            </w:r>
          </w:p>
        </w:tc>
        <w:tc>
          <w:tcPr>
            <w:tcW w:w="3544" w:type="dxa"/>
            <w:shd w:val="clear" w:color="auto" w:fill="auto"/>
            <w:noWrap/>
            <w:vAlign w:val="center"/>
            <w:hideMark/>
          </w:tcPr>
          <w:p w:rsidR="000060C4" w:rsidRPr="000060C4" w:rsidRDefault="000060C4" w:rsidP="005A6914">
            <w:pPr>
              <w:spacing w:after="0" w:line="240" w:lineRule="auto"/>
              <w:jc w:val="center"/>
              <w:rPr>
                <w:rFonts w:ascii="Calibri" w:hAnsi="Calibri" w:cs="Calibri"/>
                <w:b/>
                <w:bCs/>
                <w:color w:val="000000"/>
                <w:lang w:val="en-IN" w:eastAsia="en-IN"/>
              </w:rPr>
            </w:pPr>
            <w:r w:rsidRPr="000060C4">
              <w:rPr>
                <w:rFonts w:ascii="Calibri" w:hAnsi="Calibri" w:cs="Calibri"/>
                <w:b/>
                <w:bCs/>
                <w:color w:val="000000"/>
                <w:lang w:val="en-IN" w:eastAsia="en-IN"/>
              </w:rPr>
              <w:t>377.89</w:t>
            </w:r>
          </w:p>
        </w:tc>
      </w:tr>
      <w:tr w:rsidR="000060C4" w:rsidRPr="000060C4" w:rsidTr="00253E66">
        <w:trPr>
          <w:trHeight w:val="330"/>
        </w:trPr>
        <w:tc>
          <w:tcPr>
            <w:tcW w:w="4110" w:type="dxa"/>
            <w:shd w:val="clear" w:color="auto" w:fill="auto"/>
            <w:noWrap/>
            <w:vAlign w:val="center"/>
            <w:hideMark/>
          </w:tcPr>
          <w:p w:rsidR="000060C4" w:rsidRPr="001B5B21" w:rsidRDefault="000060C4" w:rsidP="000060C4">
            <w:pPr>
              <w:spacing w:after="0" w:line="240" w:lineRule="auto"/>
              <w:rPr>
                <w:rFonts w:ascii="Calibri" w:hAnsi="Calibri" w:cs="Calibri"/>
                <w:b/>
                <w:bCs/>
                <w:color w:val="000000"/>
                <w:lang w:val="en-IN" w:eastAsia="en-IN"/>
              </w:rPr>
            </w:pPr>
            <w:r w:rsidRPr="001B5B21">
              <w:rPr>
                <w:rFonts w:ascii="Calibri" w:hAnsi="Calibri" w:cs="Calibri"/>
                <w:b/>
                <w:bCs/>
                <w:color w:val="000000"/>
                <w:lang w:val="en-IN" w:eastAsia="en-IN"/>
              </w:rPr>
              <w:t>No. of shares (in crores)</w:t>
            </w:r>
          </w:p>
        </w:tc>
        <w:tc>
          <w:tcPr>
            <w:tcW w:w="3544" w:type="dxa"/>
            <w:shd w:val="clear" w:color="auto" w:fill="auto"/>
            <w:noWrap/>
            <w:vAlign w:val="center"/>
            <w:hideMark/>
          </w:tcPr>
          <w:p w:rsidR="000060C4" w:rsidRPr="001B5B21" w:rsidRDefault="000060C4" w:rsidP="005A6914">
            <w:pPr>
              <w:spacing w:after="0" w:line="240" w:lineRule="auto"/>
              <w:jc w:val="center"/>
              <w:rPr>
                <w:rFonts w:ascii="Calibri" w:hAnsi="Calibri" w:cs="Calibri"/>
                <w:b/>
                <w:bCs/>
                <w:color w:val="000000"/>
                <w:lang w:val="en-IN" w:eastAsia="en-IN"/>
              </w:rPr>
            </w:pPr>
            <w:r w:rsidRPr="001B5B21">
              <w:rPr>
                <w:rFonts w:ascii="Calibri" w:hAnsi="Calibri" w:cs="Calibri"/>
                <w:b/>
                <w:bCs/>
                <w:color w:val="000000"/>
                <w:lang w:val="en-IN" w:eastAsia="en-IN"/>
              </w:rPr>
              <w:t>87.00</w:t>
            </w:r>
          </w:p>
        </w:tc>
      </w:tr>
      <w:tr w:rsidR="000060C4" w:rsidRPr="000060C4" w:rsidTr="00253E66">
        <w:trPr>
          <w:trHeight w:val="330"/>
        </w:trPr>
        <w:tc>
          <w:tcPr>
            <w:tcW w:w="4110" w:type="dxa"/>
            <w:shd w:val="clear" w:color="auto" w:fill="002060"/>
            <w:noWrap/>
            <w:vAlign w:val="center"/>
            <w:hideMark/>
          </w:tcPr>
          <w:p w:rsidR="000060C4" w:rsidRPr="001B5B21" w:rsidRDefault="000060C4" w:rsidP="000060C4">
            <w:pPr>
              <w:spacing w:after="0" w:line="240" w:lineRule="auto"/>
              <w:rPr>
                <w:rFonts w:ascii="Calibri" w:hAnsi="Calibri" w:cs="Calibri"/>
                <w:b/>
                <w:bCs/>
                <w:color w:val="FFFFFF" w:themeColor="background1"/>
                <w:lang w:val="en-IN" w:eastAsia="en-IN"/>
              </w:rPr>
            </w:pPr>
            <w:r w:rsidRPr="001B5B21">
              <w:rPr>
                <w:rFonts w:ascii="Calibri" w:hAnsi="Calibri" w:cs="Calibri"/>
                <w:b/>
                <w:bCs/>
                <w:color w:val="FFFFFF" w:themeColor="background1"/>
                <w:lang w:val="en-IN" w:eastAsia="en-IN"/>
              </w:rPr>
              <w:t>Book value per share (Rs.)</w:t>
            </w:r>
          </w:p>
        </w:tc>
        <w:tc>
          <w:tcPr>
            <w:tcW w:w="3544" w:type="dxa"/>
            <w:shd w:val="clear" w:color="auto" w:fill="002060"/>
            <w:noWrap/>
            <w:vAlign w:val="center"/>
            <w:hideMark/>
          </w:tcPr>
          <w:p w:rsidR="000060C4" w:rsidRPr="001B5B21" w:rsidRDefault="000060C4" w:rsidP="005A6914">
            <w:pPr>
              <w:spacing w:after="0" w:line="240" w:lineRule="auto"/>
              <w:jc w:val="center"/>
              <w:rPr>
                <w:rFonts w:ascii="Calibri" w:hAnsi="Calibri" w:cs="Calibri"/>
                <w:b/>
                <w:bCs/>
                <w:color w:val="FFFFFF" w:themeColor="background1"/>
                <w:lang w:val="en-IN" w:eastAsia="en-IN"/>
              </w:rPr>
            </w:pPr>
            <w:r w:rsidRPr="001B5B21">
              <w:rPr>
                <w:rFonts w:ascii="Calibri" w:hAnsi="Calibri" w:cs="Calibri"/>
                <w:b/>
                <w:bCs/>
                <w:color w:val="FFFFFF" w:themeColor="background1"/>
                <w:lang w:val="en-IN" w:eastAsia="en-IN"/>
              </w:rPr>
              <w:t>4.34</w:t>
            </w:r>
          </w:p>
        </w:tc>
      </w:tr>
    </w:tbl>
    <w:p w:rsidR="001B5B21" w:rsidRDefault="001B5B21" w:rsidP="001B5B21">
      <w:pPr>
        <w:pStyle w:val="ListParagraph"/>
        <w:spacing w:after="0" w:line="360" w:lineRule="auto"/>
        <w:ind w:left="284" w:right="-613"/>
        <w:jc w:val="both"/>
        <w:rPr>
          <w:rFonts w:ascii="Arial" w:hAnsi="Arial" w:cs="Arial"/>
          <w:b/>
          <w:sz w:val="22"/>
          <w:lang w:val="en-IN"/>
        </w:rPr>
      </w:pPr>
    </w:p>
    <w:p w:rsidR="005A6914" w:rsidRDefault="005A6914" w:rsidP="005A6914">
      <w:pPr>
        <w:pStyle w:val="ListParagraph"/>
        <w:spacing w:line="360" w:lineRule="auto"/>
        <w:ind w:left="284" w:right="-613"/>
        <w:jc w:val="both"/>
        <w:rPr>
          <w:rFonts w:ascii="Arial" w:hAnsi="Arial" w:cs="Arial"/>
          <w:b/>
          <w:sz w:val="22"/>
          <w:lang w:val="en-IN"/>
        </w:rPr>
      </w:pPr>
      <w:r>
        <w:rPr>
          <w:rFonts w:ascii="Arial" w:hAnsi="Arial" w:cs="Arial"/>
          <w:b/>
          <w:sz w:val="22"/>
          <w:lang w:val="en-IN"/>
        </w:rPr>
        <w:t>Net Asset Value (NAV) of the company is being calculated as INR 377.89 Crore, which has been divi</w:t>
      </w:r>
      <w:r w:rsidR="005B4E6C">
        <w:rPr>
          <w:rFonts w:ascii="Arial" w:hAnsi="Arial" w:cs="Arial"/>
          <w:b/>
          <w:sz w:val="22"/>
          <w:lang w:val="en-IN"/>
        </w:rPr>
        <w:t>ded by the Number of shares pre</w:t>
      </w:r>
      <w:r>
        <w:rPr>
          <w:rFonts w:ascii="Arial" w:hAnsi="Arial" w:cs="Arial"/>
          <w:b/>
          <w:sz w:val="22"/>
          <w:lang w:val="en-IN"/>
        </w:rPr>
        <w:t>-restructure (87 Crore Shares).</w:t>
      </w:r>
    </w:p>
    <w:p w:rsidR="005A6914" w:rsidRDefault="005A6914" w:rsidP="00F6083B">
      <w:pPr>
        <w:pStyle w:val="ListParagraph"/>
        <w:spacing w:after="0" w:line="360" w:lineRule="auto"/>
        <w:ind w:left="284" w:right="-613"/>
        <w:jc w:val="both"/>
        <w:rPr>
          <w:rFonts w:ascii="Arial" w:hAnsi="Arial" w:cs="Arial"/>
          <w:b/>
          <w:sz w:val="22"/>
          <w:szCs w:val="22"/>
        </w:rPr>
      </w:pPr>
      <w:r w:rsidRPr="005B4E6C">
        <w:rPr>
          <w:rFonts w:ascii="Arial" w:hAnsi="Arial" w:cs="Arial"/>
          <w:b/>
          <w:sz w:val="22"/>
          <w:lang w:val="en-IN"/>
        </w:rPr>
        <w:t xml:space="preserve">Thus we get the per share value as INR 4.34 subject to the </w:t>
      </w:r>
      <w:r w:rsidR="005B4E6C" w:rsidRPr="005B4E6C">
        <w:rPr>
          <w:rFonts w:ascii="Arial" w:hAnsi="Arial" w:cs="Arial"/>
          <w:b/>
          <w:sz w:val="22"/>
          <w:szCs w:val="22"/>
          <w:lang w:val="en-IN"/>
        </w:rPr>
        <w:t>Provision 158 (6) (a) of Chapter V Preferential Issue of SEBI ICDR which in turn refers to RBI June 07, 2019 Circular Clause 32</w:t>
      </w:r>
      <w:r w:rsidR="001B5B21" w:rsidRPr="005B4E6C">
        <w:rPr>
          <w:rFonts w:ascii="Arial" w:hAnsi="Arial" w:cs="Arial"/>
          <w:b/>
          <w:sz w:val="22"/>
          <w:szCs w:val="22"/>
        </w:rPr>
        <w:t>.</w:t>
      </w:r>
    </w:p>
    <w:p w:rsidR="00F6083B" w:rsidRPr="005B4E6C" w:rsidRDefault="00F6083B" w:rsidP="005B4E6C">
      <w:pPr>
        <w:spacing w:after="0" w:line="360" w:lineRule="auto"/>
        <w:ind w:right="-613"/>
        <w:jc w:val="both"/>
        <w:rPr>
          <w:rFonts w:ascii="Arial" w:hAnsi="Arial" w:cs="Arial"/>
          <w:b/>
          <w:sz w:val="22"/>
          <w:lang w:val="en-IN"/>
        </w:rPr>
      </w:pPr>
    </w:p>
    <w:p w:rsidR="00B16F9D" w:rsidRDefault="000060C4" w:rsidP="00A0081D">
      <w:pPr>
        <w:pStyle w:val="ListParagraph"/>
        <w:numPr>
          <w:ilvl w:val="0"/>
          <w:numId w:val="16"/>
        </w:numPr>
        <w:spacing w:line="360" w:lineRule="auto"/>
        <w:ind w:left="284" w:right="-613" w:hanging="426"/>
        <w:jc w:val="both"/>
        <w:rPr>
          <w:rFonts w:ascii="Arial" w:hAnsi="Arial" w:cs="Arial"/>
          <w:b/>
          <w:sz w:val="22"/>
          <w:lang w:val="en-IN"/>
        </w:rPr>
      </w:pPr>
      <w:r>
        <w:rPr>
          <w:rFonts w:ascii="Arial" w:hAnsi="Arial" w:cs="Arial"/>
          <w:b/>
          <w:sz w:val="22"/>
          <w:lang w:val="en-IN"/>
        </w:rPr>
        <w:t>BOOK VALUE PER SHARE</w:t>
      </w:r>
      <w:r w:rsidR="00B16F9D">
        <w:rPr>
          <w:rFonts w:ascii="Arial" w:hAnsi="Arial" w:cs="Arial"/>
          <w:b/>
          <w:sz w:val="22"/>
          <w:lang w:val="en-IN"/>
        </w:rPr>
        <w:t>:</w:t>
      </w:r>
    </w:p>
    <w:tbl>
      <w:tblPr>
        <w:tblpPr w:leftFromText="180" w:rightFromText="180" w:vertAnchor="text" w:horzAnchor="margin" w:tblpX="392" w:tblpY="127"/>
        <w:tblW w:w="9322" w:type="dxa"/>
        <w:tblLook w:val="04A0" w:firstRow="1" w:lastRow="0" w:firstColumn="1" w:lastColumn="0" w:noHBand="0" w:noVBand="1"/>
      </w:tblPr>
      <w:tblGrid>
        <w:gridCol w:w="9322"/>
      </w:tblGrid>
      <w:tr w:rsidR="00B16F9D" w:rsidRPr="00B21955" w:rsidTr="00492E80">
        <w:trPr>
          <w:trHeight w:val="414"/>
        </w:trPr>
        <w:tc>
          <w:tcPr>
            <w:tcW w:w="9322"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B16F9D" w:rsidRPr="00B21955" w:rsidRDefault="000060C4" w:rsidP="000060C4">
            <w:pPr>
              <w:jc w:val="center"/>
              <w:rPr>
                <w:rFonts w:ascii="Arial" w:hAnsi="Arial" w:cs="Arial"/>
                <w:b/>
                <w:bCs/>
                <w:color w:val="FFFFFF"/>
                <w:sz w:val="22"/>
                <w:szCs w:val="22"/>
              </w:rPr>
            </w:pPr>
            <w:r>
              <w:rPr>
                <w:rFonts w:ascii="Arial" w:hAnsi="Arial" w:cs="Arial"/>
                <w:b/>
                <w:bCs/>
                <w:color w:val="FFFFFF"/>
                <w:sz w:val="22"/>
                <w:szCs w:val="22"/>
              </w:rPr>
              <w:t xml:space="preserve">BOOK </w:t>
            </w:r>
            <w:r w:rsidR="00B16F9D" w:rsidRPr="00B21955">
              <w:rPr>
                <w:rFonts w:ascii="Arial" w:hAnsi="Arial" w:cs="Arial"/>
                <w:b/>
                <w:bCs/>
                <w:color w:val="FFFFFF"/>
                <w:sz w:val="22"/>
                <w:szCs w:val="22"/>
              </w:rPr>
              <w:t>V</w:t>
            </w:r>
            <w:r w:rsidR="00B16F9D">
              <w:rPr>
                <w:rFonts w:ascii="Arial" w:hAnsi="Arial" w:cs="Arial"/>
                <w:b/>
                <w:bCs/>
                <w:color w:val="FFFFFF"/>
                <w:sz w:val="22"/>
                <w:szCs w:val="22"/>
              </w:rPr>
              <w:t xml:space="preserve">ALUE </w:t>
            </w:r>
            <w:r>
              <w:rPr>
                <w:rFonts w:ascii="Arial" w:hAnsi="Arial" w:cs="Arial"/>
                <w:b/>
                <w:bCs/>
                <w:color w:val="FFFFFF"/>
                <w:sz w:val="22"/>
                <w:szCs w:val="22"/>
              </w:rPr>
              <w:t>PER SHARE</w:t>
            </w:r>
            <w:r w:rsidR="00B16F9D">
              <w:rPr>
                <w:rFonts w:ascii="Arial" w:hAnsi="Arial" w:cs="Arial"/>
                <w:b/>
                <w:bCs/>
                <w:color w:val="FFFFFF"/>
                <w:sz w:val="22"/>
                <w:szCs w:val="22"/>
              </w:rPr>
              <w:t xml:space="preserve"> </w:t>
            </w:r>
            <w:r>
              <w:rPr>
                <w:rFonts w:ascii="Arial" w:hAnsi="Arial" w:cs="Arial"/>
                <w:b/>
                <w:bCs/>
                <w:color w:val="FFFFFF"/>
                <w:sz w:val="22"/>
                <w:szCs w:val="22"/>
              </w:rPr>
              <w:t>OF M/S GMR WARORA ENERGY</w:t>
            </w:r>
            <w:r w:rsidR="00B16F9D" w:rsidRPr="00B21955">
              <w:rPr>
                <w:rFonts w:ascii="Arial" w:hAnsi="Arial" w:cs="Arial"/>
                <w:b/>
                <w:bCs/>
                <w:color w:val="FFFFFF"/>
                <w:sz w:val="22"/>
                <w:szCs w:val="22"/>
              </w:rPr>
              <w:t xml:space="preserve"> LIMTED</w:t>
            </w:r>
          </w:p>
        </w:tc>
      </w:tr>
      <w:tr w:rsidR="00B16F9D" w:rsidRPr="00B21955" w:rsidTr="00492E80">
        <w:trPr>
          <w:trHeight w:val="411"/>
        </w:trPr>
        <w:tc>
          <w:tcPr>
            <w:tcW w:w="9322" w:type="dxa"/>
            <w:tcBorders>
              <w:top w:val="nil"/>
              <w:left w:val="single" w:sz="4" w:space="0" w:color="auto"/>
              <w:bottom w:val="single" w:sz="4" w:space="0" w:color="auto"/>
              <w:right w:val="single" w:sz="4" w:space="0" w:color="auto"/>
            </w:tcBorders>
            <w:shd w:val="clear" w:color="auto" w:fill="auto"/>
            <w:noWrap/>
            <w:vAlign w:val="center"/>
            <w:hideMark/>
          </w:tcPr>
          <w:p w:rsidR="00B16F9D" w:rsidRPr="00B21955" w:rsidRDefault="000060C4" w:rsidP="00492E80">
            <w:pPr>
              <w:jc w:val="center"/>
              <w:rPr>
                <w:rFonts w:ascii="Arial" w:hAnsi="Arial" w:cs="Arial"/>
                <w:b/>
                <w:color w:val="000000"/>
                <w:sz w:val="22"/>
                <w:szCs w:val="22"/>
                <w:lang w:val="en-IN"/>
              </w:rPr>
            </w:pPr>
            <w:r>
              <w:rPr>
                <w:rFonts w:ascii="Arial" w:hAnsi="Arial" w:cs="Arial"/>
                <w:b/>
                <w:sz w:val="22"/>
                <w:szCs w:val="22"/>
              </w:rPr>
              <w:t>INR 4.34 PER SHARE</w:t>
            </w:r>
            <w:r w:rsidR="00B16F9D" w:rsidRPr="00B21955">
              <w:rPr>
                <w:rFonts w:ascii="Arial" w:hAnsi="Arial" w:cs="Arial"/>
                <w:b/>
                <w:sz w:val="22"/>
                <w:szCs w:val="22"/>
              </w:rPr>
              <w:t xml:space="preserve">  (INR </w:t>
            </w:r>
            <w:r>
              <w:rPr>
                <w:rFonts w:ascii="Arial" w:hAnsi="Arial" w:cs="Arial"/>
                <w:b/>
                <w:sz w:val="22"/>
                <w:szCs w:val="22"/>
              </w:rPr>
              <w:t>4.34 Per Share</w:t>
            </w:r>
            <w:r w:rsidR="00B16F9D" w:rsidRPr="00B21955">
              <w:rPr>
                <w:rFonts w:ascii="Arial" w:hAnsi="Arial" w:cs="Arial"/>
                <w:b/>
                <w:sz w:val="22"/>
                <w:szCs w:val="22"/>
              </w:rPr>
              <w:t>)</w:t>
            </w:r>
          </w:p>
        </w:tc>
      </w:tr>
    </w:tbl>
    <w:p w:rsidR="00B16F9D" w:rsidRPr="00B56877" w:rsidRDefault="00B16F9D" w:rsidP="00B16F9D">
      <w:pPr>
        <w:pBdr>
          <w:top w:val="nil"/>
          <w:left w:val="nil"/>
          <w:bottom w:val="nil"/>
          <w:right w:val="nil"/>
          <w:between w:val="nil"/>
        </w:pBdr>
        <w:spacing w:line="276" w:lineRule="auto"/>
        <w:ind w:left="142"/>
        <w:rPr>
          <w:rFonts w:ascii="Arial" w:hAnsi="Arial" w:cs="Arial"/>
          <w:b/>
          <w:sz w:val="22"/>
          <w:lang w:val="en-IN"/>
        </w:rPr>
      </w:pPr>
    </w:p>
    <w:p w:rsidR="004161E5" w:rsidRDefault="000060C4" w:rsidP="004161E5">
      <w:pPr>
        <w:spacing w:line="360" w:lineRule="auto"/>
        <w:ind w:left="284" w:right="-733"/>
        <w:jc w:val="both"/>
        <w:rPr>
          <w:rFonts w:ascii="Arial" w:hAnsi="Arial" w:cs="Arial"/>
          <w:b/>
          <w:sz w:val="22"/>
          <w:lang w:val="en-IN"/>
        </w:rPr>
      </w:pPr>
      <w:r>
        <w:rPr>
          <w:rFonts w:ascii="Arial" w:hAnsi="Arial" w:cs="Arial"/>
          <w:b/>
          <w:sz w:val="22"/>
          <w:lang w:val="en-IN"/>
        </w:rPr>
        <w:t xml:space="preserve">Hence the “Book </w:t>
      </w:r>
      <w:r w:rsidR="00486774">
        <w:rPr>
          <w:rFonts w:ascii="Arial" w:hAnsi="Arial" w:cs="Arial"/>
          <w:b/>
          <w:sz w:val="22"/>
          <w:lang w:val="en-IN"/>
        </w:rPr>
        <w:t>Value</w:t>
      </w:r>
      <w:r>
        <w:rPr>
          <w:rFonts w:ascii="Arial" w:hAnsi="Arial" w:cs="Arial"/>
          <w:b/>
          <w:sz w:val="22"/>
          <w:lang w:val="en-IN"/>
        </w:rPr>
        <w:t xml:space="preserve"> per share</w:t>
      </w:r>
      <w:r w:rsidR="00486774">
        <w:rPr>
          <w:rFonts w:ascii="Arial" w:hAnsi="Arial" w:cs="Arial"/>
          <w:b/>
          <w:sz w:val="22"/>
          <w:lang w:val="en-IN"/>
        </w:rPr>
        <w:t xml:space="preserve">” </w:t>
      </w:r>
      <w:r w:rsidR="00253E66">
        <w:rPr>
          <w:rFonts w:ascii="Arial" w:hAnsi="Arial" w:cs="Arial"/>
          <w:b/>
          <w:sz w:val="22"/>
          <w:lang w:val="en-IN"/>
        </w:rPr>
        <w:t>for th</w:t>
      </w:r>
      <w:r w:rsidR="00253E66" w:rsidRPr="00253E66">
        <w:rPr>
          <w:rFonts w:ascii="Arial" w:hAnsi="Arial" w:cs="Arial"/>
          <w:b/>
          <w:sz w:val="22"/>
          <w:lang w:val="en-IN"/>
        </w:rPr>
        <w:t>e overdue Interest of Rs. 33 Cr</w:t>
      </w:r>
      <w:r w:rsidR="00253E66">
        <w:rPr>
          <w:rFonts w:ascii="Arial" w:hAnsi="Arial" w:cs="Arial"/>
          <w:b/>
          <w:sz w:val="22"/>
          <w:lang w:val="en-IN"/>
        </w:rPr>
        <w:t xml:space="preserve"> of</w:t>
      </w:r>
      <w:r w:rsidR="00253E66" w:rsidRPr="00253E66">
        <w:rPr>
          <w:rFonts w:ascii="Arial" w:hAnsi="Arial" w:cs="Arial"/>
          <w:b/>
          <w:sz w:val="22"/>
          <w:lang w:val="en-IN"/>
        </w:rPr>
        <w:t xml:space="preserve"> </w:t>
      </w:r>
      <w:r w:rsidR="00486774">
        <w:rPr>
          <w:rFonts w:ascii="Arial" w:hAnsi="Arial" w:cs="Arial"/>
          <w:b/>
          <w:sz w:val="22"/>
          <w:lang w:val="en-IN"/>
        </w:rPr>
        <w:t xml:space="preserve">“M/s </w:t>
      </w:r>
      <w:r w:rsidR="004F1865">
        <w:rPr>
          <w:rFonts w:ascii="Arial" w:hAnsi="Arial" w:cs="Arial"/>
          <w:b/>
          <w:sz w:val="22"/>
          <w:lang w:val="en-IN"/>
        </w:rPr>
        <w:t>GMR Warora Energy</w:t>
      </w:r>
      <w:r w:rsidR="00486774">
        <w:rPr>
          <w:rFonts w:ascii="Arial" w:hAnsi="Arial" w:cs="Arial"/>
          <w:b/>
          <w:sz w:val="22"/>
          <w:lang w:val="en-IN"/>
        </w:rPr>
        <w:t xml:space="preserve"> Limited” i</w:t>
      </w:r>
      <w:r w:rsidR="004F1865">
        <w:rPr>
          <w:rFonts w:ascii="Arial" w:hAnsi="Arial" w:cs="Arial"/>
          <w:b/>
          <w:sz w:val="22"/>
          <w:lang w:val="en-IN"/>
        </w:rPr>
        <w:t>s INR 4.34</w:t>
      </w:r>
      <w:r w:rsidR="005B4E6C">
        <w:rPr>
          <w:rFonts w:ascii="Arial" w:hAnsi="Arial" w:cs="Arial"/>
          <w:b/>
          <w:sz w:val="22"/>
          <w:lang w:val="en-IN"/>
        </w:rPr>
        <w:t xml:space="preserve"> and company is required to issue 7.60 Crore Shares post-restructure</w:t>
      </w:r>
      <w:r w:rsidR="00486774">
        <w:rPr>
          <w:rFonts w:ascii="Arial" w:hAnsi="Arial" w:cs="Arial"/>
          <w:b/>
          <w:sz w:val="22"/>
          <w:lang w:val="en-IN"/>
        </w:rPr>
        <w:t>.</w:t>
      </w:r>
    </w:p>
    <w:p w:rsidR="00951BB1" w:rsidRPr="00F229E8" w:rsidRDefault="00486774" w:rsidP="00F229E8">
      <w:pPr>
        <w:autoSpaceDE w:val="0"/>
        <w:autoSpaceDN w:val="0"/>
        <w:adjustRightInd w:val="0"/>
        <w:spacing w:line="360" w:lineRule="auto"/>
        <w:ind w:left="284" w:right="-733"/>
        <w:jc w:val="both"/>
        <w:rPr>
          <w:rFonts w:ascii="Arial" w:hAnsi="Arial" w:cs="Arial"/>
          <w:i/>
          <w:sz w:val="22"/>
        </w:rPr>
      </w:pPr>
      <w:r w:rsidRPr="009B7608">
        <w:rPr>
          <w:rFonts w:ascii="Arial" w:hAnsi="Arial" w:cs="Arial"/>
          <w:i/>
          <w:sz w:val="22"/>
        </w:rPr>
        <w:t>This i</w:t>
      </w:r>
      <w:r>
        <w:rPr>
          <w:rFonts w:ascii="Arial" w:hAnsi="Arial" w:cs="Arial"/>
          <w:i/>
          <w:sz w:val="22"/>
        </w:rPr>
        <w:t>s</w:t>
      </w:r>
      <w:r w:rsidRPr="009B7608">
        <w:rPr>
          <w:rFonts w:ascii="Arial" w:hAnsi="Arial" w:cs="Arial"/>
          <w:i/>
          <w:sz w:val="22"/>
        </w:rPr>
        <w:t xml:space="preserve"> only a general assessment</w:t>
      </w:r>
      <w:r w:rsidR="006E09C2">
        <w:rPr>
          <w:rFonts w:ascii="Arial" w:hAnsi="Arial" w:cs="Arial"/>
          <w:i/>
          <w:sz w:val="22"/>
        </w:rPr>
        <w:t xml:space="preserve"> t</w:t>
      </w:r>
      <w:r w:rsidR="006E09C2" w:rsidRPr="006E09C2">
        <w:rPr>
          <w:rFonts w:ascii="Arial" w:hAnsi="Arial" w:cs="Arial"/>
          <w:i/>
          <w:sz w:val="22"/>
        </w:rPr>
        <w:t>o determine the conversion pric</w:t>
      </w:r>
      <w:r w:rsidR="006E09C2">
        <w:rPr>
          <w:rFonts w:ascii="Arial" w:hAnsi="Arial" w:cs="Arial"/>
          <w:i/>
          <w:sz w:val="22"/>
        </w:rPr>
        <w:t>e of the overdue interest of INR</w:t>
      </w:r>
      <w:r w:rsidR="006E09C2" w:rsidRPr="006E09C2">
        <w:rPr>
          <w:rFonts w:ascii="Arial" w:hAnsi="Arial" w:cs="Arial"/>
          <w:i/>
          <w:sz w:val="22"/>
        </w:rPr>
        <w:t xml:space="preserve"> 33</w:t>
      </w:r>
      <w:r w:rsidR="006E09C2">
        <w:rPr>
          <w:rFonts w:ascii="Arial" w:hAnsi="Arial" w:cs="Arial"/>
          <w:i/>
          <w:sz w:val="22"/>
        </w:rPr>
        <w:t>.00</w:t>
      </w:r>
      <w:r w:rsidR="006E09C2" w:rsidRPr="006E09C2">
        <w:rPr>
          <w:rFonts w:ascii="Arial" w:hAnsi="Arial" w:cs="Arial"/>
          <w:i/>
          <w:sz w:val="22"/>
        </w:rPr>
        <w:t xml:space="preserve"> Cr</w:t>
      </w:r>
      <w:r w:rsidR="006E09C2">
        <w:rPr>
          <w:rFonts w:ascii="Arial" w:hAnsi="Arial" w:cs="Arial"/>
          <w:i/>
          <w:sz w:val="22"/>
        </w:rPr>
        <w:t>ore,</w:t>
      </w:r>
      <w:r w:rsidR="006E09C2" w:rsidRPr="006E09C2">
        <w:rPr>
          <w:rFonts w:ascii="Arial" w:hAnsi="Arial" w:cs="Arial"/>
          <w:i/>
          <w:sz w:val="22"/>
        </w:rPr>
        <w:t xml:space="preserve"> proposed to be converted to equity</w:t>
      </w:r>
      <w:r w:rsidRPr="009B7608">
        <w:rPr>
          <w:rFonts w:ascii="Arial" w:hAnsi="Arial" w:cs="Arial"/>
          <w:i/>
          <w:sz w:val="22"/>
        </w:rPr>
        <w:t xml:space="preserve"> </w:t>
      </w:r>
      <w:r w:rsidR="008D41AD">
        <w:rPr>
          <w:rFonts w:ascii="Arial" w:hAnsi="Arial" w:cs="Arial"/>
          <w:i/>
          <w:sz w:val="22"/>
        </w:rPr>
        <w:t>a</w:t>
      </w:r>
      <w:r w:rsidR="008D41AD" w:rsidRPr="008D41AD">
        <w:rPr>
          <w:rFonts w:ascii="Arial" w:hAnsi="Arial" w:cs="Arial"/>
          <w:i/>
          <w:sz w:val="22"/>
        </w:rPr>
        <w:t xml:space="preserve">s per </w:t>
      </w:r>
      <w:r w:rsidR="006E09C2" w:rsidRPr="006E09C2">
        <w:rPr>
          <w:rFonts w:ascii="Arial" w:hAnsi="Arial" w:cs="Arial"/>
          <w:i/>
          <w:sz w:val="22"/>
          <w:szCs w:val="22"/>
          <w:lang w:val="en-IN"/>
        </w:rPr>
        <w:t xml:space="preserve">the Provision 158 (6) (a) of Chapter V Preferential Issue of SEBI ICDR, which in turn refers to </w:t>
      </w:r>
      <w:r w:rsidR="006E09C2" w:rsidRPr="006E09C2">
        <w:rPr>
          <w:rFonts w:ascii="Arial" w:hAnsi="Arial" w:cs="Arial"/>
          <w:i/>
          <w:sz w:val="22"/>
        </w:rPr>
        <w:t xml:space="preserve">the </w:t>
      </w:r>
      <w:r w:rsidR="006E09C2" w:rsidRPr="006E09C2">
        <w:rPr>
          <w:rFonts w:ascii="Arial" w:hAnsi="Arial" w:cs="Arial"/>
          <w:i/>
          <w:sz w:val="22"/>
          <w:szCs w:val="22"/>
        </w:rPr>
        <w:t xml:space="preserve">Prudential Framework for Resolution of Stressed Assets vide RBI Circular dated June 07, 2019 </w:t>
      </w:r>
      <w:r w:rsidR="006E09C2" w:rsidRPr="006E09C2">
        <w:rPr>
          <w:rFonts w:ascii="Arial" w:hAnsi="Arial" w:cs="Arial"/>
          <w:i/>
          <w:sz w:val="22"/>
          <w:szCs w:val="22"/>
          <w:lang w:val="en-IN"/>
        </w:rPr>
        <w:t>Clause 32</w:t>
      </w:r>
      <w:r w:rsidR="004F1865">
        <w:rPr>
          <w:rFonts w:ascii="Arial" w:hAnsi="Arial" w:cs="Arial"/>
          <w:sz w:val="22"/>
          <w:szCs w:val="22"/>
        </w:rPr>
        <w:t xml:space="preserve"> and </w:t>
      </w:r>
      <w:r>
        <w:rPr>
          <w:rFonts w:ascii="Arial" w:hAnsi="Arial" w:cs="Arial"/>
          <w:i/>
          <w:sz w:val="22"/>
        </w:rPr>
        <w:t>the data/ input that the</w:t>
      </w:r>
      <w:r w:rsidRPr="009B7608">
        <w:rPr>
          <w:rFonts w:ascii="Arial" w:hAnsi="Arial" w:cs="Arial"/>
          <w:i/>
          <w:sz w:val="22"/>
        </w:rPr>
        <w:t xml:space="preserve"> </w:t>
      </w:r>
      <w:r>
        <w:rPr>
          <w:rFonts w:ascii="Arial" w:hAnsi="Arial" w:cs="Arial"/>
          <w:i/>
          <w:iCs/>
          <w:sz w:val="22"/>
        </w:rPr>
        <w:t>Bank/Client/Company</w:t>
      </w:r>
      <w:r w:rsidRPr="009B7608">
        <w:rPr>
          <w:rFonts w:ascii="Arial" w:hAnsi="Arial" w:cs="Arial"/>
          <w:i/>
          <w:sz w:val="22"/>
        </w:rPr>
        <w:t xml:space="preserve"> could provide to us against our questions/ queries</w:t>
      </w:r>
      <w:r>
        <w:rPr>
          <w:rFonts w:ascii="Arial" w:hAnsi="Arial" w:cs="Arial"/>
          <w:i/>
          <w:sz w:val="22"/>
        </w:rPr>
        <w:t xml:space="preserve"> using the appropriate method with respect to the present scenario</w:t>
      </w:r>
      <w:r w:rsidRPr="009B7608">
        <w:rPr>
          <w:rFonts w:ascii="Arial" w:hAnsi="Arial" w:cs="Arial"/>
          <w:i/>
          <w:sz w:val="22"/>
        </w:rPr>
        <w:t xml:space="preserve">. In no manner this should be regarded </w:t>
      </w:r>
      <w:r w:rsidRPr="009B7608">
        <w:rPr>
          <w:rFonts w:ascii="Arial" w:hAnsi="Arial" w:cs="Arial"/>
          <w:i/>
          <w:sz w:val="22"/>
        </w:rPr>
        <w:lastRenderedPageBreak/>
        <w:t>as an audit activity/</w:t>
      </w:r>
      <w:r w:rsidRPr="002808B8">
        <w:rPr>
          <w:rFonts w:ascii="Arial" w:hAnsi="Arial" w:cs="Arial"/>
          <w:i/>
          <w:sz w:val="22"/>
        </w:rPr>
        <w:t xml:space="preserve"> report and NO micro analysis or detailed or forensic audit/ scrutiny of the financial transactions or accounts of any kind has been carried out at our end.</w:t>
      </w:r>
      <w:r w:rsidR="00951BB1">
        <w:rPr>
          <w:rFonts w:ascii="Arial" w:hAnsi="Arial" w:cs="Arial"/>
          <w:sz w:val="22"/>
        </w:rPr>
        <w:br w:type="page"/>
      </w:r>
    </w:p>
    <w:tbl>
      <w:tblPr>
        <w:tblW w:w="9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260"/>
        <w:gridCol w:w="5490"/>
        <w:gridCol w:w="9"/>
      </w:tblGrid>
      <w:tr w:rsidR="00800092" w:rsidRPr="009D66A5" w:rsidTr="006A17AA">
        <w:trPr>
          <w:trHeight w:val="720"/>
          <w:jc w:val="center"/>
        </w:trPr>
        <w:tc>
          <w:tcPr>
            <w:tcW w:w="1953" w:type="dxa"/>
            <w:vAlign w:val="center"/>
          </w:tcPr>
          <w:p w:rsidR="00800092" w:rsidRPr="009D66A5" w:rsidRDefault="00800092" w:rsidP="006A17AA">
            <w:pPr>
              <w:tabs>
                <w:tab w:val="left" w:pos="360"/>
              </w:tabs>
              <w:spacing w:after="0" w:line="240" w:lineRule="auto"/>
              <w:ind w:right="16"/>
              <w:rPr>
                <w:rFonts w:ascii="Arial" w:hAnsi="Arial" w:cs="Arial"/>
                <w:b/>
                <w:sz w:val="22"/>
                <w:szCs w:val="22"/>
              </w:rPr>
            </w:pPr>
            <w:r w:rsidRPr="009D66A5">
              <w:rPr>
                <w:rFonts w:ascii="Arial" w:hAnsi="Arial" w:cs="Arial"/>
                <w:b/>
                <w:sz w:val="22"/>
                <w:szCs w:val="22"/>
              </w:rPr>
              <w:lastRenderedPageBreak/>
              <w:t>Declaration</w:t>
            </w:r>
          </w:p>
        </w:tc>
        <w:tc>
          <w:tcPr>
            <w:tcW w:w="7759" w:type="dxa"/>
            <w:gridSpan w:val="3"/>
            <w:vAlign w:val="center"/>
          </w:tcPr>
          <w:p w:rsidR="00800092" w:rsidRPr="009D66A5" w:rsidRDefault="00800092" w:rsidP="00A0081D">
            <w:pPr>
              <w:pStyle w:val="ListParagraph"/>
              <w:numPr>
                <w:ilvl w:val="0"/>
                <w:numId w:val="4"/>
              </w:numPr>
              <w:spacing w:after="0" w:line="360" w:lineRule="auto"/>
              <w:ind w:left="442" w:right="16" w:hanging="180"/>
              <w:contextualSpacing/>
              <w:jc w:val="both"/>
              <w:rPr>
                <w:rFonts w:ascii="Arial" w:hAnsi="Arial" w:cs="Arial"/>
                <w:i/>
                <w:sz w:val="22"/>
                <w:szCs w:val="22"/>
              </w:rPr>
            </w:pPr>
            <w:r w:rsidRPr="009D66A5">
              <w:rPr>
                <w:rFonts w:ascii="Arial" w:hAnsi="Arial" w:cs="Arial"/>
                <w:i/>
                <w:sz w:val="22"/>
                <w:szCs w:val="22"/>
              </w:rPr>
              <w:t>Since t</w:t>
            </w:r>
            <w:r w:rsidR="000060C4">
              <w:rPr>
                <w:rFonts w:ascii="Arial" w:hAnsi="Arial" w:cs="Arial"/>
                <w:i/>
                <w:sz w:val="22"/>
                <w:szCs w:val="22"/>
              </w:rPr>
              <w:t>his is Share</w:t>
            </w:r>
            <w:r w:rsidRPr="009D66A5">
              <w:rPr>
                <w:rFonts w:ascii="Arial" w:hAnsi="Arial" w:cs="Arial"/>
                <w:i/>
                <w:sz w:val="22"/>
                <w:szCs w:val="22"/>
              </w:rPr>
              <w:t xml:space="preserve"> Valuation hence no site inspection was carried out by us.</w:t>
            </w:r>
          </w:p>
          <w:p w:rsidR="00800092" w:rsidRPr="009D66A5" w:rsidRDefault="00800092" w:rsidP="00A0081D">
            <w:pPr>
              <w:pStyle w:val="ListParagraph"/>
              <w:numPr>
                <w:ilvl w:val="0"/>
                <w:numId w:val="4"/>
              </w:numPr>
              <w:spacing w:after="0" w:line="360" w:lineRule="auto"/>
              <w:ind w:left="442" w:right="16" w:hanging="180"/>
              <w:contextualSpacing/>
              <w:jc w:val="both"/>
              <w:rPr>
                <w:rFonts w:ascii="Arial" w:hAnsi="Arial" w:cs="Arial"/>
                <w:i/>
                <w:sz w:val="22"/>
                <w:szCs w:val="22"/>
              </w:rPr>
            </w:pPr>
            <w:r w:rsidRPr="009D66A5">
              <w:rPr>
                <w:rFonts w:ascii="Arial" w:hAnsi="Arial" w:cs="Arial"/>
                <w:i/>
                <w:sz w:val="22"/>
                <w:szCs w:val="22"/>
              </w:rPr>
              <w:t>The undersigned does not have any direct/indirect interest in the above property.</w:t>
            </w:r>
          </w:p>
          <w:p w:rsidR="00742C5D" w:rsidRDefault="00800092" w:rsidP="00A0081D">
            <w:pPr>
              <w:pStyle w:val="ListParagraph"/>
              <w:numPr>
                <w:ilvl w:val="0"/>
                <w:numId w:val="4"/>
              </w:numPr>
              <w:spacing w:after="0" w:line="360" w:lineRule="auto"/>
              <w:ind w:left="442" w:right="16" w:hanging="180"/>
              <w:contextualSpacing/>
              <w:jc w:val="both"/>
              <w:rPr>
                <w:rFonts w:ascii="Arial" w:hAnsi="Arial" w:cs="Arial"/>
                <w:i/>
                <w:sz w:val="22"/>
                <w:szCs w:val="22"/>
              </w:rPr>
            </w:pPr>
            <w:r w:rsidRPr="009D66A5">
              <w:rPr>
                <w:rFonts w:ascii="Arial" w:hAnsi="Arial" w:cs="Arial"/>
                <w:i/>
                <w:sz w:val="22"/>
                <w:szCs w:val="22"/>
              </w:rPr>
              <w:t>The information furnished herein is true and correct to the best of our knowledge.</w:t>
            </w:r>
          </w:p>
          <w:p w:rsidR="00742C5D" w:rsidRDefault="00800092" w:rsidP="00A0081D">
            <w:pPr>
              <w:pStyle w:val="ListParagraph"/>
              <w:numPr>
                <w:ilvl w:val="0"/>
                <w:numId w:val="4"/>
              </w:numPr>
              <w:spacing w:after="0" w:line="360" w:lineRule="auto"/>
              <w:ind w:left="442" w:right="16" w:hanging="180"/>
              <w:contextualSpacing/>
              <w:jc w:val="both"/>
              <w:rPr>
                <w:rFonts w:ascii="Arial" w:hAnsi="Arial" w:cs="Arial"/>
                <w:i/>
                <w:sz w:val="22"/>
                <w:szCs w:val="22"/>
              </w:rPr>
            </w:pPr>
            <w:r w:rsidRPr="00742C5D">
              <w:rPr>
                <w:rFonts w:ascii="Arial" w:hAnsi="Arial" w:cs="Arial"/>
                <w:i/>
                <w:sz w:val="22"/>
                <w:szCs w:val="22"/>
              </w:rPr>
              <w:t xml:space="preserve">This valuation work is carried out by our Financial Analyst team on the request from </w:t>
            </w:r>
            <w:r w:rsidR="000060C4">
              <w:rPr>
                <w:rFonts w:ascii="Arial" w:hAnsi="Arial" w:cs="Arial"/>
                <w:i/>
                <w:sz w:val="22"/>
                <w:szCs w:val="22"/>
              </w:rPr>
              <w:t>M/s GMR Warora Energy Limited</w:t>
            </w:r>
            <w:r w:rsidRPr="00742C5D">
              <w:rPr>
                <w:rFonts w:ascii="Arial" w:hAnsi="Arial" w:cs="Arial"/>
                <w:i/>
                <w:sz w:val="22"/>
                <w:szCs w:val="22"/>
              </w:rPr>
              <w:t>.</w:t>
            </w:r>
          </w:p>
          <w:p w:rsidR="00800092" w:rsidRPr="00742C5D" w:rsidRDefault="00800092" w:rsidP="00A0081D">
            <w:pPr>
              <w:pStyle w:val="ListParagraph"/>
              <w:numPr>
                <w:ilvl w:val="0"/>
                <w:numId w:val="4"/>
              </w:numPr>
              <w:spacing w:after="0" w:line="360" w:lineRule="auto"/>
              <w:ind w:left="442" w:right="16" w:hanging="180"/>
              <w:contextualSpacing/>
              <w:jc w:val="both"/>
              <w:rPr>
                <w:rFonts w:ascii="Arial" w:hAnsi="Arial" w:cs="Arial"/>
                <w:i/>
                <w:sz w:val="22"/>
                <w:szCs w:val="22"/>
              </w:rPr>
            </w:pPr>
            <w:r w:rsidRPr="00742C5D">
              <w:rPr>
                <w:rFonts w:ascii="Arial" w:hAnsi="Arial" w:cs="Arial"/>
                <w:i/>
                <w:sz w:val="22"/>
                <w:szCs w:val="22"/>
              </w:rPr>
              <w:t>We have submitted Valuation report to the Client.</w:t>
            </w:r>
          </w:p>
        </w:tc>
      </w:tr>
      <w:tr w:rsidR="00800092" w:rsidRPr="009D66A5" w:rsidTr="006A17AA">
        <w:trPr>
          <w:gridAfter w:val="1"/>
          <w:wAfter w:w="9" w:type="dxa"/>
          <w:trHeight w:val="720"/>
          <w:jc w:val="center"/>
        </w:trPr>
        <w:tc>
          <w:tcPr>
            <w:tcW w:w="4213" w:type="dxa"/>
            <w:gridSpan w:val="2"/>
            <w:vAlign w:val="center"/>
          </w:tcPr>
          <w:p w:rsidR="00800092" w:rsidRPr="009D66A5" w:rsidRDefault="00800092" w:rsidP="006A17AA">
            <w:pPr>
              <w:tabs>
                <w:tab w:val="left" w:pos="360"/>
              </w:tabs>
              <w:spacing w:after="0" w:line="240" w:lineRule="auto"/>
              <w:ind w:right="16"/>
              <w:rPr>
                <w:rFonts w:ascii="Arial" w:hAnsi="Arial" w:cs="Arial"/>
                <w:b/>
                <w:sz w:val="22"/>
                <w:szCs w:val="22"/>
              </w:rPr>
            </w:pPr>
            <w:r w:rsidRPr="009D66A5">
              <w:rPr>
                <w:rFonts w:ascii="Arial" w:hAnsi="Arial" w:cs="Arial"/>
                <w:b/>
                <w:sz w:val="22"/>
                <w:szCs w:val="22"/>
              </w:rPr>
              <w:t>Name &amp; Address of Valuer company</w:t>
            </w:r>
          </w:p>
        </w:tc>
        <w:tc>
          <w:tcPr>
            <w:tcW w:w="5490" w:type="dxa"/>
            <w:vAlign w:val="center"/>
          </w:tcPr>
          <w:p w:rsidR="00800092" w:rsidRPr="009D66A5" w:rsidRDefault="00800092" w:rsidP="006A17AA">
            <w:pPr>
              <w:tabs>
                <w:tab w:val="left" w:pos="360"/>
              </w:tabs>
              <w:spacing w:after="0" w:line="240" w:lineRule="auto"/>
              <w:ind w:right="16"/>
              <w:rPr>
                <w:rFonts w:ascii="Arial" w:hAnsi="Arial" w:cs="Arial"/>
                <w:b/>
                <w:sz w:val="22"/>
                <w:szCs w:val="22"/>
              </w:rPr>
            </w:pPr>
            <w:r w:rsidRPr="009D66A5">
              <w:rPr>
                <w:rFonts w:ascii="Arial" w:hAnsi="Arial" w:cs="Arial"/>
                <w:b/>
                <w:sz w:val="22"/>
                <w:szCs w:val="22"/>
              </w:rPr>
              <w:t>Signature of the authorized person</w:t>
            </w:r>
          </w:p>
        </w:tc>
      </w:tr>
      <w:tr w:rsidR="00800092" w:rsidRPr="009D66A5" w:rsidTr="006A17AA">
        <w:trPr>
          <w:gridAfter w:val="1"/>
          <w:wAfter w:w="9" w:type="dxa"/>
          <w:trHeight w:val="720"/>
          <w:jc w:val="center"/>
        </w:trPr>
        <w:tc>
          <w:tcPr>
            <w:tcW w:w="4213" w:type="dxa"/>
            <w:gridSpan w:val="2"/>
            <w:vAlign w:val="center"/>
          </w:tcPr>
          <w:p w:rsidR="00800092" w:rsidRPr="009D66A5" w:rsidRDefault="00800092" w:rsidP="006A17AA">
            <w:pPr>
              <w:spacing w:line="240" w:lineRule="auto"/>
              <w:ind w:right="16"/>
              <w:rPr>
                <w:rFonts w:ascii="Arial" w:hAnsi="Arial" w:cs="Arial"/>
                <w:sz w:val="22"/>
                <w:szCs w:val="22"/>
              </w:rPr>
            </w:pPr>
            <w:r w:rsidRPr="009D66A5">
              <w:rPr>
                <w:rFonts w:ascii="Arial" w:hAnsi="Arial" w:cs="Arial"/>
                <w:sz w:val="22"/>
                <w:szCs w:val="22"/>
              </w:rPr>
              <w:t xml:space="preserve">M/s R.K. Associates Valuers &amp; Techno Engineering Consultants Pvt. Ltd. </w:t>
            </w:r>
          </w:p>
          <w:p w:rsidR="00800092" w:rsidRPr="009D66A5" w:rsidRDefault="00800092" w:rsidP="006A17AA">
            <w:pPr>
              <w:tabs>
                <w:tab w:val="left" w:pos="360"/>
              </w:tabs>
              <w:spacing w:after="0" w:line="240" w:lineRule="auto"/>
              <w:ind w:right="16"/>
              <w:rPr>
                <w:rFonts w:ascii="Arial" w:hAnsi="Arial" w:cs="Arial"/>
                <w:sz w:val="22"/>
                <w:szCs w:val="22"/>
              </w:rPr>
            </w:pPr>
            <w:r w:rsidRPr="009D66A5">
              <w:rPr>
                <w:rFonts w:ascii="Arial" w:hAnsi="Arial" w:cs="Arial"/>
                <w:sz w:val="22"/>
                <w:szCs w:val="22"/>
              </w:rPr>
              <w:t>D-39, Second Floor, Sector-2, Noida, UP-201301</w:t>
            </w:r>
          </w:p>
          <w:p w:rsidR="00800092" w:rsidRPr="009D66A5" w:rsidRDefault="00800092" w:rsidP="006A17AA">
            <w:pPr>
              <w:tabs>
                <w:tab w:val="left" w:pos="360"/>
              </w:tabs>
              <w:spacing w:after="0" w:line="240" w:lineRule="auto"/>
              <w:ind w:right="16"/>
              <w:rPr>
                <w:rFonts w:ascii="Arial" w:hAnsi="Arial" w:cs="Arial"/>
                <w:b/>
                <w:sz w:val="22"/>
                <w:szCs w:val="22"/>
              </w:rPr>
            </w:pPr>
            <w:r w:rsidRPr="009D66A5">
              <w:rPr>
                <w:rFonts w:ascii="Arial" w:hAnsi="Arial" w:cs="Arial"/>
                <w:sz w:val="22"/>
                <w:szCs w:val="22"/>
              </w:rPr>
              <w:t>India</w:t>
            </w:r>
          </w:p>
        </w:tc>
        <w:tc>
          <w:tcPr>
            <w:tcW w:w="5490" w:type="dxa"/>
            <w:vAlign w:val="center"/>
          </w:tcPr>
          <w:p w:rsidR="00800092" w:rsidRPr="009D66A5" w:rsidRDefault="00800092" w:rsidP="006A17AA">
            <w:pPr>
              <w:tabs>
                <w:tab w:val="left" w:pos="360"/>
              </w:tabs>
              <w:spacing w:after="0" w:line="240" w:lineRule="auto"/>
              <w:ind w:right="16"/>
              <w:rPr>
                <w:rFonts w:ascii="Arial" w:hAnsi="Arial" w:cs="Arial"/>
                <w:sz w:val="22"/>
                <w:szCs w:val="22"/>
              </w:rPr>
            </w:pPr>
          </w:p>
        </w:tc>
      </w:tr>
      <w:tr w:rsidR="00800092" w:rsidRPr="009D66A5" w:rsidTr="006A17AA">
        <w:trPr>
          <w:trHeight w:val="720"/>
          <w:jc w:val="center"/>
        </w:trPr>
        <w:tc>
          <w:tcPr>
            <w:tcW w:w="4213" w:type="dxa"/>
            <w:gridSpan w:val="2"/>
            <w:vAlign w:val="center"/>
          </w:tcPr>
          <w:p w:rsidR="00800092" w:rsidRPr="009D66A5" w:rsidRDefault="00800092" w:rsidP="006A17AA">
            <w:pPr>
              <w:spacing w:after="0" w:line="240" w:lineRule="auto"/>
              <w:ind w:right="16"/>
              <w:rPr>
                <w:rFonts w:ascii="Arial" w:hAnsi="Arial" w:cs="Arial"/>
                <w:b/>
                <w:sz w:val="22"/>
                <w:szCs w:val="22"/>
              </w:rPr>
            </w:pPr>
            <w:r w:rsidRPr="009D66A5">
              <w:rPr>
                <w:rFonts w:ascii="Arial" w:hAnsi="Arial" w:cs="Arial"/>
                <w:b/>
                <w:sz w:val="22"/>
                <w:szCs w:val="22"/>
              </w:rPr>
              <w:t>Number of Pages in the Report</w:t>
            </w:r>
          </w:p>
        </w:tc>
        <w:tc>
          <w:tcPr>
            <w:tcW w:w="5499" w:type="dxa"/>
            <w:gridSpan w:val="2"/>
            <w:shd w:val="clear" w:color="auto" w:fill="auto"/>
            <w:vAlign w:val="center"/>
          </w:tcPr>
          <w:p w:rsidR="00800092" w:rsidRPr="009D66A5" w:rsidRDefault="00270579" w:rsidP="006A17AA">
            <w:pPr>
              <w:tabs>
                <w:tab w:val="left" w:pos="360"/>
              </w:tabs>
              <w:spacing w:after="0" w:line="240" w:lineRule="auto"/>
              <w:ind w:right="16"/>
              <w:rPr>
                <w:rFonts w:ascii="Arial" w:hAnsi="Arial" w:cs="Arial"/>
                <w:sz w:val="22"/>
                <w:szCs w:val="22"/>
              </w:rPr>
            </w:pPr>
            <w:r>
              <w:rPr>
                <w:rFonts w:ascii="Arial" w:hAnsi="Arial" w:cs="Arial"/>
                <w:sz w:val="22"/>
                <w:szCs w:val="22"/>
              </w:rPr>
              <w:t>22</w:t>
            </w:r>
            <w:bookmarkStart w:id="1" w:name="_GoBack"/>
            <w:bookmarkEnd w:id="1"/>
          </w:p>
        </w:tc>
      </w:tr>
      <w:tr w:rsidR="00800092" w:rsidRPr="009D66A5" w:rsidTr="006A17AA">
        <w:trPr>
          <w:trHeight w:val="720"/>
          <w:jc w:val="center"/>
        </w:trPr>
        <w:tc>
          <w:tcPr>
            <w:tcW w:w="4213" w:type="dxa"/>
            <w:gridSpan w:val="2"/>
            <w:vMerge w:val="restart"/>
            <w:vAlign w:val="center"/>
          </w:tcPr>
          <w:p w:rsidR="00800092" w:rsidRPr="009D66A5" w:rsidRDefault="00800092" w:rsidP="006A17AA">
            <w:pPr>
              <w:spacing w:after="0" w:line="240" w:lineRule="auto"/>
              <w:ind w:right="16"/>
              <w:rPr>
                <w:rFonts w:ascii="Arial" w:hAnsi="Arial" w:cs="Arial"/>
                <w:b/>
                <w:sz w:val="22"/>
                <w:szCs w:val="22"/>
              </w:rPr>
            </w:pPr>
            <w:r w:rsidRPr="009D66A5">
              <w:rPr>
                <w:rFonts w:ascii="Arial" w:hAnsi="Arial" w:cs="Arial"/>
                <w:b/>
                <w:sz w:val="22"/>
                <w:szCs w:val="22"/>
              </w:rPr>
              <w:t>Financial Analyst Team worked on the report</w:t>
            </w:r>
          </w:p>
        </w:tc>
        <w:tc>
          <w:tcPr>
            <w:tcW w:w="5499" w:type="dxa"/>
            <w:gridSpan w:val="2"/>
            <w:vAlign w:val="center"/>
          </w:tcPr>
          <w:p w:rsidR="00800092" w:rsidRPr="009D66A5" w:rsidRDefault="00800092" w:rsidP="006A17AA">
            <w:pPr>
              <w:tabs>
                <w:tab w:val="left" w:pos="360"/>
              </w:tabs>
              <w:spacing w:after="0" w:line="240" w:lineRule="auto"/>
              <w:ind w:right="16"/>
              <w:rPr>
                <w:rFonts w:ascii="Arial" w:hAnsi="Arial" w:cs="Arial"/>
                <w:sz w:val="22"/>
                <w:szCs w:val="22"/>
              </w:rPr>
            </w:pPr>
            <w:r w:rsidRPr="009D66A5">
              <w:rPr>
                <w:rFonts w:ascii="Arial" w:hAnsi="Arial" w:cs="Arial"/>
                <w:b/>
                <w:i/>
                <w:sz w:val="22"/>
                <w:szCs w:val="22"/>
              </w:rPr>
              <w:t xml:space="preserve">PREPARED BY: Mr. </w:t>
            </w:r>
            <w:r w:rsidR="009D66A5">
              <w:rPr>
                <w:rFonts w:ascii="Arial" w:hAnsi="Arial" w:cs="Arial"/>
                <w:b/>
                <w:i/>
                <w:sz w:val="22"/>
                <w:szCs w:val="22"/>
              </w:rPr>
              <w:t>Gaurav Kumar</w:t>
            </w:r>
          </w:p>
        </w:tc>
      </w:tr>
      <w:tr w:rsidR="00800092" w:rsidRPr="009D66A5" w:rsidTr="006A17AA">
        <w:trPr>
          <w:trHeight w:val="720"/>
          <w:jc w:val="center"/>
        </w:trPr>
        <w:tc>
          <w:tcPr>
            <w:tcW w:w="4213" w:type="dxa"/>
            <w:gridSpan w:val="2"/>
            <w:vMerge/>
            <w:vAlign w:val="center"/>
          </w:tcPr>
          <w:p w:rsidR="00800092" w:rsidRPr="009D66A5" w:rsidRDefault="00800092" w:rsidP="006A17AA">
            <w:pPr>
              <w:spacing w:after="0" w:line="240" w:lineRule="auto"/>
              <w:ind w:right="16"/>
              <w:rPr>
                <w:rFonts w:ascii="Arial" w:hAnsi="Arial" w:cs="Arial"/>
                <w:b/>
                <w:sz w:val="22"/>
                <w:szCs w:val="22"/>
              </w:rPr>
            </w:pPr>
          </w:p>
        </w:tc>
        <w:tc>
          <w:tcPr>
            <w:tcW w:w="5499" w:type="dxa"/>
            <w:gridSpan w:val="2"/>
            <w:vAlign w:val="center"/>
          </w:tcPr>
          <w:p w:rsidR="00800092" w:rsidRPr="009D66A5" w:rsidRDefault="00800092" w:rsidP="006A17AA">
            <w:pPr>
              <w:tabs>
                <w:tab w:val="left" w:pos="360"/>
              </w:tabs>
              <w:spacing w:after="0" w:line="240" w:lineRule="auto"/>
              <w:ind w:right="16"/>
              <w:rPr>
                <w:rFonts w:ascii="Arial" w:hAnsi="Arial" w:cs="Arial"/>
                <w:b/>
                <w:i/>
                <w:sz w:val="22"/>
                <w:szCs w:val="22"/>
              </w:rPr>
            </w:pPr>
            <w:r w:rsidRPr="009D66A5">
              <w:rPr>
                <w:rFonts w:ascii="Arial" w:hAnsi="Arial" w:cs="Arial"/>
                <w:b/>
                <w:i/>
                <w:sz w:val="22"/>
                <w:szCs w:val="22"/>
              </w:rPr>
              <w:t>REVIEWED BY: HOD Valuations</w:t>
            </w:r>
          </w:p>
        </w:tc>
      </w:tr>
    </w:tbl>
    <w:p w:rsidR="0008705A" w:rsidRPr="005C6FC8" w:rsidRDefault="0008705A" w:rsidP="0008705A">
      <w:pPr>
        <w:tabs>
          <w:tab w:val="left" w:pos="270"/>
        </w:tabs>
        <w:spacing w:line="360" w:lineRule="auto"/>
        <w:ind w:right="16"/>
        <w:jc w:val="both"/>
        <w:rPr>
          <w:rFonts w:ascii="Arial" w:hAnsi="Arial" w:cs="Arial"/>
          <w:sz w:val="20"/>
          <w:szCs w:val="17"/>
          <w:highlight w:val="yellow"/>
        </w:rPr>
      </w:pPr>
    </w:p>
    <w:p w:rsidR="0008705A" w:rsidRPr="005C6FC8" w:rsidRDefault="0008705A" w:rsidP="0008705A">
      <w:pPr>
        <w:tabs>
          <w:tab w:val="left" w:pos="270"/>
        </w:tabs>
        <w:spacing w:line="360" w:lineRule="auto"/>
        <w:ind w:right="16"/>
        <w:jc w:val="both"/>
        <w:rPr>
          <w:rFonts w:ascii="Arial" w:hAnsi="Arial" w:cs="Arial"/>
          <w:sz w:val="20"/>
          <w:szCs w:val="17"/>
          <w:highlight w:val="yellow"/>
        </w:rPr>
      </w:pPr>
    </w:p>
    <w:p w:rsidR="0008705A" w:rsidRPr="00F6083B" w:rsidRDefault="0008705A" w:rsidP="0008705A">
      <w:pPr>
        <w:tabs>
          <w:tab w:val="left" w:pos="5670"/>
        </w:tabs>
        <w:spacing w:line="360" w:lineRule="auto"/>
        <w:ind w:right="16"/>
        <w:jc w:val="both"/>
        <w:rPr>
          <w:rFonts w:ascii="Arial" w:hAnsi="Arial" w:cs="Arial"/>
          <w:sz w:val="28"/>
        </w:rPr>
      </w:pPr>
      <w:r w:rsidRPr="00F6083B">
        <w:rPr>
          <w:rFonts w:ascii="Arial" w:hAnsi="Arial" w:cs="Arial"/>
          <w:b/>
          <w:sz w:val="22"/>
        </w:rPr>
        <w:t>For R.K Associates Valuers &amp; Techno</w:t>
      </w:r>
      <w:r w:rsidRPr="00F6083B">
        <w:rPr>
          <w:rFonts w:ascii="Arial" w:hAnsi="Arial" w:cs="Arial"/>
          <w:b/>
          <w:sz w:val="22"/>
        </w:rPr>
        <w:tab/>
        <w:t>Place</w:t>
      </w:r>
      <w:r w:rsidRPr="00F6083B">
        <w:rPr>
          <w:rFonts w:ascii="Arial" w:hAnsi="Arial" w:cs="Arial"/>
          <w:b/>
          <w:sz w:val="22"/>
        </w:rPr>
        <w:tab/>
        <w:t>:</w:t>
      </w:r>
      <w:r w:rsidRPr="00F6083B">
        <w:rPr>
          <w:rFonts w:ascii="Arial" w:hAnsi="Arial" w:cs="Arial"/>
          <w:b/>
          <w:sz w:val="22"/>
        </w:rPr>
        <w:tab/>
      </w:r>
      <w:r w:rsidR="009D66A5" w:rsidRPr="00F6083B">
        <w:rPr>
          <w:rFonts w:ascii="Arial" w:hAnsi="Arial" w:cs="Arial"/>
          <w:b/>
          <w:sz w:val="22"/>
        </w:rPr>
        <w:t>NOIDA</w:t>
      </w:r>
    </w:p>
    <w:p w:rsidR="0008705A" w:rsidRPr="00F6083B" w:rsidRDefault="0008705A" w:rsidP="0008705A">
      <w:pPr>
        <w:tabs>
          <w:tab w:val="left" w:pos="5670"/>
        </w:tabs>
        <w:spacing w:line="360" w:lineRule="auto"/>
        <w:ind w:left="5670" w:right="16" w:hanging="5670"/>
        <w:jc w:val="both"/>
        <w:rPr>
          <w:rFonts w:ascii="Arial" w:hAnsi="Arial" w:cs="Arial"/>
          <w:sz w:val="28"/>
        </w:rPr>
      </w:pPr>
      <w:r w:rsidRPr="00F6083B">
        <w:rPr>
          <w:rFonts w:ascii="Arial" w:hAnsi="Arial" w:cs="Arial"/>
          <w:b/>
          <w:sz w:val="22"/>
        </w:rPr>
        <w:t>Engineering Consultants (P) Ltd.</w:t>
      </w:r>
      <w:r w:rsidRPr="00F6083B">
        <w:rPr>
          <w:rFonts w:ascii="Arial" w:hAnsi="Arial" w:cs="Arial"/>
          <w:b/>
          <w:sz w:val="22"/>
        </w:rPr>
        <w:tab/>
        <w:t>Date</w:t>
      </w:r>
      <w:r w:rsidRPr="00F6083B">
        <w:rPr>
          <w:rFonts w:ascii="Arial" w:hAnsi="Arial" w:cs="Arial"/>
          <w:b/>
          <w:sz w:val="22"/>
        </w:rPr>
        <w:tab/>
        <w:t>:</w:t>
      </w:r>
      <w:r w:rsidRPr="00F6083B">
        <w:rPr>
          <w:rFonts w:ascii="Arial" w:hAnsi="Arial" w:cs="Arial"/>
          <w:b/>
          <w:sz w:val="22"/>
        </w:rPr>
        <w:tab/>
      </w:r>
      <w:r w:rsidR="000060C4" w:rsidRPr="00F6083B">
        <w:rPr>
          <w:rFonts w:ascii="Arial" w:hAnsi="Arial" w:cs="Arial"/>
          <w:b/>
          <w:sz w:val="22"/>
        </w:rPr>
        <w:t>21</w:t>
      </w:r>
      <w:r w:rsidR="000060C4" w:rsidRPr="00F6083B">
        <w:rPr>
          <w:rFonts w:ascii="Arial" w:hAnsi="Arial" w:cs="Arial"/>
          <w:b/>
          <w:sz w:val="22"/>
          <w:vertAlign w:val="superscript"/>
        </w:rPr>
        <w:t>st</w:t>
      </w:r>
      <w:r w:rsidR="000060C4" w:rsidRPr="00F6083B">
        <w:rPr>
          <w:rFonts w:ascii="Arial" w:hAnsi="Arial" w:cs="Arial"/>
          <w:b/>
          <w:sz w:val="22"/>
        </w:rPr>
        <w:t xml:space="preserve"> June</w:t>
      </w:r>
      <w:r w:rsidR="00742C5D" w:rsidRPr="00F6083B">
        <w:rPr>
          <w:rFonts w:ascii="Arial" w:hAnsi="Arial" w:cs="Arial"/>
          <w:b/>
          <w:sz w:val="22"/>
        </w:rPr>
        <w:t xml:space="preserve"> 2022</w:t>
      </w:r>
    </w:p>
    <w:p w:rsidR="0008705A" w:rsidRPr="00F6083B" w:rsidRDefault="0008705A" w:rsidP="0008705A">
      <w:pPr>
        <w:tabs>
          <w:tab w:val="left" w:pos="720"/>
        </w:tabs>
        <w:spacing w:line="360" w:lineRule="auto"/>
        <w:ind w:right="16"/>
        <w:jc w:val="both"/>
        <w:rPr>
          <w:rFonts w:ascii="Arial" w:hAnsi="Arial" w:cs="Arial"/>
          <w:b/>
          <w:sz w:val="28"/>
        </w:rPr>
      </w:pPr>
      <w:r w:rsidRPr="00F6083B">
        <w:rPr>
          <w:rFonts w:ascii="Arial" w:hAnsi="Arial" w:cs="Arial"/>
          <w:b/>
          <w:sz w:val="28"/>
        </w:rPr>
        <w:tab/>
      </w:r>
      <w:r w:rsidRPr="00F6083B">
        <w:rPr>
          <w:rFonts w:ascii="Arial" w:hAnsi="Arial" w:cs="Arial"/>
          <w:b/>
          <w:sz w:val="28"/>
        </w:rPr>
        <w:tab/>
      </w:r>
      <w:r w:rsidRPr="00F6083B">
        <w:rPr>
          <w:rFonts w:ascii="Arial" w:hAnsi="Arial" w:cs="Arial"/>
          <w:b/>
          <w:sz w:val="28"/>
        </w:rPr>
        <w:tab/>
      </w:r>
      <w:r w:rsidRPr="00F6083B">
        <w:rPr>
          <w:rFonts w:ascii="Arial" w:hAnsi="Arial" w:cs="Arial"/>
          <w:sz w:val="28"/>
        </w:rPr>
        <w:tab/>
      </w:r>
      <w:r w:rsidRPr="00F6083B">
        <w:rPr>
          <w:rFonts w:ascii="Arial" w:hAnsi="Arial" w:cs="Arial"/>
          <w:sz w:val="28"/>
        </w:rPr>
        <w:tab/>
      </w:r>
      <w:r w:rsidRPr="00F6083B">
        <w:rPr>
          <w:rFonts w:ascii="Arial" w:hAnsi="Arial" w:cs="Arial"/>
          <w:sz w:val="28"/>
        </w:rPr>
        <w:tab/>
      </w:r>
      <w:r w:rsidRPr="00F6083B">
        <w:rPr>
          <w:rFonts w:ascii="Arial" w:hAnsi="Arial" w:cs="Arial"/>
          <w:sz w:val="28"/>
        </w:rPr>
        <w:tab/>
      </w:r>
      <w:r w:rsidRPr="00F6083B">
        <w:rPr>
          <w:rFonts w:ascii="Arial" w:hAnsi="Arial" w:cs="Arial"/>
          <w:sz w:val="28"/>
        </w:rPr>
        <w:tab/>
      </w:r>
    </w:p>
    <w:p w:rsidR="0008705A" w:rsidRPr="00F6083B" w:rsidRDefault="0008705A" w:rsidP="0008705A">
      <w:pPr>
        <w:tabs>
          <w:tab w:val="left" w:pos="720"/>
        </w:tabs>
        <w:spacing w:line="360" w:lineRule="auto"/>
        <w:ind w:right="16"/>
        <w:rPr>
          <w:rFonts w:ascii="Arial" w:hAnsi="Arial" w:cs="Arial"/>
          <w:b/>
          <w:sz w:val="22"/>
          <w:szCs w:val="20"/>
        </w:rPr>
      </w:pPr>
      <w:r w:rsidRPr="00F6083B">
        <w:rPr>
          <w:rFonts w:ascii="Arial" w:hAnsi="Arial" w:cs="Arial"/>
          <w:b/>
          <w:sz w:val="22"/>
          <w:szCs w:val="20"/>
        </w:rPr>
        <w:t>(Authorized Signatory)</w:t>
      </w:r>
    </w:p>
    <w:p w:rsidR="0008705A" w:rsidRPr="00F6083B" w:rsidRDefault="0008705A" w:rsidP="0008705A">
      <w:pPr>
        <w:tabs>
          <w:tab w:val="left" w:pos="360"/>
        </w:tabs>
        <w:ind w:right="16"/>
        <w:jc w:val="both"/>
        <w:rPr>
          <w:rFonts w:ascii="Arial" w:hAnsi="Arial" w:cs="Arial"/>
          <w:b/>
          <w:sz w:val="22"/>
          <w:szCs w:val="20"/>
        </w:rPr>
      </w:pPr>
      <w:r w:rsidRPr="00F6083B">
        <w:rPr>
          <w:rFonts w:ascii="Arial" w:hAnsi="Arial" w:cs="Arial"/>
          <w:b/>
          <w:sz w:val="22"/>
          <w:szCs w:val="20"/>
        </w:rPr>
        <w:t>Valuations</w:t>
      </w:r>
    </w:p>
    <w:p w:rsidR="007F4216" w:rsidRPr="00F6083B" w:rsidRDefault="007F4216">
      <w:pPr>
        <w:rPr>
          <w:rFonts w:ascii="Arial" w:hAnsi="Arial" w:cs="Arial"/>
          <w:b/>
          <w:sz w:val="22"/>
          <w:szCs w:val="20"/>
          <w:highlight w:val="yellow"/>
        </w:rPr>
      </w:pPr>
      <w:r w:rsidRPr="00F6083B">
        <w:rPr>
          <w:rFonts w:ascii="Arial" w:hAnsi="Arial" w:cs="Arial"/>
          <w:b/>
          <w:sz w:val="22"/>
          <w:szCs w:val="20"/>
          <w:highlight w:val="yellow"/>
        </w:rPr>
        <w:br w:type="page"/>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7"/>
        <w:gridCol w:w="8134"/>
      </w:tblGrid>
      <w:tr w:rsidR="00742C5D" w:rsidRPr="003B6472" w:rsidTr="00EC405E">
        <w:trPr>
          <w:trHeight w:val="578"/>
        </w:trPr>
        <w:tc>
          <w:tcPr>
            <w:tcW w:w="1647" w:type="dxa"/>
            <w:shd w:val="clear" w:color="auto" w:fill="17365D"/>
            <w:vAlign w:val="center"/>
          </w:tcPr>
          <w:p w:rsidR="00742C5D" w:rsidRPr="003B6472" w:rsidRDefault="00383743" w:rsidP="00A956ED">
            <w:pPr>
              <w:spacing w:after="0" w:line="240" w:lineRule="auto"/>
              <w:jc w:val="center"/>
              <w:rPr>
                <w:rFonts w:ascii="Arial" w:eastAsia="Arial" w:hAnsi="Arial" w:cs="Arial"/>
                <w:b/>
                <w:color w:val="000000"/>
              </w:rPr>
            </w:pPr>
            <w:r>
              <w:rPr>
                <w:rFonts w:ascii="Arial" w:eastAsia="Arial" w:hAnsi="Arial" w:cs="Arial"/>
                <w:b/>
                <w:color w:val="FFFFFF"/>
                <w:sz w:val="22"/>
                <w:szCs w:val="22"/>
              </w:rPr>
              <w:lastRenderedPageBreak/>
              <w:t>PART C</w:t>
            </w:r>
          </w:p>
        </w:tc>
        <w:tc>
          <w:tcPr>
            <w:tcW w:w="8134" w:type="dxa"/>
            <w:shd w:val="clear" w:color="auto" w:fill="DBE5F1"/>
            <w:vAlign w:val="center"/>
          </w:tcPr>
          <w:p w:rsidR="00742C5D" w:rsidRPr="003B6472" w:rsidRDefault="00742C5D" w:rsidP="00A956ED">
            <w:pPr>
              <w:tabs>
                <w:tab w:val="left" w:pos="360"/>
              </w:tabs>
              <w:spacing w:after="0" w:line="240" w:lineRule="auto"/>
              <w:jc w:val="center"/>
              <w:rPr>
                <w:rFonts w:ascii="Arial" w:eastAsia="Arial" w:hAnsi="Arial" w:cs="Arial"/>
                <w:b/>
                <w:color w:val="000000"/>
              </w:rPr>
            </w:pPr>
            <w:r w:rsidRPr="003B6472">
              <w:rPr>
                <w:rFonts w:ascii="Arial" w:eastAsia="Arial" w:hAnsi="Arial" w:cs="Arial"/>
                <w:b/>
                <w:color w:val="000000"/>
                <w:sz w:val="22"/>
                <w:szCs w:val="22"/>
              </w:rPr>
              <w:t>DISCLAIMER | REMARKS</w:t>
            </w:r>
          </w:p>
        </w:tc>
      </w:tr>
    </w:tbl>
    <w:p w:rsidR="00EC405E" w:rsidRDefault="00EC405E" w:rsidP="00EC405E">
      <w:pPr>
        <w:spacing w:after="0" w:line="360" w:lineRule="auto"/>
        <w:ind w:left="284" w:right="-23"/>
        <w:jc w:val="both"/>
        <w:rPr>
          <w:rFonts w:ascii="Arial" w:eastAsia="Arial" w:hAnsi="Arial" w:cs="Arial"/>
          <w:sz w:val="22"/>
          <w:szCs w:val="22"/>
        </w:rPr>
      </w:pPr>
    </w:p>
    <w:p w:rsidR="00742C5D" w:rsidRDefault="00742C5D" w:rsidP="00A0081D">
      <w:pPr>
        <w:numPr>
          <w:ilvl w:val="3"/>
          <w:numId w:val="6"/>
        </w:numPr>
        <w:spacing w:line="360" w:lineRule="auto"/>
        <w:ind w:left="284" w:right="-733" w:hanging="426"/>
        <w:jc w:val="both"/>
        <w:rPr>
          <w:rFonts w:ascii="Arial" w:eastAsia="Arial" w:hAnsi="Arial" w:cs="Arial"/>
          <w:sz w:val="22"/>
          <w:szCs w:val="22"/>
        </w:rPr>
      </w:pPr>
      <w:r>
        <w:rPr>
          <w:rFonts w:ascii="Arial" w:eastAsia="Arial" w:hAnsi="Arial" w:cs="Arial"/>
          <w:sz w:val="22"/>
          <w:szCs w:val="22"/>
        </w:rPr>
        <w:t>No employee or member of R.K Associates has any direct/ indirect interest in the Project.</w:t>
      </w:r>
    </w:p>
    <w:p w:rsidR="00742C5D" w:rsidRDefault="00742C5D" w:rsidP="00A0081D">
      <w:pPr>
        <w:numPr>
          <w:ilvl w:val="3"/>
          <w:numId w:val="6"/>
        </w:numPr>
        <w:spacing w:line="360" w:lineRule="auto"/>
        <w:ind w:left="284" w:right="-733" w:hanging="426"/>
        <w:jc w:val="both"/>
        <w:rPr>
          <w:rFonts w:ascii="Arial" w:eastAsia="Arial" w:hAnsi="Arial" w:cs="Arial"/>
          <w:sz w:val="22"/>
          <w:szCs w:val="22"/>
        </w:rPr>
      </w:pPr>
      <w:r w:rsidRPr="007D290F">
        <w:rPr>
          <w:rFonts w:ascii="Arial" w:eastAsia="Arial" w:hAnsi="Arial" w:cs="Arial"/>
          <w:sz w:val="22"/>
          <w:szCs w:val="22"/>
        </w:rPr>
        <w:t>This report is prepared based on the copies of the documents/ information which the Bank/ Company has provided to us out of the standard checklist of documents sought from them and further based on our assumptions and limiting conditions. The client/owner and its management/representatives warranted to us that the information they supplied was complete, accurate and true and correct to the best of their knowledge. All such information provided to us has been relied upon in good faith and we have assumed that it is true and correct in all respect. I/We shall not be liable for any loss, damages, cost or expenses arising from fraudulent acts, misrepresentations, or willful default on part of the owner, company, its directors, employee, representative or agents. Verification or cross checking of the documents provided to us from the originals or from any Govt. departments/ Record of Registrar has not been done at our end since this is beyond the scope of our work. If at any time in future, it is found or came to our knowledge that misrepresentation of facts or incomplete or distorted information has been provided to us then this report shall automatically become null &amp; void.</w:t>
      </w:r>
    </w:p>
    <w:p w:rsidR="00742C5D" w:rsidRDefault="00742C5D" w:rsidP="00A0081D">
      <w:pPr>
        <w:numPr>
          <w:ilvl w:val="3"/>
          <w:numId w:val="6"/>
        </w:numPr>
        <w:spacing w:line="360" w:lineRule="auto"/>
        <w:ind w:left="284" w:right="-733" w:hanging="426"/>
        <w:jc w:val="both"/>
        <w:rPr>
          <w:rFonts w:ascii="Arial" w:eastAsia="Arial" w:hAnsi="Arial" w:cs="Arial"/>
          <w:sz w:val="22"/>
          <w:szCs w:val="22"/>
        </w:rPr>
      </w:pPr>
      <w:r w:rsidRPr="00FE759D">
        <w:rPr>
          <w:rFonts w:ascii="Arial" w:eastAsia="Arial" w:hAnsi="Arial" w:cs="Arial"/>
          <w:sz w:val="22"/>
          <w:szCs w:val="22"/>
        </w:rPr>
        <w:t>Legal aspects for e.g., investigation of title, ownership rights, lien, charge, mortgage, lease, sanctioned maps, verification of documents, etc. have not been done at our end and same has to be taken care by legal expert/ Advocate. It is assumed that the concerned Lender/ Financial Institution has satisfied them with the authenticity of the documents, information given to us and for which the legal verification has been already taken and cleared by the competent Advocate before requesting for this report. I/ We assume no responsibility for the legal matters including, but not limited to, legal or title concerns.</w:t>
      </w:r>
    </w:p>
    <w:p w:rsidR="00742C5D" w:rsidRDefault="00742C5D" w:rsidP="00A0081D">
      <w:pPr>
        <w:numPr>
          <w:ilvl w:val="3"/>
          <w:numId w:val="6"/>
        </w:numPr>
        <w:spacing w:line="360" w:lineRule="auto"/>
        <w:ind w:left="284" w:right="-733" w:hanging="426"/>
        <w:jc w:val="both"/>
        <w:rPr>
          <w:rFonts w:ascii="Arial" w:eastAsia="Arial" w:hAnsi="Arial" w:cs="Arial"/>
          <w:sz w:val="22"/>
          <w:szCs w:val="22"/>
        </w:rPr>
      </w:pPr>
      <w:r w:rsidRPr="00FE759D">
        <w:rPr>
          <w:rFonts w:ascii="Arial" w:eastAsia="Arial" w:hAnsi="Arial" w:cs="Arial"/>
          <w:sz w:val="22"/>
          <w:szCs w:val="22"/>
        </w:rPr>
        <w:t>This report is a general analysis of the project based on the scope mentioned in the report. This is not an Audit report, Design document, DPR or Techno feasibility study. All the information gathered is based on the facts seen on the site during survey, verbal discussion &amp; documentary evidence provided by the client and is believed that information given by the company is true best of their knowledge.</w:t>
      </w:r>
    </w:p>
    <w:p w:rsidR="00742C5D" w:rsidRDefault="00742C5D" w:rsidP="00A0081D">
      <w:pPr>
        <w:numPr>
          <w:ilvl w:val="3"/>
          <w:numId w:val="6"/>
        </w:numPr>
        <w:spacing w:line="360" w:lineRule="auto"/>
        <w:ind w:left="284" w:right="-733" w:hanging="426"/>
        <w:jc w:val="both"/>
        <w:rPr>
          <w:rFonts w:ascii="Arial" w:eastAsia="Arial" w:hAnsi="Arial" w:cs="Arial"/>
          <w:sz w:val="22"/>
          <w:szCs w:val="22"/>
        </w:rPr>
      </w:pPr>
      <w:r w:rsidRPr="00FE759D">
        <w:rPr>
          <w:rFonts w:ascii="Arial" w:eastAsia="Arial" w:hAnsi="Arial" w:cs="Arial"/>
          <w:sz w:val="22"/>
          <w:szCs w:val="22"/>
        </w:rPr>
        <w:t>All</w:t>
      </w:r>
      <w:r w:rsidRPr="00FE759D">
        <w:rPr>
          <w:rFonts w:ascii="Arial" w:eastAsia="Arial" w:hAnsi="Arial" w:cs="Arial"/>
          <w:color w:val="000000"/>
          <w:sz w:val="22"/>
          <w:szCs w:val="22"/>
        </w:rPr>
        <w:t xml:space="preserve"> observations mentioned in the report is only based on the visual observation and the documents/ data/ information provided by the client. No mechanical/ technical tests, measurements or any design review have been performed or carried out from our side during Project assessment.</w:t>
      </w:r>
    </w:p>
    <w:p w:rsidR="00742C5D" w:rsidRDefault="00742C5D" w:rsidP="00A0081D">
      <w:pPr>
        <w:numPr>
          <w:ilvl w:val="3"/>
          <w:numId w:val="6"/>
        </w:numPr>
        <w:spacing w:line="360" w:lineRule="auto"/>
        <w:ind w:left="284" w:right="-733" w:hanging="426"/>
        <w:jc w:val="both"/>
        <w:rPr>
          <w:rFonts w:ascii="Arial" w:eastAsia="Arial" w:hAnsi="Arial" w:cs="Arial"/>
          <w:sz w:val="22"/>
          <w:szCs w:val="22"/>
        </w:rPr>
      </w:pPr>
      <w:r w:rsidRPr="00133E54">
        <w:rPr>
          <w:rFonts w:ascii="Arial" w:eastAsia="Arial" w:hAnsi="Arial" w:cs="Arial"/>
          <w:sz w:val="22"/>
          <w:szCs w:val="22"/>
        </w:rPr>
        <w:lastRenderedPageBreak/>
        <w:t>Bank/FII should ONLY take this report as an Advisory document from the Financial/ Chartered Engineering firm and its specifically advised to the creditor to cross verify the original documents for the facts mentioned in the report which can be availed from the borrowing company directly.</w:t>
      </w:r>
    </w:p>
    <w:p w:rsidR="00742C5D" w:rsidRDefault="00742C5D" w:rsidP="00A0081D">
      <w:pPr>
        <w:numPr>
          <w:ilvl w:val="3"/>
          <w:numId w:val="6"/>
        </w:numPr>
        <w:spacing w:line="360" w:lineRule="auto"/>
        <w:ind w:left="284" w:right="-733" w:hanging="426"/>
        <w:jc w:val="both"/>
        <w:rPr>
          <w:rFonts w:ascii="Arial" w:eastAsia="Arial" w:hAnsi="Arial" w:cs="Arial"/>
          <w:sz w:val="22"/>
          <w:szCs w:val="22"/>
        </w:rPr>
      </w:pPr>
      <w:r w:rsidRPr="00133E54">
        <w:rPr>
          <w:rFonts w:ascii="Arial" w:eastAsia="Arial" w:hAnsi="Arial" w:cs="Arial"/>
          <w:sz w:val="22"/>
          <w:szCs w:val="22"/>
        </w:rPr>
        <w:t>In case of any default in loans or the credit facility extended to the borrowing company, R.K Associates shall not be held responsible for whatsoever reason may be and any request for seeking any explanation from the employee/s of R.K Associates will not be entertained at any instance or situation.</w:t>
      </w:r>
    </w:p>
    <w:p w:rsidR="00742C5D" w:rsidRDefault="00742C5D" w:rsidP="00A0081D">
      <w:pPr>
        <w:numPr>
          <w:ilvl w:val="3"/>
          <w:numId w:val="6"/>
        </w:numPr>
        <w:spacing w:line="360" w:lineRule="auto"/>
        <w:ind w:left="284" w:right="-733" w:hanging="426"/>
        <w:jc w:val="both"/>
        <w:rPr>
          <w:rFonts w:ascii="Arial" w:eastAsia="Arial" w:hAnsi="Arial" w:cs="Arial"/>
          <w:sz w:val="22"/>
          <w:szCs w:val="22"/>
        </w:rPr>
      </w:pPr>
      <w:r w:rsidRPr="00133E54">
        <w:rPr>
          <w:rFonts w:ascii="Arial" w:eastAsia="Arial" w:hAnsi="Arial" w:cs="Arial"/>
          <w:sz w:val="22"/>
          <w:szCs w:val="22"/>
        </w:rPr>
        <w:t>The documents, information, data provided to us during the course of this assessment by the client is reviewed only up to the extent required in relation to the scope of the work. No document has been reviewed beyond the scope of the work.</w:t>
      </w:r>
    </w:p>
    <w:p w:rsidR="00742C5D" w:rsidRDefault="00742C5D" w:rsidP="00A0081D">
      <w:pPr>
        <w:numPr>
          <w:ilvl w:val="3"/>
          <w:numId w:val="6"/>
        </w:numPr>
        <w:spacing w:line="360" w:lineRule="auto"/>
        <w:ind w:left="284" w:right="-733" w:hanging="426"/>
        <w:jc w:val="both"/>
        <w:rPr>
          <w:rFonts w:ascii="Arial" w:eastAsia="Arial" w:hAnsi="Arial" w:cs="Arial"/>
          <w:sz w:val="22"/>
          <w:szCs w:val="22"/>
        </w:rPr>
      </w:pPr>
      <w:r w:rsidRPr="00133E54">
        <w:rPr>
          <w:rFonts w:ascii="Arial" w:eastAsia="Arial" w:hAnsi="Arial" w:cs="Arial"/>
          <w:sz w:val="22"/>
          <w:szCs w:val="22"/>
        </w:rPr>
        <w:t>This report only contains general assessment &amp; opinion as per the scope of work evaluated as per the information given in the copy of documents, information, data provided to us and/ and confirmed by the owner/ owner representative to us at site which has been relied upon in good faith. It doesn’t contain any other recommendations of any sort including but not limited to express of any opinion on the suitability or otherwise of entering into any transaction with the borrower.</w:t>
      </w:r>
    </w:p>
    <w:p w:rsidR="00742C5D" w:rsidRDefault="00742C5D" w:rsidP="00A0081D">
      <w:pPr>
        <w:numPr>
          <w:ilvl w:val="3"/>
          <w:numId w:val="6"/>
        </w:numPr>
        <w:spacing w:line="360" w:lineRule="auto"/>
        <w:ind w:left="284" w:right="-733" w:hanging="426"/>
        <w:jc w:val="both"/>
        <w:rPr>
          <w:rFonts w:ascii="Arial" w:eastAsia="Arial" w:hAnsi="Arial" w:cs="Arial"/>
          <w:sz w:val="22"/>
          <w:szCs w:val="22"/>
        </w:rPr>
      </w:pPr>
      <w:r w:rsidRPr="00133E54">
        <w:rPr>
          <w:rFonts w:ascii="Arial" w:eastAsia="Arial" w:hAnsi="Arial" w:cs="Arial"/>
          <w:sz w:val="22"/>
          <w:szCs w:val="22"/>
        </w:rPr>
        <w:t>We have relied on data from third party, external sources &amp; information available on public domain also to conclude this report. These sources are believed to be reliable and therefore, we assume no liability for the truth or accuracy of any data, opinions or estimates furnished by others that have been used in this analysis. Where we have relied on data, opinions or estimates from external sources, reasonable care has been taken to ensure that such data has been correctly extracted from those sources and /or reproduced in its proper form and context, however still we can’t vouch its authenticity, correctness or accuracy.</w:t>
      </w:r>
    </w:p>
    <w:p w:rsidR="00742C5D" w:rsidRDefault="00742C5D" w:rsidP="00A0081D">
      <w:pPr>
        <w:numPr>
          <w:ilvl w:val="3"/>
          <w:numId w:val="6"/>
        </w:numPr>
        <w:spacing w:line="360" w:lineRule="auto"/>
        <w:ind w:left="284" w:right="-733" w:hanging="426"/>
        <w:jc w:val="both"/>
        <w:rPr>
          <w:rFonts w:ascii="Arial" w:eastAsia="Arial" w:hAnsi="Arial" w:cs="Arial"/>
          <w:sz w:val="22"/>
          <w:szCs w:val="22"/>
        </w:rPr>
      </w:pPr>
      <w:r w:rsidRPr="00133E54">
        <w:rPr>
          <w:rFonts w:ascii="Arial" w:eastAsia="Arial" w:hAnsi="Arial" w:cs="Arial"/>
          <w:sz w:val="22"/>
          <w:szCs w:val="22"/>
        </w:rPr>
        <w:t>This Report is prepared by our competent technical team which includes Engineers and financial experts &amp; analysts.</w:t>
      </w:r>
    </w:p>
    <w:p w:rsidR="00742C5D" w:rsidRDefault="00742C5D" w:rsidP="00A0081D">
      <w:pPr>
        <w:numPr>
          <w:ilvl w:val="3"/>
          <w:numId w:val="6"/>
        </w:numPr>
        <w:spacing w:line="360" w:lineRule="auto"/>
        <w:ind w:left="284" w:right="-733" w:hanging="426"/>
        <w:jc w:val="both"/>
        <w:rPr>
          <w:rFonts w:ascii="Arial" w:eastAsia="Arial" w:hAnsi="Arial" w:cs="Arial"/>
          <w:sz w:val="22"/>
          <w:szCs w:val="22"/>
        </w:rPr>
      </w:pPr>
      <w:r w:rsidRPr="00133E54">
        <w:rPr>
          <w:rFonts w:ascii="Arial" w:eastAsia="Arial" w:hAnsi="Arial" w:cs="Arial"/>
          <w:sz w:val="22"/>
          <w:szCs w:val="22"/>
        </w:rPr>
        <w:t>This is just an opinion report and doesn’t hold any binding on anyone. It is requested from the concerned Financial Institution which is using this report for taking financial decision on the project that they should consider all the different associated relevant &amp; related factors also before taking any business decision based on the content of this report.</w:t>
      </w:r>
    </w:p>
    <w:p w:rsidR="00742C5D" w:rsidRDefault="00742C5D" w:rsidP="00A0081D">
      <w:pPr>
        <w:numPr>
          <w:ilvl w:val="3"/>
          <w:numId w:val="6"/>
        </w:numPr>
        <w:spacing w:line="360" w:lineRule="auto"/>
        <w:ind w:left="284" w:right="-733" w:hanging="426"/>
        <w:jc w:val="both"/>
        <w:rPr>
          <w:rFonts w:ascii="Arial" w:eastAsia="Arial" w:hAnsi="Arial" w:cs="Arial"/>
          <w:sz w:val="22"/>
          <w:szCs w:val="22"/>
        </w:rPr>
      </w:pPr>
      <w:r w:rsidRPr="00133E54">
        <w:rPr>
          <w:rFonts w:ascii="Arial" w:eastAsia="Arial" w:hAnsi="Arial" w:cs="Arial"/>
          <w:sz w:val="22"/>
          <w:szCs w:val="22"/>
        </w:rPr>
        <w:t>All Pages of the report including annexures are signed and stamped from our office. In case any paper in the report is without stamp &amp; signature then this should not be considered a valid paper issued from this office.</w:t>
      </w:r>
    </w:p>
    <w:p w:rsidR="00742C5D" w:rsidRDefault="00742C5D" w:rsidP="00A0081D">
      <w:pPr>
        <w:numPr>
          <w:ilvl w:val="3"/>
          <w:numId w:val="6"/>
        </w:numPr>
        <w:spacing w:line="360" w:lineRule="auto"/>
        <w:ind w:left="284" w:right="-733" w:hanging="426"/>
        <w:jc w:val="both"/>
        <w:rPr>
          <w:rFonts w:ascii="Arial" w:eastAsia="Arial" w:hAnsi="Arial" w:cs="Arial"/>
          <w:sz w:val="22"/>
          <w:szCs w:val="22"/>
        </w:rPr>
      </w:pPr>
      <w:r w:rsidRPr="00133E54">
        <w:rPr>
          <w:rFonts w:ascii="Arial" w:eastAsia="Arial" w:hAnsi="Arial" w:cs="Arial"/>
          <w:sz w:val="22"/>
          <w:szCs w:val="22"/>
        </w:rPr>
        <w:lastRenderedPageBreak/>
        <w:t>Though adequate care has been taken while preparing this report as per its scope, but still, we can’t rule out typing, human errors, over sightedness of any information or any other mistakes. Therefore, the concerned organization is advised to satisfy themselves that the report is complete &amp; satisfactory in all respect. Intimation regarding any discrepancy shall be brought into our notice immediately. If no intimation is received within 15 (Fifteen) days in writing from the date of issuance of the report, to rectify these timely, then it shall be considered that the report is complete in all respect and has been accepted by the client up to their satisfaction &amp; use and further to which R.K Associates shall not be held responsible in any manner.</w:t>
      </w:r>
    </w:p>
    <w:p w:rsidR="00742C5D" w:rsidRDefault="00742C5D" w:rsidP="00A0081D">
      <w:pPr>
        <w:numPr>
          <w:ilvl w:val="3"/>
          <w:numId w:val="6"/>
        </w:numPr>
        <w:spacing w:line="360" w:lineRule="auto"/>
        <w:ind w:left="284" w:right="-733" w:hanging="426"/>
        <w:jc w:val="both"/>
        <w:rPr>
          <w:rFonts w:ascii="Arial" w:eastAsia="Arial" w:hAnsi="Arial" w:cs="Arial"/>
          <w:sz w:val="22"/>
          <w:szCs w:val="22"/>
        </w:rPr>
      </w:pPr>
      <w:r w:rsidRPr="00133E54">
        <w:rPr>
          <w:rFonts w:ascii="Arial" w:eastAsia="Arial" w:hAnsi="Arial" w:cs="Arial"/>
          <w:sz w:val="22"/>
          <w:szCs w:val="22"/>
        </w:rPr>
        <w:t xml:space="preserve">Defect Liability Period is </w:t>
      </w:r>
      <w:r w:rsidRPr="00133E54">
        <w:rPr>
          <w:rFonts w:ascii="Arial" w:eastAsia="Arial" w:hAnsi="Arial" w:cs="Arial"/>
          <w:b/>
          <w:sz w:val="22"/>
          <w:szCs w:val="22"/>
          <w:u w:val="single"/>
        </w:rPr>
        <w:t>15 DAYS</w:t>
      </w:r>
      <w:r w:rsidRPr="00133E54">
        <w:rPr>
          <w:rFonts w:ascii="Arial" w:eastAsia="Arial" w:hAnsi="Arial" w:cs="Arial"/>
          <w:sz w:val="22"/>
          <w:szCs w:val="22"/>
        </w:rPr>
        <w:t>. We request the concerned authorized reader of this report to check the contents, data and calculations in the report within this period and intimate us in writing if any corrections are required or in case of any other concern with the contents or opinion mentioned in the report. Corrections only related to typographical, calculation, spelling mistakes, incorrect data/ figures/ statement will be entertained within the defect liability period. Any new changes for any additional information in already approved report will be regarded as additional work for which additional fees may be charged. No request for any illegitimate change in regard to any facts &amp; figures will be entertained.</w:t>
      </w:r>
    </w:p>
    <w:p w:rsidR="00742C5D" w:rsidRDefault="00742C5D" w:rsidP="00A0081D">
      <w:pPr>
        <w:numPr>
          <w:ilvl w:val="3"/>
          <w:numId w:val="6"/>
        </w:numPr>
        <w:spacing w:line="360" w:lineRule="auto"/>
        <w:ind w:left="284" w:right="-733" w:hanging="426"/>
        <w:jc w:val="both"/>
        <w:rPr>
          <w:rFonts w:ascii="Arial" w:eastAsia="Arial" w:hAnsi="Arial" w:cs="Arial"/>
          <w:sz w:val="22"/>
          <w:szCs w:val="22"/>
        </w:rPr>
      </w:pPr>
      <w:r w:rsidRPr="00133E54">
        <w:rPr>
          <w:rFonts w:ascii="Arial" w:eastAsia="Arial" w:hAnsi="Arial" w:cs="Arial"/>
          <w:sz w:val="22"/>
          <w:szCs w:val="22"/>
        </w:rPr>
        <w:t xml:space="preserve">R.K Associates encourages its customers to give feedback or inform concerns over its services through proper channel at </w:t>
      </w:r>
      <w:hyperlink r:id="rId12" w:history="1">
        <w:r w:rsidRPr="006078F5">
          <w:rPr>
            <w:rStyle w:val="Hyperlink"/>
            <w:rFonts w:ascii="Arial" w:eastAsia="Arial" w:hAnsi="Arial" w:cs="Arial"/>
            <w:sz w:val="22"/>
            <w:szCs w:val="22"/>
          </w:rPr>
          <w:t>valuers@rkassociates.org</w:t>
        </w:r>
      </w:hyperlink>
      <w:r>
        <w:rPr>
          <w:rFonts w:ascii="Arial" w:eastAsia="Arial" w:hAnsi="Arial" w:cs="Arial"/>
          <w:sz w:val="22"/>
          <w:szCs w:val="22"/>
        </w:rPr>
        <w:t xml:space="preserve"> </w:t>
      </w:r>
      <w:r w:rsidRPr="00133E54">
        <w:rPr>
          <w:rFonts w:ascii="Arial" w:eastAsia="Arial" w:hAnsi="Arial" w:cs="Arial"/>
          <w:sz w:val="22"/>
          <w:szCs w:val="22"/>
        </w:rPr>
        <w:t>in writing within 15 days of report delivery. After this period no concern/ complaint/ proceedings in connection with the Financial Feasibility Study Services will be entertained due to possible change in situation and condition of the subject Project.</w:t>
      </w:r>
    </w:p>
    <w:p w:rsidR="00742C5D" w:rsidRDefault="00742C5D" w:rsidP="00A0081D">
      <w:pPr>
        <w:numPr>
          <w:ilvl w:val="3"/>
          <w:numId w:val="6"/>
        </w:numPr>
        <w:spacing w:line="360" w:lineRule="auto"/>
        <w:ind w:left="284" w:right="-733" w:hanging="426"/>
        <w:jc w:val="both"/>
        <w:rPr>
          <w:rFonts w:ascii="Arial" w:eastAsia="Arial" w:hAnsi="Arial" w:cs="Arial"/>
          <w:sz w:val="22"/>
          <w:szCs w:val="22"/>
        </w:rPr>
      </w:pPr>
      <w:r w:rsidRPr="00133E54">
        <w:rPr>
          <w:rFonts w:ascii="Arial" w:eastAsia="Arial" w:hAnsi="Arial" w:cs="Arial"/>
          <w:sz w:val="22"/>
          <w:szCs w:val="22"/>
        </w:rPr>
        <w:t xml:space="preserve">Our Data retention policy is of </w:t>
      </w:r>
      <w:r w:rsidRPr="00133E54">
        <w:rPr>
          <w:rFonts w:ascii="Arial" w:eastAsia="Arial" w:hAnsi="Arial" w:cs="Arial"/>
          <w:b/>
          <w:sz w:val="22"/>
          <w:szCs w:val="22"/>
          <w:u w:val="single"/>
        </w:rPr>
        <w:t>ONE YEAR</w:t>
      </w:r>
      <w:r w:rsidRPr="00133E54">
        <w:rPr>
          <w:rFonts w:ascii="Arial" w:eastAsia="Arial" w:hAnsi="Arial" w:cs="Arial"/>
          <w:sz w:val="22"/>
          <w:szCs w:val="22"/>
        </w:rPr>
        <w:t>. After this period, we remove all the concerned records related to the assignment from our repository. No clarification or query can be answered after this period due to unavailability of the data.</w:t>
      </w:r>
    </w:p>
    <w:p w:rsidR="00742C5D" w:rsidRDefault="00742C5D" w:rsidP="00A0081D">
      <w:pPr>
        <w:numPr>
          <w:ilvl w:val="3"/>
          <w:numId w:val="6"/>
        </w:numPr>
        <w:spacing w:line="360" w:lineRule="auto"/>
        <w:ind w:left="284" w:right="-733" w:hanging="426"/>
        <w:jc w:val="both"/>
        <w:rPr>
          <w:rFonts w:ascii="Arial" w:eastAsia="Arial" w:hAnsi="Arial" w:cs="Arial"/>
          <w:sz w:val="22"/>
          <w:szCs w:val="22"/>
        </w:rPr>
      </w:pPr>
      <w:r w:rsidRPr="00133E54">
        <w:rPr>
          <w:rFonts w:ascii="Arial" w:eastAsia="Arial" w:hAnsi="Arial" w:cs="Arial"/>
          <w:sz w:val="22"/>
          <w:szCs w:val="22"/>
        </w:rPr>
        <w:t xml:space="preserve">This Financial Feasibility Study report is governed by our (1) </w:t>
      </w:r>
      <w:r w:rsidRPr="00133E54">
        <w:rPr>
          <w:rFonts w:ascii="Arial" w:eastAsia="Arial" w:hAnsi="Arial" w:cs="Arial"/>
          <w:sz w:val="22"/>
          <w:szCs w:val="22"/>
          <w:u w:val="single"/>
        </w:rPr>
        <w:t>Internal Policies, Processes &amp; Standard Operating Procedures, (2) Information/ Data/ Inputs given to us by the client and (3) Information/ Data/ Facts given to us by our field/ office technical team.</w:t>
      </w:r>
      <w:r w:rsidRPr="00133E54">
        <w:rPr>
          <w:rFonts w:ascii="Arial" w:eastAsia="Arial" w:hAnsi="Arial" w:cs="Arial"/>
          <w:sz w:val="22"/>
          <w:szCs w:val="22"/>
        </w:rPr>
        <w:t xml:space="preserve"> Management of R.K Associates never gives acceptance to any unethical or unprofessional practice which may affect fair, correct &amp; impartial assessment and which is against any prevailing law. In case of any indication of any negligence, default, incorrect, misleading, misrepresentation or distortion of facts in the report then it is the responsibility of the user of this report to immediately or at least within the defect liability period bring all such act into notice of R.K Associates management so that corrective measures can be taken instantly.</w:t>
      </w:r>
    </w:p>
    <w:p w:rsidR="00742C5D" w:rsidRPr="00133E54" w:rsidRDefault="00742C5D" w:rsidP="00A0081D">
      <w:pPr>
        <w:numPr>
          <w:ilvl w:val="3"/>
          <w:numId w:val="6"/>
        </w:numPr>
        <w:spacing w:line="360" w:lineRule="auto"/>
        <w:ind w:left="284" w:right="-733" w:hanging="426"/>
        <w:jc w:val="both"/>
        <w:rPr>
          <w:rFonts w:ascii="Arial" w:eastAsia="Arial" w:hAnsi="Arial" w:cs="Arial"/>
          <w:sz w:val="22"/>
          <w:szCs w:val="22"/>
        </w:rPr>
      </w:pPr>
      <w:r w:rsidRPr="00133E54">
        <w:rPr>
          <w:rFonts w:ascii="Arial" w:eastAsia="Arial" w:hAnsi="Arial" w:cs="Arial"/>
          <w:sz w:val="22"/>
          <w:szCs w:val="22"/>
        </w:rPr>
        <w:lastRenderedPageBreak/>
        <w:t>R.K Associates never releases any report doing alterations or modifications from pen. In case any information/ figure of this report is found altered with pen then this report will automatically become null &amp; void.</w:t>
      </w:r>
    </w:p>
    <w:p w:rsidR="00742C5D" w:rsidRPr="00800092" w:rsidRDefault="00742C5D" w:rsidP="00742C5D">
      <w:pPr>
        <w:tabs>
          <w:tab w:val="left" w:pos="360"/>
        </w:tabs>
        <w:ind w:right="-23"/>
        <w:jc w:val="both"/>
        <w:rPr>
          <w:rFonts w:ascii="Arial" w:hAnsi="Arial" w:cs="Arial"/>
          <w:sz w:val="20"/>
          <w:szCs w:val="20"/>
          <w:highlight w:val="yellow"/>
          <w:lang w:val="fr-FR"/>
        </w:rPr>
      </w:pPr>
    </w:p>
    <w:p w:rsidR="00742C5D" w:rsidRDefault="00742C5D" w:rsidP="00742C5D">
      <w:pPr>
        <w:jc w:val="right"/>
      </w:pPr>
    </w:p>
    <w:p w:rsidR="00742C5D" w:rsidRPr="008124DF" w:rsidRDefault="00742C5D" w:rsidP="00742C5D"/>
    <w:p w:rsidR="00742C5D" w:rsidRPr="008124DF" w:rsidRDefault="00742C5D" w:rsidP="00742C5D"/>
    <w:p w:rsidR="00742C5D" w:rsidRPr="008124DF" w:rsidRDefault="00742C5D" w:rsidP="00742C5D"/>
    <w:p w:rsidR="00742C5D" w:rsidRPr="008124DF" w:rsidRDefault="00742C5D" w:rsidP="00742C5D"/>
    <w:p w:rsidR="00742C5D" w:rsidRPr="008124DF" w:rsidRDefault="00742C5D" w:rsidP="00742C5D"/>
    <w:p w:rsidR="00742C5D" w:rsidRPr="008124DF" w:rsidRDefault="00742C5D" w:rsidP="00742C5D"/>
    <w:p w:rsidR="00742C5D" w:rsidRPr="008124DF" w:rsidRDefault="00742C5D" w:rsidP="00742C5D"/>
    <w:p w:rsidR="00742C5D" w:rsidRPr="008124DF" w:rsidRDefault="00742C5D" w:rsidP="00742C5D"/>
    <w:p w:rsidR="00742C5D" w:rsidRPr="008124DF" w:rsidRDefault="00742C5D" w:rsidP="00742C5D"/>
    <w:p w:rsidR="00742C5D" w:rsidRPr="008124DF" w:rsidRDefault="00742C5D" w:rsidP="00742C5D"/>
    <w:p w:rsidR="00742C5D" w:rsidRPr="008124DF" w:rsidRDefault="00742C5D" w:rsidP="00742C5D"/>
    <w:p w:rsidR="00742C5D" w:rsidRDefault="00742C5D" w:rsidP="00742C5D"/>
    <w:p w:rsidR="00742C5D" w:rsidRDefault="00742C5D" w:rsidP="00742C5D"/>
    <w:p w:rsidR="009D2B05" w:rsidRPr="00800092" w:rsidRDefault="009D2B05" w:rsidP="008B4D82">
      <w:pPr>
        <w:tabs>
          <w:tab w:val="left" w:pos="360"/>
        </w:tabs>
        <w:ind w:right="16"/>
        <w:jc w:val="both"/>
        <w:rPr>
          <w:rFonts w:ascii="Arial" w:hAnsi="Arial" w:cs="Arial"/>
          <w:sz w:val="20"/>
          <w:szCs w:val="20"/>
          <w:highlight w:val="yellow"/>
          <w:lang w:val="fr-FR"/>
        </w:rPr>
      </w:pPr>
    </w:p>
    <w:sectPr w:rsidR="009D2B05" w:rsidRPr="00800092" w:rsidSect="0020127F">
      <w:pgSz w:w="11906" w:h="16838"/>
      <w:pgMar w:top="1123" w:right="1440" w:bottom="1440" w:left="156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B32" w:rsidRDefault="00722B32" w:rsidP="0008705A">
      <w:pPr>
        <w:spacing w:after="0" w:line="240" w:lineRule="auto"/>
      </w:pPr>
      <w:r>
        <w:separator/>
      </w:r>
    </w:p>
  </w:endnote>
  <w:endnote w:type="continuationSeparator" w:id="0">
    <w:p w:rsidR="00722B32" w:rsidRDefault="00722B32" w:rsidP="00087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603" w:rsidRDefault="000C56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C5603" w:rsidRDefault="000C560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603" w:rsidRDefault="000C5603" w:rsidP="00E11206"/>
  <w:p w:rsidR="000C5603" w:rsidRPr="00DA40F0" w:rsidRDefault="00722B32" w:rsidP="00E11206">
    <w:pPr>
      <w:pStyle w:val="Footer"/>
      <w:tabs>
        <w:tab w:val="clear" w:pos="8640"/>
        <w:tab w:val="right" w:pos="9214"/>
      </w:tabs>
      <w:rPr>
        <w:rFonts w:ascii="Arial" w:hAnsi="Arial" w:cs="Arial"/>
        <w:sz w:val="22"/>
      </w:rPr>
    </w:pPr>
    <w:sdt>
      <w:sdtPr>
        <w:rPr>
          <w:rFonts w:ascii="Arial" w:hAnsi="Arial" w:cs="Arial"/>
          <w:sz w:val="22"/>
        </w:rPr>
        <w:id w:val="1807822042"/>
        <w:docPartObj>
          <w:docPartGallery w:val="Page Numbers (Top of Page)"/>
          <w:docPartUnique/>
        </w:docPartObj>
      </w:sdtPr>
      <w:sdtEndPr/>
      <w:sdtContent>
        <w:r w:rsidR="000C5603" w:rsidRPr="00DA40F0">
          <w:rPr>
            <w:rFonts w:ascii="Arial" w:hAnsi="Arial" w:cs="Arial"/>
            <w:noProof/>
            <w:color w:val="222A35" w:themeColor="text2" w:themeShade="80"/>
            <w:sz w:val="22"/>
            <w:lang w:val="en-IN" w:eastAsia="en-IN"/>
          </w:rPr>
          <mc:AlternateContent>
            <mc:Choice Requires="wps">
              <w:drawing>
                <wp:anchor distT="0" distB="0" distL="114300" distR="114300" simplePos="0" relativeHeight="251658240" behindDoc="0" locked="0" layoutInCell="1" allowOverlap="1" wp14:anchorId="17614FD9" wp14:editId="0B410802">
                  <wp:simplePos x="0" y="0"/>
                  <wp:positionH relativeFrom="column">
                    <wp:posOffset>30480</wp:posOffset>
                  </wp:positionH>
                  <wp:positionV relativeFrom="paragraph">
                    <wp:posOffset>-86995</wp:posOffset>
                  </wp:positionV>
                  <wp:extent cx="5753100" cy="0"/>
                  <wp:effectExtent l="0" t="19050" r="0" b="19050"/>
                  <wp:wrapNone/>
                  <wp:docPr id="20" name="Straight Connector 20"/>
                  <wp:cNvGraphicFramePr/>
                  <a:graphic xmlns:a="http://schemas.openxmlformats.org/drawingml/2006/main">
                    <a:graphicData uri="http://schemas.microsoft.com/office/word/2010/wordprocessingShape">
                      <wps:wsp>
                        <wps:cNvCnPr/>
                        <wps:spPr>
                          <a:xfrm>
                            <a:off x="0" y="0"/>
                            <a:ext cx="575310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71DA67" id="Straight Connector 2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6.85pt" to="455.4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" strokecolor="#5b9bd5 [3204]" strokeweight="2.25pt">
                  <v:stroke joinstyle="miter"/>
                </v:line>
              </w:pict>
            </mc:Fallback>
          </mc:AlternateContent>
        </w:r>
        <w:r w:rsidR="000C5603" w:rsidRPr="00DA40F0">
          <w:rPr>
            <w:rFonts w:ascii="Arial" w:hAnsi="Arial" w:cs="Arial"/>
            <w:b/>
            <w:color w:val="222A35" w:themeColor="text2" w:themeShade="80"/>
            <w:sz w:val="22"/>
          </w:rPr>
          <w:t xml:space="preserve">FILE </w:t>
        </w:r>
        <w:r w:rsidR="000C5603">
          <w:rPr>
            <w:rFonts w:ascii="Arial" w:hAnsi="Arial" w:cs="Arial"/>
            <w:b/>
            <w:color w:val="222A35" w:themeColor="text2" w:themeShade="80"/>
            <w:sz w:val="22"/>
          </w:rPr>
          <w:t>NO.: VIS (2022-23)-PL138-Q025-115</w:t>
        </w:r>
        <w:r w:rsidR="000C5603">
          <w:rPr>
            <w:rFonts w:ascii="Arial" w:hAnsi="Arial" w:cs="Arial"/>
            <w:b/>
            <w:color w:val="222A35" w:themeColor="text2" w:themeShade="80"/>
            <w:sz w:val="22"/>
            <w:lang w:val="en-IN"/>
          </w:rPr>
          <w:t xml:space="preserve">                                                     </w:t>
        </w:r>
        <w:r w:rsidR="000C5603" w:rsidRPr="00E95BFC">
          <w:rPr>
            <w:rFonts w:ascii="Arial" w:hAnsi="Arial" w:cs="Arial"/>
            <w:b/>
            <w:sz w:val="22"/>
          </w:rPr>
          <w:t xml:space="preserve">Page </w:t>
        </w:r>
        <w:r w:rsidR="000C5603" w:rsidRPr="00E95BFC">
          <w:rPr>
            <w:rFonts w:ascii="Arial" w:hAnsi="Arial" w:cs="Arial"/>
            <w:b/>
            <w:bCs/>
            <w:sz w:val="22"/>
          </w:rPr>
          <w:fldChar w:fldCharType="begin"/>
        </w:r>
        <w:r w:rsidR="000C5603" w:rsidRPr="00E95BFC">
          <w:rPr>
            <w:rFonts w:ascii="Arial" w:hAnsi="Arial" w:cs="Arial"/>
            <w:b/>
            <w:bCs/>
            <w:sz w:val="22"/>
          </w:rPr>
          <w:instrText xml:space="preserve"> PAGE </w:instrText>
        </w:r>
        <w:r w:rsidR="000C5603" w:rsidRPr="00E95BFC">
          <w:rPr>
            <w:rFonts w:ascii="Arial" w:hAnsi="Arial" w:cs="Arial"/>
            <w:b/>
            <w:bCs/>
            <w:sz w:val="22"/>
          </w:rPr>
          <w:fldChar w:fldCharType="separate"/>
        </w:r>
        <w:r w:rsidR="00270579">
          <w:rPr>
            <w:rFonts w:ascii="Arial" w:hAnsi="Arial" w:cs="Arial"/>
            <w:b/>
            <w:bCs/>
            <w:noProof/>
            <w:sz w:val="22"/>
          </w:rPr>
          <w:t>9</w:t>
        </w:r>
        <w:r w:rsidR="000C5603" w:rsidRPr="00E95BFC">
          <w:rPr>
            <w:rFonts w:ascii="Arial" w:hAnsi="Arial" w:cs="Arial"/>
            <w:b/>
            <w:bCs/>
            <w:sz w:val="22"/>
          </w:rPr>
          <w:fldChar w:fldCharType="end"/>
        </w:r>
        <w:r w:rsidR="000C5603" w:rsidRPr="00E95BFC">
          <w:rPr>
            <w:rFonts w:ascii="Arial" w:hAnsi="Arial" w:cs="Arial"/>
            <w:b/>
            <w:sz w:val="22"/>
          </w:rPr>
          <w:t xml:space="preserve"> of </w:t>
        </w:r>
        <w:r w:rsidR="000C5603">
          <w:rPr>
            <w:rFonts w:ascii="Arial" w:hAnsi="Arial" w:cs="Arial"/>
            <w:b/>
            <w:bCs/>
            <w:sz w:val="22"/>
          </w:rPr>
          <w:t>2</w:t>
        </w:r>
        <w:r w:rsidR="00270579">
          <w:rPr>
            <w:rFonts w:ascii="Arial" w:hAnsi="Arial" w:cs="Arial"/>
            <w:b/>
            <w:bCs/>
            <w:sz w:val="22"/>
          </w:rPr>
          <w:t>2</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603" w:rsidRDefault="000C5603" w:rsidP="00E11206"/>
  <w:p w:rsidR="000C5603" w:rsidRPr="00FA178B" w:rsidRDefault="000C5603" w:rsidP="00E112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B32" w:rsidRDefault="00722B32" w:rsidP="0008705A">
      <w:pPr>
        <w:spacing w:after="0" w:line="240" w:lineRule="auto"/>
      </w:pPr>
      <w:r>
        <w:separator/>
      </w:r>
    </w:p>
  </w:footnote>
  <w:footnote w:type="continuationSeparator" w:id="0">
    <w:p w:rsidR="00722B32" w:rsidRDefault="00722B32" w:rsidP="000870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603" w:rsidRDefault="000C5603" w:rsidP="00ED3373">
    <w:pPr>
      <w:pStyle w:val="Header"/>
      <w:tabs>
        <w:tab w:val="clear" w:pos="8640"/>
        <w:tab w:val="right" w:pos="9923"/>
      </w:tabs>
      <w:spacing w:after="0"/>
      <w:ind w:left="-567" w:right="-714"/>
      <w:rPr>
        <w:rFonts w:ascii="Arial" w:hAnsi="Arial" w:cs="Arial"/>
        <w:bCs/>
        <w:color w:val="323E4F" w:themeColor="text2" w:themeShade="BF"/>
        <w:sz w:val="28"/>
        <w:szCs w:val="28"/>
      </w:rPr>
    </w:pPr>
    <w:r>
      <w:rPr>
        <w:b/>
        <w:bCs/>
        <w:color w:val="323E4F" w:themeColor="text2" w:themeShade="BF"/>
        <w:sz w:val="28"/>
        <w:szCs w:val="28"/>
      </w:rPr>
      <w:t xml:space="preserve">SHARE VALUATION REPORT </w:t>
    </w:r>
    <w:sdt>
      <w:sdtPr>
        <w:rPr>
          <w:b/>
          <w:bCs/>
          <w:color w:val="323E4F" w:themeColor="text2" w:themeShade="BF"/>
          <w:sz w:val="28"/>
          <w:szCs w:val="28"/>
        </w:rPr>
        <w:alias w:val="Title"/>
        <w:id w:val="9105866"/>
        <w:showingPlcHdr/>
        <w:dataBinding w:prefixMappings="xmlns:ns0='http://schemas.openxmlformats.org/package/2006/metadata/core-properties' xmlns:ns1='http://purl.org/dc/elements/1.1/'" w:xpath="/ns0:coreProperties[1]/ns1:title[1]" w:storeItemID="{6C3C8BC8-F283-45AE-878A-BAB7291924A1}"/>
        <w:text/>
      </w:sdtPr>
      <w:sdtEndPr/>
      <w:sdtContent>
        <w:r>
          <w:rPr>
            <w:b/>
            <w:bCs/>
            <w:color w:val="323E4F" w:themeColor="text2" w:themeShade="BF"/>
            <w:sz w:val="28"/>
            <w:szCs w:val="28"/>
          </w:rPr>
          <w:t xml:space="preserve">     </w:t>
        </w:r>
      </w:sdtContent>
    </w:sdt>
    <w:r>
      <w:rPr>
        <w:rFonts w:ascii="Arial" w:hAnsi="Arial" w:cs="Arial"/>
        <w:bCs/>
        <w:color w:val="323E4F" w:themeColor="text2" w:themeShade="BF"/>
        <w:sz w:val="28"/>
        <w:szCs w:val="28"/>
      </w:rPr>
      <w:t xml:space="preserve">                                       </w:t>
    </w:r>
    <w:r>
      <w:rPr>
        <w:noProof/>
        <w:color w:val="5B9BD5" w:themeColor="accent1"/>
        <w:lang w:val="en-IN" w:eastAsia="en-IN"/>
      </w:rPr>
      <w:drawing>
        <wp:inline distT="0" distB="0" distL="0" distR="0" wp14:anchorId="2289346A" wp14:editId="04AC823B">
          <wp:extent cx="1723748" cy="262255"/>
          <wp:effectExtent l="0" t="0" r="0" b="4445"/>
          <wp:docPr id="6" name="Picture 6" descr="C:\Users\Mohit\Google Drive\RK Final logo open f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Users\Mohit\Google Drive\RK Final logo open fil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32187" cy="263539"/>
                  </a:xfrm>
                  <a:prstGeom prst="rect">
                    <a:avLst/>
                  </a:prstGeom>
                  <a:noFill/>
                  <a:ln>
                    <a:noFill/>
                  </a:ln>
                </pic:spPr>
              </pic:pic>
            </a:graphicData>
          </a:graphic>
        </wp:inline>
      </w:drawing>
    </w:r>
  </w:p>
  <w:p w:rsidR="000C5603" w:rsidRPr="000D2FA7" w:rsidRDefault="00722B32" w:rsidP="00901C48">
    <w:pPr>
      <w:pStyle w:val="Header"/>
      <w:tabs>
        <w:tab w:val="clear" w:pos="8640"/>
        <w:tab w:val="left" w:pos="2580"/>
        <w:tab w:val="left" w:pos="2985"/>
        <w:tab w:val="left" w:pos="5715"/>
      </w:tabs>
      <w:spacing w:after="0"/>
      <w:ind w:left="-567"/>
      <w:rPr>
        <w:rFonts w:ascii="Cambria" w:hAnsi="Cambria" w:cstheme="majorHAnsi"/>
        <w:b/>
        <w:color w:val="5B9BD5" w:themeColor="accent1"/>
      </w:rPr>
    </w:pPr>
    <w:sdt>
      <w:sdtPr>
        <w:rPr>
          <w:rFonts w:ascii="Cambria" w:hAnsi="Cambria" w:cstheme="majorHAnsi"/>
          <w:b/>
          <w:color w:val="5B9BD5" w:themeColor="accent1"/>
          <w:sz w:val="20"/>
        </w:rPr>
        <w:alias w:val="Subtitle"/>
        <w:id w:val="1256023986"/>
        <w:dataBinding w:prefixMappings="xmlns:ns0='http://schemas.openxmlformats.org/package/2006/metadata/core-properties' xmlns:ns1='http://purl.org/dc/elements/1.1/'" w:xpath="/ns0:coreProperties[1]/ns1:subject[1]" w:storeItemID="{6C3C8BC8-F283-45AE-878A-BAB7291924A1}"/>
        <w:text/>
      </w:sdtPr>
      <w:sdtEndPr/>
      <w:sdtContent>
        <w:r w:rsidR="000C5603">
          <w:rPr>
            <w:rFonts w:ascii="Cambria" w:hAnsi="Cambria" w:cstheme="majorHAnsi"/>
            <w:b/>
            <w:color w:val="5B9BD5" w:themeColor="accent1"/>
            <w:sz w:val="20"/>
          </w:rPr>
          <w:t>M/S GMR WARORA ENERGY LIMITED</w:t>
        </w:r>
      </w:sdtContent>
    </w:sdt>
    <w:r w:rsidR="000C5603">
      <w:rPr>
        <w:rFonts w:ascii="Cambria" w:hAnsi="Cambria" w:cstheme="majorHAnsi"/>
        <w:b/>
        <w:color w:val="5B9BD5" w:themeColor="accent1"/>
        <w:sz w:val="20"/>
      </w:rPr>
      <w:tab/>
    </w:r>
  </w:p>
  <w:p w:rsidR="000C5603" w:rsidRPr="003B217F" w:rsidRDefault="000C5603" w:rsidP="005A383B">
    <w:pPr>
      <w:pStyle w:val="Header"/>
      <w:tabs>
        <w:tab w:val="left" w:pos="2580"/>
        <w:tab w:val="left" w:pos="2985"/>
      </w:tabs>
      <w:spacing w:after="120"/>
      <w:rPr>
        <w:rFonts w:asciiTheme="majorHAnsi" w:hAnsiTheme="majorHAnsi" w:cstheme="minorHAnsi"/>
        <w:b/>
        <w:color w:val="5B9BD5" w:themeColor="accent1"/>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84686"/>
    <w:multiLevelType w:val="hybridMultilevel"/>
    <w:tmpl w:val="4A7C0286"/>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6CB4A05"/>
    <w:multiLevelType w:val="hybridMultilevel"/>
    <w:tmpl w:val="D3B663AA"/>
    <w:lvl w:ilvl="0" w:tplc="E6F87910">
      <w:start w:val="1"/>
      <w:numFmt w:val="lowerRoman"/>
      <w:lvlText w:val="%1."/>
      <w:lvlJc w:val="righ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12AA7"/>
    <w:multiLevelType w:val="hybridMultilevel"/>
    <w:tmpl w:val="388A8B44"/>
    <w:lvl w:ilvl="0" w:tplc="3A0098AA">
      <w:start w:val="1"/>
      <w:numFmt w:val="lowerLetter"/>
      <w:lvlText w:val="%1)"/>
      <w:lvlJc w:val="left"/>
      <w:pPr>
        <w:ind w:left="720" w:hanging="360"/>
      </w:pPr>
      <w:rPr>
        <w:rFonts w:hint="default"/>
        <w:b/>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15E72CD"/>
    <w:multiLevelType w:val="hybridMultilevel"/>
    <w:tmpl w:val="E9DEAD54"/>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4" w15:restartNumberingAfterBreak="0">
    <w:nsid w:val="19422372"/>
    <w:multiLevelType w:val="hybridMultilevel"/>
    <w:tmpl w:val="F4F057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E973E74"/>
    <w:multiLevelType w:val="multilevel"/>
    <w:tmpl w:val="289652CC"/>
    <w:lvl w:ilvl="0">
      <w:start w:val="1"/>
      <w:numFmt w:val="lowerLetter"/>
      <w:lvlText w:val="(%1)"/>
      <w:lvlJc w:val="left"/>
      <w:pPr>
        <w:ind w:left="720" w:hanging="720"/>
      </w:pPr>
      <w:rPr>
        <w:rFonts w:ascii="Arial" w:eastAsia="Arial" w:hAnsi="Arial" w:cs="Arial"/>
        <w:b w:val="0"/>
        <w:sz w:val="24"/>
        <w:szCs w:val="24"/>
      </w:rPr>
    </w:lvl>
    <w:lvl w:ilvl="1">
      <w:start w:val="1"/>
      <w:numFmt w:val="lowerLetter"/>
      <w:lvlText w:val="%2."/>
      <w:lvlJc w:val="left"/>
      <w:pPr>
        <w:ind w:left="-900" w:hanging="360"/>
      </w:pPr>
    </w:lvl>
    <w:lvl w:ilvl="2">
      <w:start w:val="1"/>
      <w:numFmt w:val="lowerRoman"/>
      <w:lvlText w:val="%3."/>
      <w:lvlJc w:val="right"/>
      <w:pPr>
        <w:ind w:left="-180" w:hanging="180"/>
      </w:pPr>
    </w:lvl>
    <w:lvl w:ilvl="3">
      <w:start w:val="1"/>
      <w:numFmt w:val="decimal"/>
      <w:lvlText w:val="%4."/>
      <w:lvlJc w:val="left"/>
      <w:pPr>
        <w:ind w:left="540" w:hanging="360"/>
      </w:pPr>
      <w:rPr>
        <w:b/>
      </w:rPr>
    </w:lvl>
    <w:lvl w:ilvl="4">
      <w:start w:val="1"/>
      <w:numFmt w:val="lowerLetter"/>
      <w:lvlText w:val="%5."/>
      <w:lvlJc w:val="left"/>
      <w:pPr>
        <w:ind w:left="1260" w:hanging="360"/>
      </w:pPr>
    </w:lvl>
    <w:lvl w:ilvl="5">
      <w:start w:val="1"/>
      <w:numFmt w:val="lowerRoman"/>
      <w:lvlText w:val="%6."/>
      <w:lvlJc w:val="right"/>
      <w:pPr>
        <w:ind w:left="1980" w:hanging="180"/>
      </w:pPr>
    </w:lvl>
    <w:lvl w:ilvl="6">
      <w:start w:val="1"/>
      <w:numFmt w:val="decimal"/>
      <w:lvlText w:val="%7."/>
      <w:lvlJc w:val="left"/>
      <w:pPr>
        <w:ind w:left="2700" w:hanging="360"/>
      </w:pPr>
    </w:lvl>
    <w:lvl w:ilvl="7">
      <w:start w:val="1"/>
      <w:numFmt w:val="lowerLetter"/>
      <w:lvlText w:val="%8."/>
      <w:lvlJc w:val="left"/>
      <w:pPr>
        <w:ind w:left="3420" w:hanging="360"/>
      </w:pPr>
    </w:lvl>
    <w:lvl w:ilvl="8">
      <w:start w:val="1"/>
      <w:numFmt w:val="lowerRoman"/>
      <w:lvlText w:val="%9."/>
      <w:lvlJc w:val="right"/>
      <w:pPr>
        <w:ind w:left="4140" w:hanging="180"/>
      </w:pPr>
    </w:lvl>
  </w:abstractNum>
  <w:abstractNum w:abstractNumId="6" w15:restartNumberingAfterBreak="0">
    <w:nsid w:val="20034CCE"/>
    <w:multiLevelType w:val="multilevel"/>
    <w:tmpl w:val="278226A6"/>
    <w:lvl w:ilvl="0">
      <w:start w:val="1"/>
      <w:numFmt w:val="decimal"/>
      <w:lvlText w:val="%1."/>
      <w:lvlJc w:val="left"/>
      <w:pPr>
        <w:ind w:left="720" w:hanging="360"/>
      </w:pPr>
      <w:rPr>
        <w:b/>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8824F28"/>
    <w:multiLevelType w:val="hybridMultilevel"/>
    <w:tmpl w:val="8F30A75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DFB42F5"/>
    <w:multiLevelType w:val="hybridMultilevel"/>
    <w:tmpl w:val="267015E6"/>
    <w:lvl w:ilvl="0" w:tplc="6D8ADE90">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21516CD"/>
    <w:multiLevelType w:val="multilevel"/>
    <w:tmpl w:val="A77A7060"/>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B027DB"/>
    <w:multiLevelType w:val="multilevel"/>
    <w:tmpl w:val="37B027DB"/>
    <w:lvl w:ilvl="0">
      <w:start w:val="1"/>
      <w:numFmt w:val="bullet"/>
      <w:lvlText w:val=""/>
      <w:lvlJc w:val="left"/>
      <w:pPr>
        <w:ind w:left="1539" w:hanging="360"/>
      </w:pPr>
      <w:rPr>
        <w:rFonts w:ascii="Symbol" w:hAnsi="Symbol" w:hint="default"/>
        <w:b w:val="0"/>
      </w:rPr>
    </w:lvl>
    <w:lvl w:ilvl="1">
      <w:start w:val="1"/>
      <w:numFmt w:val="lowerLetter"/>
      <w:lvlText w:val="%2."/>
      <w:lvlJc w:val="left"/>
      <w:pPr>
        <w:ind w:left="2259" w:hanging="360"/>
      </w:pPr>
    </w:lvl>
    <w:lvl w:ilvl="2">
      <w:start w:val="1"/>
      <w:numFmt w:val="lowerRoman"/>
      <w:lvlText w:val="%3."/>
      <w:lvlJc w:val="right"/>
      <w:pPr>
        <w:ind w:left="2979" w:hanging="180"/>
      </w:pPr>
    </w:lvl>
    <w:lvl w:ilvl="3">
      <w:start w:val="1"/>
      <w:numFmt w:val="decimal"/>
      <w:lvlText w:val="%4."/>
      <w:lvlJc w:val="left"/>
      <w:pPr>
        <w:ind w:left="3699" w:hanging="360"/>
      </w:pPr>
    </w:lvl>
    <w:lvl w:ilvl="4">
      <w:start w:val="1"/>
      <w:numFmt w:val="lowerLetter"/>
      <w:lvlText w:val="%5."/>
      <w:lvlJc w:val="left"/>
      <w:pPr>
        <w:ind w:left="4419" w:hanging="360"/>
      </w:pPr>
    </w:lvl>
    <w:lvl w:ilvl="5">
      <w:start w:val="1"/>
      <w:numFmt w:val="lowerRoman"/>
      <w:lvlText w:val="%6."/>
      <w:lvlJc w:val="right"/>
      <w:pPr>
        <w:ind w:left="5139" w:hanging="180"/>
      </w:pPr>
    </w:lvl>
    <w:lvl w:ilvl="6">
      <w:start w:val="1"/>
      <w:numFmt w:val="decimal"/>
      <w:lvlText w:val="%7."/>
      <w:lvlJc w:val="left"/>
      <w:pPr>
        <w:ind w:left="5859" w:hanging="360"/>
      </w:pPr>
    </w:lvl>
    <w:lvl w:ilvl="7">
      <w:start w:val="1"/>
      <w:numFmt w:val="lowerLetter"/>
      <w:lvlText w:val="%8."/>
      <w:lvlJc w:val="left"/>
      <w:pPr>
        <w:ind w:left="6579" w:hanging="360"/>
      </w:pPr>
    </w:lvl>
    <w:lvl w:ilvl="8">
      <w:start w:val="1"/>
      <w:numFmt w:val="lowerRoman"/>
      <w:lvlText w:val="%9."/>
      <w:lvlJc w:val="right"/>
      <w:pPr>
        <w:ind w:left="7299" w:hanging="180"/>
      </w:pPr>
    </w:lvl>
  </w:abstractNum>
  <w:abstractNum w:abstractNumId="11" w15:restartNumberingAfterBreak="0">
    <w:nsid w:val="39AE1431"/>
    <w:multiLevelType w:val="hybridMultilevel"/>
    <w:tmpl w:val="8F30A75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F0F68F7"/>
    <w:multiLevelType w:val="hybridMultilevel"/>
    <w:tmpl w:val="33C0B5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FEC1464"/>
    <w:multiLevelType w:val="hybridMultilevel"/>
    <w:tmpl w:val="E38C2AEC"/>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4" w15:restartNumberingAfterBreak="0">
    <w:nsid w:val="46196921"/>
    <w:multiLevelType w:val="hybridMultilevel"/>
    <w:tmpl w:val="D17878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CAC190F"/>
    <w:multiLevelType w:val="hybridMultilevel"/>
    <w:tmpl w:val="32704E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F6F1322"/>
    <w:multiLevelType w:val="hybridMultilevel"/>
    <w:tmpl w:val="425068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F761DB6"/>
    <w:multiLevelType w:val="hybridMultilevel"/>
    <w:tmpl w:val="15BE82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2AD7684"/>
    <w:multiLevelType w:val="hybridMultilevel"/>
    <w:tmpl w:val="DAE883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1E844CE"/>
    <w:multiLevelType w:val="hybridMultilevel"/>
    <w:tmpl w:val="267015E6"/>
    <w:lvl w:ilvl="0" w:tplc="6D8ADE90">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3E344F3"/>
    <w:multiLevelType w:val="hybridMultilevel"/>
    <w:tmpl w:val="D6ECCA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86C4879"/>
    <w:multiLevelType w:val="hybridMultilevel"/>
    <w:tmpl w:val="388A8B44"/>
    <w:lvl w:ilvl="0" w:tplc="3A0098AA">
      <w:start w:val="1"/>
      <w:numFmt w:val="lowerLetter"/>
      <w:lvlText w:val="%1)"/>
      <w:lvlJc w:val="left"/>
      <w:pPr>
        <w:ind w:left="720" w:hanging="360"/>
      </w:pPr>
      <w:rPr>
        <w:rFonts w:hint="default"/>
        <w:b/>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D801E5F"/>
    <w:multiLevelType w:val="hybridMultilevel"/>
    <w:tmpl w:val="9878A7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742452D9"/>
    <w:multiLevelType w:val="hybridMultilevel"/>
    <w:tmpl w:val="267015E6"/>
    <w:lvl w:ilvl="0" w:tplc="6D8ADE90">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0"/>
  </w:num>
  <w:num w:numId="2">
    <w:abstractNumId w:val="6"/>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5"/>
  </w:num>
  <w:num w:numId="7">
    <w:abstractNumId w:val="18"/>
  </w:num>
  <w:num w:numId="8">
    <w:abstractNumId w:val="14"/>
  </w:num>
  <w:num w:numId="9">
    <w:abstractNumId w:val="15"/>
  </w:num>
  <w:num w:numId="10">
    <w:abstractNumId w:val="7"/>
  </w:num>
  <w:num w:numId="11">
    <w:abstractNumId w:val="19"/>
  </w:num>
  <w:num w:numId="12">
    <w:abstractNumId w:val="23"/>
  </w:num>
  <w:num w:numId="13">
    <w:abstractNumId w:val="8"/>
  </w:num>
  <w:num w:numId="14">
    <w:abstractNumId w:val="22"/>
  </w:num>
  <w:num w:numId="15">
    <w:abstractNumId w:val="20"/>
  </w:num>
  <w:num w:numId="16">
    <w:abstractNumId w:val="16"/>
  </w:num>
  <w:num w:numId="17">
    <w:abstractNumId w:val="13"/>
  </w:num>
  <w:num w:numId="18">
    <w:abstractNumId w:val="17"/>
  </w:num>
  <w:num w:numId="19">
    <w:abstractNumId w:val="11"/>
  </w:num>
  <w:num w:numId="20">
    <w:abstractNumId w:val="2"/>
  </w:num>
  <w:num w:numId="21">
    <w:abstractNumId w:val="21"/>
  </w:num>
  <w:num w:numId="22">
    <w:abstractNumId w:val="12"/>
  </w:num>
  <w:num w:numId="23">
    <w:abstractNumId w:val="0"/>
  </w:num>
  <w:num w:numId="24">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206"/>
    <w:rsid w:val="00000D0F"/>
    <w:rsid w:val="00001B3E"/>
    <w:rsid w:val="00002BDC"/>
    <w:rsid w:val="000060C4"/>
    <w:rsid w:val="00012519"/>
    <w:rsid w:val="0001306E"/>
    <w:rsid w:val="000154E5"/>
    <w:rsid w:val="00016633"/>
    <w:rsid w:val="00017A22"/>
    <w:rsid w:val="00017E10"/>
    <w:rsid w:val="00017EC0"/>
    <w:rsid w:val="00021335"/>
    <w:rsid w:val="00021C7C"/>
    <w:rsid w:val="0002283C"/>
    <w:rsid w:val="00023307"/>
    <w:rsid w:val="0003291D"/>
    <w:rsid w:val="00040D41"/>
    <w:rsid w:val="00046BB4"/>
    <w:rsid w:val="00047820"/>
    <w:rsid w:val="000505EA"/>
    <w:rsid w:val="00055A38"/>
    <w:rsid w:val="00064C72"/>
    <w:rsid w:val="00065269"/>
    <w:rsid w:val="00073F52"/>
    <w:rsid w:val="00074B9C"/>
    <w:rsid w:val="000767C3"/>
    <w:rsid w:val="00082EA2"/>
    <w:rsid w:val="0008705A"/>
    <w:rsid w:val="00087D7E"/>
    <w:rsid w:val="00091628"/>
    <w:rsid w:val="000937F1"/>
    <w:rsid w:val="00094AD7"/>
    <w:rsid w:val="00097E36"/>
    <w:rsid w:val="000A568F"/>
    <w:rsid w:val="000A6A2B"/>
    <w:rsid w:val="000B70D0"/>
    <w:rsid w:val="000C50FD"/>
    <w:rsid w:val="000C5603"/>
    <w:rsid w:val="000D2FA7"/>
    <w:rsid w:val="00101F4F"/>
    <w:rsid w:val="00121EA5"/>
    <w:rsid w:val="00124D21"/>
    <w:rsid w:val="00126E86"/>
    <w:rsid w:val="00131EDB"/>
    <w:rsid w:val="00132D06"/>
    <w:rsid w:val="00136447"/>
    <w:rsid w:val="00144D96"/>
    <w:rsid w:val="0015015E"/>
    <w:rsid w:val="00151E27"/>
    <w:rsid w:val="00165BEE"/>
    <w:rsid w:val="0017198C"/>
    <w:rsid w:val="001722BA"/>
    <w:rsid w:val="00175CCE"/>
    <w:rsid w:val="001831A3"/>
    <w:rsid w:val="001904E0"/>
    <w:rsid w:val="001918B2"/>
    <w:rsid w:val="001934A3"/>
    <w:rsid w:val="00196C88"/>
    <w:rsid w:val="001A0D9E"/>
    <w:rsid w:val="001A199C"/>
    <w:rsid w:val="001B1F25"/>
    <w:rsid w:val="001B5B21"/>
    <w:rsid w:val="001B7937"/>
    <w:rsid w:val="001B7E9B"/>
    <w:rsid w:val="001C439C"/>
    <w:rsid w:val="001D7D5A"/>
    <w:rsid w:val="001E0D28"/>
    <w:rsid w:val="001E4533"/>
    <w:rsid w:val="001E48ED"/>
    <w:rsid w:val="001F0F3E"/>
    <w:rsid w:val="001F1620"/>
    <w:rsid w:val="001F48CE"/>
    <w:rsid w:val="001F6F45"/>
    <w:rsid w:val="001F789D"/>
    <w:rsid w:val="0020127F"/>
    <w:rsid w:val="00215D2C"/>
    <w:rsid w:val="002160B8"/>
    <w:rsid w:val="00236AAA"/>
    <w:rsid w:val="002410EC"/>
    <w:rsid w:val="002476B3"/>
    <w:rsid w:val="00253E66"/>
    <w:rsid w:val="00256B1C"/>
    <w:rsid w:val="00256C1A"/>
    <w:rsid w:val="002573DC"/>
    <w:rsid w:val="00262C3E"/>
    <w:rsid w:val="0026523C"/>
    <w:rsid w:val="00270579"/>
    <w:rsid w:val="00272A33"/>
    <w:rsid w:val="00275002"/>
    <w:rsid w:val="00282E6C"/>
    <w:rsid w:val="00283EAA"/>
    <w:rsid w:val="00284A01"/>
    <w:rsid w:val="002866AE"/>
    <w:rsid w:val="0028702C"/>
    <w:rsid w:val="002903CF"/>
    <w:rsid w:val="00294051"/>
    <w:rsid w:val="00294928"/>
    <w:rsid w:val="002A083B"/>
    <w:rsid w:val="002A5FBB"/>
    <w:rsid w:val="002B1059"/>
    <w:rsid w:val="002B69E9"/>
    <w:rsid w:val="002D2421"/>
    <w:rsid w:val="002E3977"/>
    <w:rsid w:val="002F3D63"/>
    <w:rsid w:val="002F5739"/>
    <w:rsid w:val="002F6C53"/>
    <w:rsid w:val="003025C4"/>
    <w:rsid w:val="00307A9D"/>
    <w:rsid w:val="00312D1D"/>
    <w:rsid w:val="003162FC"/>
    <w:rsid w:val="00321BC5"/>
    <w:rsid w:val="00325BF3"/>
    <w:rsid w:val="003346D0"/>
    <w:rsid w:val="00336FCF"/>
    <w:rsid w:val="00337039"/>
    <w:rsid w:val="00345D47"/>
    <w:rsid w:val="00346C63"/>
    <w:rsid w:val="00352051"/>
    <w:rsid w:val="0035360D"/>
    <w:rsid w:val="00353BD7"/>
    <w:rsid w:val="00354C63"/>
    <w:rsid w:val="00357EB0"/>
    <w:rsid w:val="0037174C"/>
    <w:rsid w:val="003730DC"/>
    <w:rsid w:val="00377E9A"/>
    <w:rsid w:val="0038311B"/>
    <w:rsid w:val="00383743"/>
    <w:rsid w:val="0039670B"/>
    <w:rsid w:val="003A459A"/>
    <w:rsid w:val="003B0B56"/>
    <w:rsid w:val="003D08D8"/>
    <w:rsid w:val="003D7470"/>
    <w:rsid w:val="003D79F7"/>
    <w:rsid w:val="003E6773"/>
    <w:rsid w:val="003F2979"/>
    <w:rsid w:val="003F6933"/>
    <w:rsid w:val="004059D1"/>
    <w:rsid w:val="004161E5"/>
    <w:rsid w:val="00423527"/>
    <w:rsid w:val="00423A30"/>
    <w:rsid w:val="00427A83"/>
    <w:rsid w:val="00427E7A"/>
    <w:rsid w:val="00430973"/>
    <w:rsid w:val="004338D0"/>
    <w:rsid w:val="004357C1"/>
    <w:rsid w:val="00436865"/>
    <w:rsid w:val="0044405B"/>
    <w:rsid w:val="00456A66"/>
    <w:rsid w:val="00456E99"/>
    <w:rsid w:val="00461AC4"/>
    <w:rsid w:val="00461D72"/>
    <w:rsid w:val="00476CBA"/>
    <w:rsid w:val="004777BD"/>
    <w:rsid w:val="00481831"/>
    <w:rsid w:val="00486774"/>
    <w:rsid w:val="00490506"/>
    <w:rsid w:val="004923F0"/>
    <w:rsid w:val="00492E80"/>
    <w:rsid w:val="004A297B"/>
    <w:rsid w:val="004A3A15"/>
    <w:rsid w:val="004A435A"/>
    <w:rsid w:val="004B5B00"/>
    <w:rsid w:val="004C57E7"/>
    <w:rsid w:val="004D0BBB"/>
    <w:rsid w:val="004D37A3"/>
    <w:rsid w:val="004E1D2D"/>
    <w:rsid w:val="004F1865"/>
    <w:rsid w:val="004F2225"/>
    <w:rsid w:val="005051AE"/>
    <w:rsid w:val="00511832"/>
    <w:rsid w:val="00516101"/>
    <w:rsid w:val="005210ED"/>
    <w:rsid w:val="00526720"/>
    <w:rsid w:val="005273E5"/>
    <w:rsid w:val="00536848"/>
    <w:rsid w:val="00545B91"/>
    <w:rsid w:val="0055190B"/>
    <w:rsid w:val="005602ED"/>
    <w:rsid w:val="00563096"/>
    <w:rsid w:val="00563661"/>
    <w:rsid w:val="00565CF6"/>
    <w:rsid w:val="0058455E"/>
    <w:rsid w:val="00596659"/>
    <w:rsid w:val="005A0803"/>
    <w:rsid w:val="005A0C93"/>
    <w:rsid w:val="005A383B"/>
    <w:rsid w:val="005A6914"/>
    <w:rsid w:val="005A743C"/>
    <w:rsid w:val="005B172D"/>
    <w:rsid w:val="005B299A"/>
    <w:rsid w:val="005B3DB1"/>
    <w:rsid w:val="005B4511"/>
    <w:rsid w:val="005B4E6C"/>
    <w:rsid w:val="005B673F"/>
    <w:rsid w:val="005C0B74"/>
    <w:rsid w:val="005C6FC8"/>
    <w:rsid w:val="005D61BF"/>
    <w:rsid w:val="005E1E4E"/>
    <w:rsid w:val="005E235A"/>
    <w:rsid w:val="005E4CBA"/>
    <w:rsid w:val="005E705B"/>
    <w:rsid w:val="00604255"/>
    <w:rsid w:val="00614C85"/>
    <w:rsid w:val="00616464"/>
    <w:rsid w:val="006239BC"/>
    <w:rsid w:val="006318D7"/>
    <w:rsid w:val="00635502"/>
    <w:rsid w:val="00660B5A"/>
    <w:rsid w:val="00665D0E"/>
    <w:rsid w:val="006701D9"/>
    <w:rsid w:val="00671C0C"/>
    <w:rsid w:val="00674164"/>
    <w:rsid w:val="006766D6"/>
    <w:rsid w:val="00694C30"/>
    <w:rsid w:val="006A17AA"/>
    <w:rsid w:val="006B2CB8"/>
    <w:rsid w:val="006B5958"/>
    <w:rsid w:val="006B6F15"/>
    <w:rsid w:val="006C45BF"/>
    <w:rsid w:val="006C4C94"/>
    <w:rsid w:val="006C54D7"/>
    <w:rsid w:val="006C5741"/>
    <w:rsid w:val="006D2696"/>
    <w:rsid w:val="006D30D0"/>
    <w:rsid w:val="006E09C2"/>
    <w:rsid w:val="006E0CEE"/>
    <w:rsid w:val="006E3381"/>
    <w:rsid w:val="006F1365"/>
    <w:rsid w:val="006F5588"/>
    <w:rsid w:val="006F55F5"/>
    <w:rsid w:val="006F69D3"/>
    <w:rsid w:val="00705AC3"/>
    <w:rsid w:val="007064CB"/>
    <w:rsid w:val="00710636"/>
    <w:rsid w:val="007108CC"/>
    <w:rsid w:val="00710B99"/>
    <w:rsid w:val="00721EB5"/>
    <w:rsid w:val="00722B32"/>
    <w:rsid w:val="007254FE"/>
    <w:rsid w:val="00733C36"/>
    <w:rsid w:val="00742C5D"/>
    <w:rsid w:val="00747EA1"/>
    <w:rsid w:val="00751C6D"/>
    <w:rsid w:val="00753A1B"/>
    <w:rsid w:val="00770E0F"/>
    <w:rsid w:val="00771D02"/>
    <w:rsid w:val="00780ABC"/>
    <w:rsid w:val="00782165"/>
    <w:rsid w:val="00784690"/>
    <w:rsid w:val="00784B5D"/>
    <w:rsid w:val="007943B7"/>
    <w:rsid w:val="007A445E"/>
    <w:rsid w:val="007B34CE"/>
    <w:rsid w:val="007B49D4"/>
    <w:rsid w:val="007C397A"/>
    <w:rsid w:val="007C5A57"/>
    <w:rsid w:val="007D4256"/>
    <w:rsid w:val="007D7220"/>
    <w:rsid w:val="007E014F"/>
    <w:rsid w:val="007E2355"/>
    <w:rsid w:val="007E6C09"/>
    <w:rsid w:val="007F1F7A"/>
    <w:rsid w:val="007F2A87"/>
    <w:rsid w:val="007F4216"/>
    <w:rsid w:val="007F4F02"/>
    <w:rsid w:val="007F751F"/>
    <w:rsid w:val="00800092"/>
    <w:rsid w:val="0080275F"/>
    <w:rsid w:val="008119A7"/>
    <w:rsid w:val="008123D5"/>
    <w:rsid w:val="008213CF"/>
    <w:rsid w:val="00822FE1"/>
    <w:rsid w:val="00832E93"/>
    <w:rsid w:val="008351BA"/>
    <w:rsid w:val="008409B1"/>
    <w:rsid w:val="00853E3C"/>
    <w:rsid w:val="0085415D"/>
    <w:rsid w:val="0085430D"/>
    <w:rsid w:val="00864802"/>
    <w:rsid w:val="0086686D"/>
    <w:rsid w:val="008738B6"/>
    <w:rsid w:val="0088573E"/>
    <w:rsid w:val="00892591"/>
    <w:rsid w:val="00896433"/>
    <w:rsid w:val="008B10A3"/>
    <w:rsid w:val="008B4D82"/>
    <w:rsid w:val="008C126E"/>
    <w:rsid w:val="008D0A8C"/>
    <w:rsid w:val="008D19AA"/>
    <w:rsid w:val="008D271E"/>
    <w:rsid w:val="008D41AD"/>
    <w:rsid w:val="008D4BAE"/>
    <w:rsid w:val="008E1BCD"/>
    <w:rsid w:val="008E1CED"/>
    <w:rsid w:val="008E1E9E"/>
    <w:rsid w:val="008E2C3D"/>
    <w:rsid w:val="008F1380"/>
    <w:rsid w:val="008F14E2"/>
    <w:rsid w:val="00901C48"/>
    <w:rsid w:val="00904A03"/>
    <w:rsid w:val="009218B1"/>
    <w:rsid w:val="00921D89"/>
    <w:rsid w:val="0092566B"/>
    <w:rsid w:val="00934CF4"/>
    <w:rsid w:val="009442BC"/>
    <w:rsid w:val="009467C3"/>
    <w:rsid w:val="00951BB1"/>
    <w:rsid w:val="0095219C"/>
    <w:rsid w:val="00956018"/>
    <w:rsid w:val="009655AB"/>
    <w:rsid w:val="00970EF7"/>
    <w:rsid w:val="009712C1"/>
    <w:rsid w:val="0098129A"/>
    <w:rsid w:val="00982F67"/>
    <w:rsid w:val="00984B5A"/>
    <w:rsid w:val="009852F3"/>
    <w:rsid w:val="00994CC2"/>
    <w:rsid w:val="009955F2"/>
    <w:rsid w:val="009A7697"/>
    <w:rsid w:val="009B10A1"/>
    <w:rsid w:val="009C4D09"/>
    <w:rsid w:val="009D06A4"/>
    <w:rsid w:val="009D2B05"/>
    <w:rsid w:val="009D3C96"/>
    <w:rsid w:val="009D66A5"/>
    <w:rsid w:val="009D7B7F"/>
    <w:rsid w:val="009E1297"/>
    <w:rsid w:val="009E5D95"/>
    <w:rsid w:val="00A0081D"/>
    <w:rsid w:val="00A12009"/>
    <w:rsid w:val="00A156B6"/>
    <w:rsid w:val="00A307BC"/>
    <w:rsid w:val="00A46DB3"/>
    <w:rsid w:val="00A46F50"/>
    <w:rsid w:val="00A47A3D"/>
    <w:rsid w:val="00A50013"/>
    <w:rsid w:val="00A508F7"/>
    <w:rsid w:val="00A50DBB"/>
    <w:rsid w:val="00A54738"/>
    <w:rsid w:val="00A54807"/>
    <w:rsid w:val="00A54C83"/>
    <w:rsid w:val="00A64F69"/>
    <w:rsid w:val="00A72202"/>
    <w:rsid w:val="00A74E8E"/>
    <w:rsid w:val="00A7704C"/>
    <w:rsid w:val="00A936D6"/>
    <w:rsid w:val="00A956ED"/>
    <w:rsid w:val="00AA1C96"/>
    <w:rsid w:val="00AA53D0"/>
    <w:rsid w:val="00AA542D"/>
    <w:rsid w:val="00AB3D28"/>
    <w:rsid w:val="00AC360B"/>
    <w:rsid w:val="00AD0545"/>
    <w:rsid w:val="00AD602B"/>
    <w:rsid w:val="00AE423D"/>
    <w:rsid w:val="00AE5B66"/>
    <w:rsid w:val="00AF250E"/>
    <w:rsid w:val="00AF40E5"/>
    <w:rsid w:val="00AF76C3"/>
    <w:rsid w:val="00B009C5"/>
    <w:rsid w:val="00B01A8B"/>
    <w:rsid w:val="00B10BCF"/>
    <w:rsid w:val="00B142BC"/>
    <w:rsid w:val="00B14DD7"/>
    <w:rsid w:val="00B16F9D"/>
    <w:rsid w:val="00B17B65"/>
    <w:rsid w:val="00B225DA"/>
    <w:rsid w:val="00B30377"/>
    <w:rsid w:val="00B30AA8"/>
    <w:rsid w:val="00B31326"/>
    <w:rsid w:val="00B335B2"/>
    <w:rsid w:val="00B35626"/>
    <w:rsid w:val="00B35F77"/>
    <w:rsid w:val="00B4370E"/>
    <w:rsid w:val="00B449F8"/>
    <w:rsid w:val="00B51AED"/>
    <w:rsid w:val="00B51D5D"/>
    <w:rsid w:val="00B54457"/>
    <w:rsid w:val="00B54D28"/>
    <w:rsid w:val="00B63424"/>
    <w:rsid w:val="00B65A69"/>
    <w:rsid w:val="00B74E30"/>
    <w:rsid w:val="00B75793"/>
    <w:rsid w:val="00B76542"/>
    <w:rsid w:val="00B83454"/>
    <w:rsid w:val="00B8704E"/>
    <w:rsid w:val="00B92769"/>
    <w:rsid w:val="00B948D6"/>
    <w:rsid w:val="00B96484"/>
    <w:rsid w:val="00BA1057"/>
    <w:rsid w:val="00BA393E"/>
    <w:rsid w:val="00BA3E00"/>
    <w:rsid w:val="00BB22DC"/>
    <w:rsid w:val="00BB3920"/>
    <w:rsid w:val="00BC649C"/>
    <w:rsid w:val="00BC699A"/>
    <w:rsid w:val="00BD0D38"/>
    <w:rsid w:val="00BD172D"/>
    <w:rsid w:val="00BF42A1"/>
    <w:rsid w:val="00BF4438"/>
    <w:rsid w:val="00BF7F01"/>
    <w:rsid w:val="00C00A18"/>
    <w:rsid w:val="00C10C5B"/>
    <w:rsid w:val="00C11E53"/>
    <w:rsid w:val="00C14BB7"/>
    <w:rsid w:val="00C20398"/>
    <w:rsid w:val="00C24E57"/>
    <w:rsid w:val="00C34951"/>
    <w:rsid w:val="00C51852"/>
    <w:rsid w:val="00C545CC"/>
    <w:rsid w:val="00C562DD"/>
    <w:rsid w:val="00C568C6"/>
    <w:rsid w:val="00C57BEE"/>
    <w:rsid w:val="00C6361A"/>
    <w:rsid w:val="00C660F9"/>
    <w:rsid w:val="00C90B4A"/>
    <w:rsid w:val="00CB0CFF"/>
    <w:rsid w:val="00CB11A6"/>
    <w:rsid w:val="00CB786F"/>
    <w:rsid w:val="00CE423C"/>
    <w:rsid w:val="00CF09DE"/>
    <w:rsid w:val="00D03027"/>
    <w:rsid w:val="00D05251"/>
    <w:rsid w:val="00D07ADE"/>
    <w:rsid w:val="00D115EE"/>
    <w:rsid w:val="00D17046"/>
    <w:rsid w:val="00D267F8"/>
    <w:rsid w:val="00D279DD"/>
    <w:rsid w:val="00D31688"/>
    <w:rsid w:val="00D35FF0"/>
    <w:rsid w:val="00D414F4"/>
    <w:rsid w:val="00D47DBB"/>
    <w:rsid w:val="00D50AE2"/>
    <w:rsid w:val="00D5219E"/>
    <w:rsid w:val="00D524A9"/>
    <w:rsid w:val="00D579B3"/>
    <w:rsid w:val="00D6007C"/>
    <w:rsid w:val="00D61099"/>
    <w:rsid w:val="00D727CC"/>
    <w:rsid w:val="00D730EB"/>
    <w:rsid w:val="00D7638A"/>
    <w:rsid w:val="00DA0AA4"/>
    <w:rsid w:val="00DA442D"/>
    <w:rsid w:val="00DA6B0F"/>
    <w:rsid w:val="00DB6911"/>
    <w:rsid w:val="00DB7262"/>
    <w:rsid w:val="00DC0C20"/>
    <w:rsid w:val="00DC496F"/>
    <w:rsid w:val="00DC7580"/>
    <w:rsid w:val="00DD1EA0"/>
    <w:rsid w:val="00DD714A"/>
    <w:rsid w:val="00DF0E75"/>
    <w:rsid w:val="00DF1904"/>
    <w:rsid w:val="00DF65F0"/>
    <w:rsid w:val="00E00B61"/>
    <w:rsid w:val="00E11206"/>
    <w:rsid w:val="00E14B75"/>
    <w:rsid w:val="00E15AF0"/>
    <w:rsid w:val="00E24AE4"/>
    <w:rsid w:val="00E24CF9"/>
    <w:rsid w:val="00E2562A"/>
    <w:rsid w:val="00E26EAB"/>
    <w:rsid w:val="00E30B4A"/>
    <w:rsid w:val="00E31CB6"/>
    <w:rsid w:val="00E33ACC"/>
    <w:rsid w:val="00E42FBC"/>
    <w:rsid w:val="00E44ABB"/>
    <w:rsid w:val="00E4592A"/>
    <w:rsid w:val="00E45D6E"/>
    <w:rsid w:val="00E46767"/>
    <w:rsid w:val="00E61B0A"/>
    <w:rsid w:val="00E66625"/>
    <w:rsid w:val="00E67D1C"/>
    <w:rsid w:val="00E67E97"/>
    <w:rsid w:val="00E70DD8"/>
    <w:rsid w:val="00E74B6C"/>
    <w:rsid w:val="00E93AF9"/>
    <w:rsid w:val="00E95915"/>
    <w:rsid w:val="00E95BFC"/>
    <w:rsid w:val="00EA25EE"/>
    <w:rsid w:val="00EA280D"/>
    <w:rsid w:val="00EA4216"/>
    <w:rsid w:val="00EB6EA9"/>
    <w:rsid w:val="00EB760C"/>
    <w:rsid w:val="00EC2BAC"/>
    <w:rsid w:val="00EC405E"/>
    <w:rsid w:val="00ED3373"/>
    <w:rsid w:val="00ED485B"/>
    <w:rsid w:val="00EE0A01"/>
    <w:rsid w:val="00EF4B8E"/>
    <w:rsid w:val="00F04006"/>
    <w:rsid w:val="00F04068"/>
    <w:rsid w:val="00F046D1"/>
    <w:rsid w:val="00F10F85"/>
    <w:rsid w:val="00F128E1"/>
    <w:rsid w:val="00F15B24"/>
    <w:rsid w:val="00F229E8"/>
    <w:rsid w:val="00F30691"/>
    <w:rsid w:val="00F313C2"/>
    <w:rsid w:val="00F364B8"/>
    <w:rsid w:val="00F4228D"/>
    <w:rsid w:val="00F430C8"/>
    <w:rsid w:val="00F50539"/>
    <w:rsid w:val="00F57A3B"/>
    <w:rsid w:val="00F6083B"/>
    <w:rsid w:val="00F7193A"/>
    <w:rsid w:val="00F72D68"/>
    <w:rsid w:val="00F7704C"/>
    <w:rsid w:val="00F8076E"/>
    <w:rsid w:val="00F81A4A"/>
    <w:rsid w:val="00F81AB6"/>
    <w:rsid w:val="00F82485"/>
    <w:rsid w:val="00F83EB1"/>
    <w:rsid w:val="00F879CC"/>
    <w:rsid w:val="00F90400"/>
    <w:rsid w:val="00F96832"/>
    <w:rsid w:val="00FA0BA3"/>
    <w:rsid w:val="00FA245D"/>
    <w:rsid w:val="00FA2989"/>
    <w:rsid w:val="00FA2BF7"/>
    <w:rsid w:val="00FA2E2A"/>
    <w:rsid w:val="00FA4F14"/>
    <w:rsid w:val="00FA5B7B"/>
    <w:rsid w:val="00FA77EE"/>
    <w:rsid w:val="00FC2B0F"/>
    <w:rsid w:val="00FD3B28"/>
    <w:rsid w:val="00FD5AD8"/>
    <w:rsid w:val="00FE507D"/>
    <w:rsid w:val="00FF0764"/>
    <w:rsid w:val="00FF0D76"/>
    <w:rsid w:val="00FF1654"/>
    <w:rsid w:val="00FF768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6C68F4-859C-4777-9C96-35B97B1BF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206"/>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semiHidden/>
    <w:unhideWhenUsed/>
    <w:qFormat/>
    <w:rsid w:val="00E959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1"/>
    <w:qFormat/>
    <w:rsid w:val="00E11206"/>
    <w:pPr>
      <w:widowControl w:val="0"/>
      <w:autoSpaceDE w:val="0"/>
      <w:autoSpaceDN w:val="0"/>
      <w:spacing w:after="0" w:line="671" w:lineRule="exact"/>
      <w:ind w:left="700"/>
      <w:outlineLvl w:val="2"/>
    </w:pPr>
    <w:rPr>
      <w:rFonts w:ascii="Constantia" w:eastAsia="Constantia" w:hAnsi="Constantia" w:cs="Constantia"/>
      <w:sz w:val="56"/>
      <w:szCs w:val="56"/>
      <w:lang w:bidi="en-US"/>
    </w:rPr>
  </w:style>
  <w:style w:type="paragraph" w:styleId="Heading4">
    <w:name w:val="heading 4"/>
    <w:basedOn w:val="Normal"/>
    <w:next w:val="Normal"/>
    <w:link w:val="Heading4Char"/>
    <w:uiPriority w:val="9"/>
    <w:semiHidden/>
    <w:unhideWhenUsed/>
    <w:qFormat/>
    <w:rsid w:val="00AE423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11206"/>
    <w:pPr>
      <w:tabs>
        <w:tab w:val="center" w:pos="4320"/>
        <w:tab w:val="right" w:pos="8640"/>
      </w:tabs>
    </w:pPr>
  </w:style>
  <w:style w:type="character" w:customStyle="1" w:styleId="FooterChar">
    <w:name w:val="Footer Char"/>
    <w:basedOn w:val="DefaultParagraphFont"/>
    <w:link w:val="Footer"/>
    <w:uiPriority w:val="99"/>
    <w:qFormat/>
    <w:rsid w:val="00E11206"/>
    <w:rPr>
      <w:rFonts w:ascii="Times New Roman" w:eastAsia="Times New Roman" w:hAnsi="Times New Roman" w:cs="Times New Roman"/>
      <w:sz w:val="24"/>
      <w:szCs w:val="24"/>
      <w:lang w:val="en-US"/>
    </w:rPr>
  </w:style>
  <w:style w:type="paragraph" w:styleId="Header">
    <w:name w:val="header"/>
    <w:basedOn w:val="Normal"/>
    <w:link w:val="HeaderChar"/>
    <w:uiPriority w:val="99"/>
    <w:qFormat/>
    <w:rsid w:val="00E11206"/>
    <w:pPr>
      <w:tabs>
        <w:tab w:val="center" w:pos="4320"/>
        <w:tab w:val="right" w:pos="8640"/>
      </w:tabs>
    </w:pPr>
  </w:style>
  <w:style w:type="character" w:customStyle="1" w:styleId="HeaderChar">
    <w:name w:val="Header Char"/>
    <w:basedOn w:val="DefaultParagraphFont"/>
    <w:link w:val="Header"/>
    <w:uiPriority w:val="99"/>
    <w:qFormat/>
    <w:rsid w:val="00E11206"/>
    <w:rPr>
      <w:rFonts w:ascii="Times New Roman" w:eastAsia="Times New Roman" w:hAnsi="Times New Roman" w:cs="Times New Roman"/>
      <w:sz w:val="24"/>
      <w:szCs w:val="24"/>
      <w:lang w:val="en-US"/>
    </w:rPr>
  </w:style>
  <w:style w:type="character" w:styleId="PageNumber">
    <w:name w:val="page number"/>
    <w:basedOn w:val="DefaultParagraphFont"/>
    <w:uiPriority w:val="99"/>
    <w:qFormat/>
    <w:rsid w:val="00E11206"/>
  </w:style>
  <w:style w:type="paragraph" w:styleId="ListParagraph">
    <w:name w:val="List Paragraph"/>
    <w:aliases w:val="heading 9,Annexure,List Paragraph1,WinDForce-Letter,Heading 91,bullets,Heading 911,List Paragraph2,List Paragraph11,Heading 9111,Heading 92,Heading 93,Heading 94,Heading 91111,Heading 95,Report Para,Bullet 05,Heading 911111"/>
    <w:basedOn w:val="Normal"/>
    <w:link w:val="ListParagraphChar"/>
    <w:uiPriority w:val="1"/>
    <w:qFormat/>
    <w:rsid w:val="00E11206"/>
    <w:pPr>
      <w:ind w:left="720"/>
    </w:pPr>
  </w:style>
  <w:style w:type="character" w:customStyle="1" w:styleId="ListParagraphChar">
    <w:name w:val="List Paragraph Char"/>
    <w:aliases w:val="heading 9 Char,Annexure Char,List Paragraph1 Char,WinDForce-Letter Char,Heading 91 Char,bullets Char,Heading 911 Char,List Paragraph2 Char,List Paragraph11 Char,Heading 9111 Char,Heading 92 Char,Heading 93 Char,Heading 94 Char"/>
    <w:basedOn w:val="DefaultParagraphFont"/>
    <w:link w:val="ListParagraph"/>
    <w:uiPriority w:val="34"/>
    <w:qFormat/>
    <w:locked/>
    <w:rsid w:val="00E11206"/>
    <w:rPr>
      <w:rFonts w:ascii="Times New Roman" w:eastAsia="Times New Roman" w:hAnsi="Times New Roman" w:cs="Times New Roman"/>
      <w:sz w:val="24"/>
      <w:szCs w:val="24"/>
      <w:lang w:val="en-US"/>
    </w:rPr>
  </w:style>
  <w:style w:type="paragraph" w:customStyle="1" w:styleId="DefaultText11">
    <w:name w:val="Default Text:1:1"/>
    <w:basedOn w:val="Normal"/>
    <w:uiPriority w:val="99"/>
    <w:qFormat/>
    <w:rsid w:val="00E11206"/>
    <w:pPr>
      <w:widowControl w:val="0"/>
      <w:autoSpaceDE w:val="0"/>
      <w:autoSpaceDN w:val="0"/>
      <w:adjustRightInd w:val="0"/>
    </w:pPr>
  </w:style>
  <w:style w:type="table" w:customStyle="1" w:styleId="TableGrid1">
    <w:name w:val="Table Grid1"/>
    <w:basedOn w:val="TableNormal"/>
    <w:next w:val="TableGrid"/>
    <w:uiPriority w:val="59"/>
    <w:locked/>
    <w:rsid w:val="00E1120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11206"/>
    <w:pPr>
      <w:widowControl w:val="0"/>
      <w:autoSpaceDE w:val="0"/>
      <w:autoSpaceDN w:val="0"/>
      <w:spacing w:after="0" w:line="240" w:lineRule="auto"/>
    </w:pPr>
    <w:rPr>
      <w:rFonts w:ascii="Arial" w:eastAsia="Arial" w:hAnsi="Arial" w:cs="Arial"/>
      <w:sz w:val="22"/>
      <w:szCs w:val="22"/>
      <w:lang w:bidi="en-US"/>
    </w:rPr>
  </w:style>
  <w:style w:type="table" w:styleId="TableGrid">
    <w:name w:val="Table Grid"/>
    <w:basedOn w:val="TableNormal"/>
    <w:uiPriority w:val="59"/>
    <w:qFormat/>
    <w:rsid w:val="00E11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lcome-txt">
    <w:name w:val="welcome-txt"/>
    <w:basedOn w:val="Normal"/>
    <w:rsid w:val="00E11206"/>
    <w:pPr>
      <w:spacing w:before="100" w:beforeAutospacing="1" w:after="100" w:afterAutospacing="1" w:line="240" w:lineRule="auto"/>
    </w:pPr>
    <w:rPr>
      <w:lang w:val="en-IN" w:eastAsia="en-IN"/>
    </w:rPr>
  </w:style>
  <w:style w:type="paragraph" w:styleId="NormalWeb">
    <w:name w:val="Normal (Web)"/>
    <w:basedOn w:val="Normal"/>
    <w:uiPriority w:val="99"/>
    <w:unhideWhenUsed/>
    <w:rsid w:val="00E11206"/>
    <w:pPr>
      <w:spacing w:before="100" w:beforeAutospacing="1" w:after="100" w:afterAutospacing="1" w:line="240" w:lineRule="auto"/>
    </w:pPr>
    <w:rPr>
      <w:lang w:val="en-IN" w:eastAsia="en-IN"/>
    </w:rPr>
  </w:style>
  <w:style w:type="paragraph" w:customStyle="1" w:styleId="Default">
    <w:name w:val="Default"/>
    <w:qFormat/>
    <w:rsid w:val="00E11206"/>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Heading3Char">
    <w:name w:val="Heading 3 Char"/>
    <w:basedOn w:val="DefaultParagraphFont"/>
    <w:link w:val="Heading3"/>
    <w:uiPriority w:val="1"/>
    <w:rsid w:val="00E11206"/>
    <w:rPr>
      <w:rFonts w:ascii="Constantia" w:eastAsia="Constantia" w:hAnsi="Constantia" w:cs="Constantia"/>
      <w:sz w:val="56"/>
      <w:szCs w:val="56"/>
      <w:lang w:val="en-US" w:bidi="en-US"/>
    </w:rPr>
  </w:style>
  <w:style w:type="paragraph" w:customStyle="1" w:styleId="m-1140511870709668315msolistparagraph">
    <w:name w:val="m_-1140511870709668315msolistparagraph"/>
    <w:basedOn w:val="Normal"/>
    <w:rsid w:val="00E11206"/>
    <w:pPr>
      <w:spacing w:before="100" w:beforeAutospacing="1" w:after="100" w:afterAutospacing="1" w:line="240" w:lineRule="auto"/>
    </w:pPr>
    <w:rPr>
      <w:lang w:val="en-IN" w:eastAsia="en-IN"/>
    </w:rPr>
  </w:style>
  <w:style w:type="paragraph" w:styleId="BodyText">
    <w:name w:val="Body Text"/>
    <w:basedOn w:val="Normal"/>
    <w:link w:val="BodyTextChar"/>
    <w:uiPriority w:val="1"/>
    <w:qFormat/>
    <w:rsid w:val="00E11206"/>
    <w:pPr>
      <w:widowControl w:val="0"/>
      <w:autoSpaceDE w:val="0"/>
      <w:autoSpaceDN w:val="0"/>
      <w:spacing w:after="0" w:line="240" w:lineRule="auto"/>
    </w:pPr>
    <w:rPr>
      <w:rFonts w:ascii="Goudy Old Style" w:eastAsia="Goudy Old Style" w:hAnsi="Goudy Old Style" w:cs="Goudy Old Style"/>
      <w:sz w:val="36"/>
      <w:szCs w:val="36"/>
      <w:lang w:bidi="en-US"/>
    </w:rPr>
  </w:style>
  <w:style w:type="character" w:customStyle="1" w:styleId="BodyTextChar">
    <w:name w:val="Body Text Char"/>
    <w:basedOn w:val="DefaultParagraphFont"/>
    <w:link w:val="BodyText"/>
    <w:uiPriority w:val="1"/>
    <w:rsid w:val="00E11206"/>
    <w:rPr>
      <w:rFonts w:ascii="Goudy Old Style" w:eastAsia="Goudy Old Style" w:hAnsi="Goudy Old Style" w:cs="Goudy Old Style"/>
      <w:sz w:val="36"/>
      <w:szCs w:val="36"/>
      <w:lang w:val="en-US" w:bidi="en-US"/>
    </w:rPr>
  </w:style>
  <w:style w:type="paragraph" w:styleId="FootnoteText">
    <w:name w:val="footnote text"/>
    <w:basedOn w:val="Normal"/>
    <w:link w:val="FootnoteTextChar"/>
    <w:uiPriority w:val="99"/>
    <w:semiHidden/>
    <w:unhideWhenUsed/>
    <w:qFormat/>
    <w:rsid w:val="00E11206"/>
    <w:rPr>
      <w:sz w:val="20"/>
      <w:szCs w:val="20"/>
    </w:rPr>
  </w:style>
  <w:style w:type="character" w:customStyle="1" w:styleId="FootnoteTextChar">
    <w:name w:val="Footnote Text Char"/>
    <w:basedOn w:val="DefaultParagraphFont"/>
    <w:link w:val="FootnoteText"/>
    <w:uiPriority w:val="99"/>
    <w:semiHidden/>
    <w:qFormat/>
    <w:rsid w:val="00E11206"/>
    <w:rPr>
      <w:rFonts w:ascii="Times New Roman" w:eastAsia="Times New Roman" w:hAnsi="Times New Roman" w:cs="Times New Roman"/>
      <w:sz w:val="20"/>
      <w:szCs w:val="20"/>
      <w:lang w:val="en-US"/>
    </w:rPr>
  </w:style>
  <w:style w:type="paragraph" w:customStyle="1" w:styleId="cb-split">
    <w:name w:val="cb-split"/>
    <w:basedOn w:val="Normal"/>
    <w:qFormat/>
    <w:rsid w:val="00E11206"/>
    <w:pPr>
      <w:spacing w:before="100" w:beforeAutospacing="1" w:after="100" w:afterAutospacing="1"/>
    </w:pPr>
  </w:style>
  <w:style w:type="character" w:styleId="Hyperlink">
    <w:name w:val="Hyperlink"/>
    <w:uiPriority w:val="99"/>
    <w:qFormat/>
    <w:rsid w:val="0008705A"/>
    <w:rPr>
      <w:color w:val="0000FF"/>
      <w:u w:val="single"/>
    </w:rPr>
  </w:style>
  <w:style w:type="character" w:customStyle="1" w:styleId="apple-converted-space">
    <w:name w:val="apple-converted-space"/>
    <w:qFormat/>
    <w:rsid w:val="0008705A"/>
  </w:style>
  <w:style w:type="paragraph" w:styleId="BalloonText">
    <w:name w:val="Balloon Text"/>
    <w:basedOn w:val="Normal"/>
    <w:link w:val="BalloonTextChar"/>
    <w:uiPriority w:val="99"/>
    <w:semiHidden/>
    <w:unhideWhenUsed/>
    <w:rsid w:val="00215D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D2C"/>
    <w:rPr>
      <w:rFonts w:ascii="Tahoma" w:eastAsia="Times New Roman" w:hAnsi="Tahoma" w:cs="Tahoma"/>
      <w:sz w:val="16"/>
      <w:szCs w:val="16"/>
      <w:lang w:val="en-US"/>
    </w:rPr>
  </w:style>
  <w:style w:type="character" w:styleId="PlaceholderText">
    <w:name w:val="Placeholder Text"/>
    <w:basedOn w:val="DefaultParagraphFont"/>
    <w:uiPriority w:val="99"/>
    <w:semiHidden/>
    <w:rsid w:val="005C6FC8"/>
    <w:rPr>
      <w:color w:val="808080"/>
    </w:rPr>
  </w:style>
  <w:style w:type="paragraph" w:customStyle="1" w:styleId="m1784320360450567236msolistparagraph">
    <w:name w:val="m_1784320360450567236msolistparagraph"/>
    <w:basedOn w:val="Normal"/>
    <w:rsid w:val="00EF4B8E"/>
    <w:pPr>
      <w:spacing w:before="100" w:beforeAutospacing="1" w:after="100" w:afterAutospacing="1" w:line="240" w:lineRule="auto"/>
    </w:pPr>
    <w:rPr>
      <w:lang w:val="en-IN" w:eastAsia="en-IN"/>
    </w:rPr>
  </w:style>
  <w:style w:type="table" w:customStyle="1" w:styleId="TableGrid0">
    <w:name w:val="TableGrid"/>
    <w:rsid w:val="00F8076E"/>
    <w:pPr>
      <w:spacing w:after="0" w:line="240" w:lineRule="auto"/>
    </w:pPr>
    <w:rPr>
      <w:rFonts w:eastAsiaTheme="minorEastAsia"/>
      <w:lang w:val="en-US"/>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semiHidden/>
    <w:rsid w:val="00E95915"/>
    <w:rPr>
      <w:rFonts w:asciiTheme="majorHAnsi" w:eastAsiaTheme="majorEastAsia" w:hAnsiTheme="majorHAnsi" w:cstheme="majorBidi"/>
      <w:color w:val="2E74B5" w:themeColor="accent1" w:themeShade="BF"/>
      <w:sz w:val="26"/>
      <w:szCs w:val="26"/>
      <w:lang w:val="en-US"/>
    </w:rPr>
  </w:style>
  <w:style w:type="character" w:styleId="Strong">
    <w:name w:val="Strong"/>
    <w:basedOn w:val="DefaultParagraphFont"/>
    <w:uiPriority w:val="22"/>
    <w:qFormat/>
    <w:rsid w:val="00DC496F"/>
    <w:rPr>
      <w:b/>
      <w:bCs/>
    </w:rPr>
  </w:style>
  <w:style w:type="character" w:customStyle="1" w:styleId="Heading4Char">
    <w:name w:val="Heading 4 Char"/>
    <w:basedOn w:val="DefaultParagraphFont"/>
    <w:link w:val="Heading4"/>
    <w:uiPriority w:val="9"/>
    <w:semiHidden/>
    <w:rsid w:val="00AE423D"/>
    <w:rPr>
      <w:rFonts w:asciiTheme="majorHAnsi" w:eastAsiaTheme="majorEastAsia" w:hAnsiTheme="majorHAnsi" w:cstheme="majorBidi"/>
      <w:i/>
      <w:iCs/>
      <w:color w:val="2E74B5" w:themeColor="accent1" w:themeShade="B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338">
      <w:bodyDiv w:val="1"/>
      <w:marLeft w:val="0"/>
      <w:marRight w:val="0"/>
      <w:marTop w:val="0"/>
      <w:marBottom w:val="0"/>
      <w:divBdr>
        <w:top w:val="none" w:sz="0" w:space="0" w:color="auto"/>
        <w:left w:val="none" w:sz="0" w:space="0" w:color="auto"/>
        <w:bottom w:val="none" w:sz="0" w:space="0" w:color="auto"/>
        <w:right w:val="none" w:sz="0" w:space="0" w:color="auto"/>
      </w:divBdr>
    </w:div>
    <w:div w:id="30961016">
      <w:bodyDiv w:val="1"/>
      <w:marLeft w:val="0"/>
      <w:marRight w:val="0"/>
      <w:marTop w:val="0"/>
      <w:marBottom w:val="0"/>
      <w:divBdr>
        <w:top w:val="none" w:sz="0" w:space="0" w:color="auto"/>
        <w:left w:val="none" w:sz="0" w:space="0" w:color="auto"/>
        <w:bottom w:val="none" w:sz="0" w:space="0" w:color="auto"/>
        <w:right w:val="none" w:sz="0" w:space="0" w:color="auto"/>
      </w:divBdr>
    </w:div>
    <w:div w:id="34351259">
      <w:bodyDiv w:val="1"/>
      <w:marLeft w:val="0"/>
      <w:marRight w:val="0"/>
      <w:marTop w:val="0"/>
      <w:marBottom w:val="0"/>
      <w:divBdr>
        <w:top w:val="none" w:sz="0" w:space="0" w:color="auto"/>
        <w:left w:val="none" w:sz="0" w:space="0" w:color="auto"/>
        <w:bottom w:val="none" w:sz="0" w:space="0" w:color="auto"/>
        <w:right w:val="none" w:sz="0" w:space="0" w:color="auto"/>
      </w:divBdr>
    </w:div>
    <w:div w:id="36898980">
      <w:bodyDiv w:val="1"/>
      <w:marLeft w:val="0"/>
      <w:marRight w:val="0"/>
      <w:marTop w:val="0"/>
      <w:marBottom w:val="0"/>
      <w:divBdr>
        <w:top w:val="none" w:sz="0" w:space="0" w:color="auto"/>
        <w:left w:val="none" w:sz="0" w:space="0" w:color="auto"/>
        <w:bottom w:val="none" w:sz="0" w:space="0" w:color="auto"/>
        <w:right w:val="none" w:sz="0" w:space="0" w:color="auto"/>
      </w:divBdr>
    </w:div>
    <w:div w:id="73211719">
      <w:bodyDiv w:val="1"/>
      <w:marLeft w:val="0"/>
      <w:marRight w:val="0"/>
      <w:marTop w:val="0"/>
      <w:marBottom w:val="0"/>
      <w:divBdr>
        <w:top w:val="none" w:sz="0" w:space="0" w:color="auto"/>
        <w:left w:val="none" w:sz="0" w:space="0" w:color="auto"/>
        <w:bottom w:val="none" w:sz="0" w:space="0" w:color="auto"/>
        <w:right w:val="none" w:sz="0" w:space="0" w:color="auto"/>
      </w:divBdr>
    </w:div>
    <w:div w:id="120734497">
      <w:bodyDiv w:val="1"/>
      <w:marLeft w:val="0"/>
      <w:marRight w:val="0"/>
      <w:marTop w:val="0"/>
      <w:marBottom w:val="0"/>
      <w:divBdr>
        <w:top w:val="none" w:sz="0" w:space="0" w:color="auto"/>
        <w:left w:val="none" w:sz="0" w:space="0" w:color="auto"/>
        <w:bottom w:val="none" w:sz="0" w:space="0" w:color="auto"/>
        <w:right w:val="none" w:sz="0" w:space="0" w:color="auto"/>
      </w:divBdr>
    </w:div>
    <w:div w:id="122387621">
      <w:bodyDiv w:val="1"/>
      <w:marLeft w:val="0"/>
      <w:marRight w:val="0"/>
      <w:marTop w:val="0"/>
      <w:marBottom w:val="0"/>
      <w:divBdr>
        <w:top w:val="none" w:sz="0" w:space="0" w:color="auto"/>
        <w:left w:val="none" w:sz="0" w:space="0" w:color="auto"/>
        <w:bottom w:val="none" w:sz="0" w:space="0" w:color="auto"/>
        <w:right w:val="none" w:sz="0" w:space="0" w:color="auto"/>
      </w:divBdr>
    </w:div>
    <w:div w:id="123734824">
      <w:bodyDiv w:val="1"/>
      <w:marLeft w:val="0"/>
      <w:marRight w:val="0"/>
      <w:marTop w:val="0"/>
      <w:marBottom w:val="0"/>
      <w:divBdr>
        <w:top w:val="none" w:sz="0" w:space="0" w:color="auto"/>
        <w:left w:val="none" w:sz="0" w:space="0" w:color="auto"/>
        <w:bottom w:val="none" w:sz="0" w:space="0" w:color="auto"/>
        <w:right w:val="none" w:sz="0" w:space="0" w:color="auto"/>
      </w:divBdr>
    </w:div>
    <w:div w:id="181865477">
      <w:bodyDiv w:val="1"/>
      <w:marLeft w:val="0"/>
      <w:marRight w:val="0"/>
      <w:marTop w:val="0"/>
      <w:marBottom w:val="0"/>
      <w:divBdr>
        <w:top w:val="none" w:sz="0" w:space="0" w:color="auto"/>
        <w:left w:val="none" w:sz="0" w:space="0" w:color="auto"/>
        <w:bottom w:val="none" w:sz="0" w:space="0" w:color="auto"/>
        <w:right w:val="none" w:sz="0" w:space="0" w:color="auto"/>
      </w:divBdr>
    </w:div>
    <w:div w:id="193427245">
      <w:bodyDiv w:val="1"/>
      <w:marLeft w:val="0"/>
      <w:marRight w:val="0"/>
      <w:marTop w:val="0"/>
      <w:marBottom w:val="0"/>
      <w:divBdr>
        <w:top w:val="none" w:sz="0" w:space="0" w:color="auto"/>
        <w:left w:val="none" w:sz="0" w:space="0" w:color="auto"/>
        <w:bottom w:val="none" w:sz="0" w:space="0" w:color="auto"/>
        <w:right w:val="none" w:sz="0" w:space="0" w:color="auto"/>
      </w:divBdr>
    </w:div>
    <w:div w:id="210965651">
      <w:bodyDiv w:val="1"/>
      <w:marLeft w:val="0"/>
      <w:marRight w:val="0"/>
      <w:marTop w:val="0"/>
      <w:marBottom w:val="0"/>
      <w:divBdr>
        <w:top w:val="none" w:sz="0" w:space="0" w:color="auto"/>
        <w:left w:val="none" w:sz="0" w:space="0" w:color="auto"/>
        <w:bottom w:val="none" w:sz="0" w:space="0" w:color="auto"/>
        <w:right w:val="none" w:sz="0" w:space="0" w:color="auto"/>
      </w:divBdr>
    </w:div>
    <w:div w:id="245964695">
      <w:bodyDiv w:val="1"/>
      <w:marLeft w:val="0"/>
      <w:marRight w:val="0"/>
      <w:marTop w:val="0"/>
      <w:marBottom w:val="0"/>
      <w:divBdr>
        <w:top w:val="none" w:sz="0" w:space="0" w:color="auto"/>
        <w:left w:val="none" w:sz="0" w:space="0" w:color="auto"/>
        <w:bottom w:val="none" w:sz="0" w:space="0" w:color="auto"/>
        <w:right w:val="none" w:sz="0" w:space="0" w:color="auto"/>
      </w:divBdr>
    </w:div>
    <w:div w:id="255794131">
      <w:bodyDiv w:val="1"/>
      <w:marLeft w:val="0"/>
      <w:marRight w:val="0"/>
      <w:marTop w:val="0"/>
      <w:marBottom w:val="0"/>
      <w:divBdr>
        <w:top w:val="none" w:sz="0" w:space="0" w:color="auto"/>
        <w:left w:val="none" w:sz="0" w:space="0" w:color="auto"/>
        <w:bottom w:val="none" w:sz="0" w:space="0" w:color="auto"/>
        <w:right w:val="none" w:sz="0" w:space="0" w:color="auto"/>
      </w:divBdr>
    </w:div>
    <w:div w:id="261649208">
      <w:bodyDiv w:val="1"/>
      <w:marLeft w:val="0"/>
      <w:marRight w:val="0"/>
      <w:marTop w:val="0"/>
      <w:marBottom w:val="0"/>
      <w:divBdr>
        <w:top w:val="none" w:sz="0" w:space="0" w:color="auto"/>
        <w:left w:val="none" w:sz="0" w:space="0" w:color="auto"/>
        <w:bottom w:val="none" w:sz="0" w:space="0" w:color="auto"/>
        <w:right w:val="none" w:sz="0" w:space="0" w:color="auto"/>
      </w:divBdr>
    </w:div>
    <w:div w:id="275256196">
      <w:bodyDiv w:val="1"/>
      <w:marLeft w:val="0"/>
      <w:marRight w:val="0"/>
      <w:marTop w:val="0"/>
      <w:marBottom w:val="0"/>
      <w:divBdr>
        <w:top w:val="none" w:sz="0" w:space="0" w:color="auto"/>
        <w:left w:val="none" w:sz="0" w:space="0" w:color="auto"/>
        <w:bottom w:val="none" w:sz="0" w:space="0" w:color="auto"/>
        <w:right w:val="none" w:sz="0" w:space="0" w:color="auto"/>
      </w:divBdr>
    </w:div>
    <w:div w:id="317150339">
      <w:bodyDiv w:val="1"/>
      <w:marLeft w:val="0"/>
      <w:marRight w:val="0"/>
      <w:marTop w:val="0"/>
      <w:marBottom w:val="0"/>
      <w:divBdr>
        <w:top w:val="none" w:sz="0" w:space="0" w:color="auto"/>
        <w:left w:val="none" w:sz="0" w:space="0" w:color="auto"/>
        <w:bottom w:val="none" w:sz="0" w:space="0" w:color="auto"/>
        <w:right w:val="none" w:sz="0" w:space="0" w:color="auto"/>
      </w:divBdr>
    </w:div>
    <w:div w:id="323123329">
      <w:bodyDiv w:val="1"/>
      <w:marLeft w:val="0"/>
      <w:marRight w:val="0"/>
      <w:marTop w:val="0"/>
      <w:marBottom w:val="0"/>
      <w:divBdr>
        <w:top w:val="none" w:sz="0" w:space="0" w:color="auto"/>
        <w:left w:val="none" w:sz="0" w:space="0" w:color="auto"/>
        <w:bottom w:val="none" w:sz="0" w:space="0" w:color="auto"/>
        <w:right w:val="none" w:sz="0" w:space="0" w:color="auto"/>
      </w:divBdr>
    </w:div>
    <w:div w:id="356198714">
      <w:bodyDiv w:val="1"/>
      <w:marLeft w:val="0"/>
      <w:marRight w:val="0"/>
      <w:marTop w:val="0"/>
      <w:marBottom w:val="0"/>
      <w:divBdr>
        <w:top w:val="none" w:sz="0" w:space="0" w:color="auto"/>
        <w:left w:val="none" w:sz="0" w:space="0" w:color="auto"/>
        <w:bottom w:val="none" w:sz="0" w:space="0" w:color="auto"/>
        <w:right w:val="none" w:sz="0" w:space="0" w:color="auto"/>
      </w:divBdr>
    </w:div>
    <w:div w:id="393889744">
      <w:bodyDiv w:val="1"/>
      <w:marLeft w:val="0"/>
      <w:marRight w:val="0"/>
      <w:marTop w:val="0"/>
      <w:marBottom w:val="0"/>
      <w:divBdr>
        <w:top w:val="none" w:sz="0" w:space="0" w:color="auto"/>
        <w:left w:val="none" w:sz="0" w:space="0" w:color="auto"/>
        <w:bottom w:val="none" w:sz="0" w:space="0" w:color="auto"/>
        <w:right w:val="none" w:sz="0" w:space="0" w:color="auto"/>
      </w:divBdr>
    </w:div>
    <w:div w:id="414403839">
      <w:bodyDiv w:val="1"/>
      <w:marLeft w:val="0"/>
      <w:marRight w:val="0"/>
      <w:marTop w:val="0"/>
      <w:marBottom w:val="0"/>
      <w:divBdr>
        <w:top w:val="none" w:sz="0" w:space="0" w:color="auto"/>
        <w:left w:val="none" w:sz="0" w:space="0" w:color="auto"/>
        <w:bottom w:val="none" w:sz="0" w:space="0" w:color="auto"/>
        <w:right w:val="none" w:sz="0" w:space="0" w:color="auto"/>
      </w:divBdr>
    </w:div>
    <w:div w:id="423960796">
      <w:bodyDiv w:val="1"/>
      <w:marLeft w:val="0"/>
      <w:marRight w:val="0"/>
      <w:marTop w:val="0"/>
      <w:marBottom w:val="0"/>
      <w:divBdr>
        <w:top w:val="none" w:sz="0" w:space="0" w:color="auto"/>
        <w:left w:val="none" w:sz="0" w:space="0" w:color="auto"/>
        <w:bottom w:val="none" w:sz="0" w:space="0" w:color="auto"/>
        <w:right w:val="none" w:sz="0" w:space="0" w:color="auto"/>
      </w:divBdr>
    </w:div>
    <w:div w:id="437217812">
      <w:bodyDiv w:val="1"/>
      <w:marLeft w:val="0"/>
      <w:marRight w:val="0"/>
      <w:marTop w:val="0"/>
      <w:marBottom w:val="0"/>
      <w:divBdr>
        <w:top w:val="none" w:sz="0" w:space="0" w:color="auto"/>
        <w:left w:val="none" w:sz="0" w:space="0" w:color="auto"/>
        <w:bottom w:val="none" w:sz="0" w:space="0" w:color="auto"/>
        <w:right w:val="none" w:sz="0" w:space="0" w:color="auto"/>
      </w:divBdr>
    </w:div>
    <w:div w:id="444731551">
      <w:bodyDiv w:val="1"/>
      <w:marLeft w:val="0"/>
      <w:marRight w:val="0"/>
      <w:marTop w:val="0"/>
      <w:marBottom w:val="0"/>
      <w:divBdr>
        <w:top w:val="none" w:sz="0" w:space="0" w:color="auto"/>
        <w:left w:val="none" w:sz="0" w:space="0" w:color="auto"/>
        <w:bottom w:val="none" w:sz="0" w:space="0" w:color="auto"/>
        <w:right w:val="none" w:sz="0" w:space="0" w:color="auto"/>
      </w:divBdr>
    </w:div>
    <w:div w:id="516192326">
      <w:bodyDiv w:val="1"/>
      <w:marLeft w:val="0"/>
      <w:marRight w:val="0"/>
      <w:marTop w:val="0"/>
      <w:marBottom w:val="0"/>
      <w:divBdr>
        <w:top w:val="none" w:sz="0" w:space="0" w:color="auto"/>
        <w:left w:val="none" w:sz="0" w:space="0" w:color="auto"/>
        <w:bottom w:val="none" w:sz="0" w:space="0" w:color="auto"/>
        <w:right w:val="none" w:sz="0" w:space="0" w:color="auto"/>
      </w:divBdr>
    </w:div>
    <w:div w:id="519778454">
      <w:bodyDiv w:val="1"/>
      <w:marLeft w:val="0"/>
      <w:marRight w:val="0"/>
      <w:marTop w:val="0"/>
      <w:marBottom w:val="0"/>
      <w:divBdr>
        <w:top w:val="none" w:sz="0" w:space="0" w:color="auto"/>
        <w:left w:val="none" w:sz="0" w:space="0" w:color="auto"/>
        <w:bottom w:val="none" w:sz="0" w:space="0" w:color="auto"/>
        <w:right w:val="none" w:sz="0" w:space="0" w:color="auto"/>
      </w:divBdr>
    </w:div>
    <w:div w:id="524636987">
      <w:bodyDiv w:val="1"/>
      <w:marLeft w:val="0"/>
      <w:marRight w:val="0"/>
      <w:marTop w:val="0"/>
      <w:marBottom w:val="0"/>
      <w:divBdr>
        <w:top w:val="none" w:sz="0" w:space="0" w:color="auto"/>
        <w:left w:val="none" w:sz="0" w:space="0" w:color="auto"/>
        <w:bottom w:val="none" w:sz="0" w:space="0" w:color="auto"/>
        <w:right w:val="none" w:sz="0" w:space="0" w:color="auto"/>
      </w:divBdr>
    </w:div>
    <w:div w:id="597642093">
      <w:bodyDiv w:val="1"/>
      <w:marLeft w:val="0"/>
      <w:marRight w:val="0"/>
      <w:marTop w:val="0"/>
      <w:marBottom w:val="0"/>
      <w:divBdr>
        <w:top w:val="none" w:sz="0" w:space="0" w:color="auto"/>
        <w:left w:val="none" w:sz="0" w:space="0" w:color="auto"/>
        <w:bottom w:val="none" w:sz="0" w:space="0" w:color="auto"/>
        <w:right w:val="none" w:sz="0" w:space="0" w:color="auto"/>
      </w:divBdr>
    </w:div>
    <w:div w:id="667946452">
      <w:bodyDiv w:val="1"/>
      <w:marLeft w:val="0"/>
      <w:marRight w:val="0"/>
      <w:marTop w:val="0"/>
      <w:marBottom w:val="0"/>
      <w:divBdr>
        <w:top w:val="none" w:sz="0" w:space="0" w:color="auto"/>
        <w:left w:val="none" w:sz="0" w:space="0" w:color="auto"/>
        <w:bottom w:val="none" w:sz="0" w:space="0" w:color="auto"/>
        <w:right w:val="none" w:sz="0" w:space="0" w:color="auto"/>
      </w:divBdr>
    </w:div>
    <w:div w:id="714622698">
      <w:bodyDiv w:val="1"/>
      <w:marLeft w:val="0"/>
      <w:marRight w:val="0"/>
      <w:marTop w:val="0"/>
      <w:marBottom w:val="0"/>
      <w:divBdr>
        <w:top w:val="none" w:sz="0" w:space="0" w:color="auto"/>
        <w:left w:val="none" w:sz="0" w:space="0" w:color="auto"/>
        <w:bottom w:val="none" w:sz="0" w:space="0" w:color="auto"/>
        <w:right w:val="none" w:sz="0" w:space="0" w:color="auto"/>
      </w:divBdr>
    </w:div>
    <w:div w:id="722296795">
      <w:bodyDiv w:val="1"/>
      <w:marLeft w:val="0"/>
      <w:marRight w:val="0"/>
      <w:marTop w:val="0"/>
      <w:marBottom w:val="0"/>
      <w:divBdr>
        <w:top w:val="none" w:sz="0" w:space="0" w:color="auto"/>
        <w:left w:val="none" w:sz="0" w:space="0" w:color="auto"/>
        <w:bottom w:val="none" w:sz="0" w:space="0" w:color="auto"/>
        <w:right w:val="none" w:sz="0" w:space="0" w:color="auto"/>
      </w:divBdr>
    </w:div>
    <w:div w:id="737094621">
      <w:bodyDiv w:val="1"/>
      <w:marLeft w:val="0"/>
      <w:marRight w:val="0"/>
      <w:marTop w:val="0"/>
      <w:marBottom w:val="0"/>
      <w:divBdr>
        <w:top w:val="none" w:sz="0" w:space="0" w:color="auto"/>
        <w:left w:val="none" w:sz="0" w:space="0" w:color="auto"/>
        <w:bottom w:val="none" w:sz="0" w:space="0" w:color="auto"/>
        <w:right w:val="none" w:sz="0" w:space="0" w:color="auto"/>
      </w:divBdr>
    </w:div>
    <w:div w:id="765543815">
      <w:bodyDiv w:val="1"/>
      <w:marLeft w:val="0"/>
      <w:marRight w:val="0"/>
      <w:marTop w:val="0"/>
      <w:marBottom w:val="0"/>
      <w:divBdr>
        <w:top w:val="none" w:sz="0" w:space="0" w:color="auto"/>
        <w:left w:val="none" w:sz="0" w:space="0" w:color="auto"/>
        <w:bottom w:val="none" w:sz="0" w:space="0" w:color="auto"/>
        <w:right w:val="none" w:sz="0" w:space="0" w:color="auto"/>
      </w:divBdr>
    </w:div>
    <w:div w:id="769085466">
      <w:bodyDiv w:val="1"/>
      <w:marLeft w:val="0"/>
      <w:marRight w:val="0"/>
      <w:marTop w:val="0"/>
      <w:marBottom w:val="0"/>
      <w:divBdr>
        <w:top w:val="none" w:sz="0" w:space="0" w:color="auto"/>
        <w:left w:val="none" w:sz="0" w:space="0" w:color="auto"/>
        <w:bottom w:val="none" w:sz="0" w:space="0" w:color="auto"/>
        <w:right w:val="none" w:sz="0" w:space="0" w:color="auto"/>
      </w:divBdr>
    </w:div>
    <w:div w:id="896162518">
      <w:bodyDiv w:val="1"/>
      <w:marLeft w:val="0"/>
      <w:marRight w:val="0"/>
      <w:marTop w:val="0"/>
      <w:marBottom w:val="0"/>
      <w:divBdr>
        <w:top w:val="none" w:sz="0" w:space="0" w:color="auto"/>
        <w:left w:val="none" w:sz="0" w:space="0" w:color="auto"/>
        <w:bottom w:val="none" w:sz="0" w:space="0" w:color="auto"/>
        <w:right w:val="none" w:sz="0" w:space="0" w:color="auto"/>
      </w:divBdr>
    </w:div>
    <w:div w:id="950429178">
      <w:bodyDiv w:val="1"/>
      <w:marLeft w:val="0"/>
      <w:marRight w:val="0"/>
      <w:marTop w:val="0"/>
      <w:marBottom w:val="0"/>
      <w:divBdr>
        <w:top w:val="none" w:sz="0" w:space="0" w:color="auto"/>
        <w:left w:val="none" w:sz="0" w:space="0" w:color="auto"/>
        <w:bottom w:val="none" w:sz="0" w:space="0" w:color="auto"/>
        <w:right w:val="none" w:sz="0" w:space="0" w:color="auto"/>
      </w:divBdr>
    </w:div>
    <w:div w:id="953170806">
      <w:bodyDiv w:val="1"/>
      <w:marLeft w:val="0"/>
      <w:marRight w:val="0"/>
      <w:marTop w:val="0"/>
      <w:marBottom w:val="0"/>
      <w:divBdr>
        <w:top w:val="none" w:sz="0" w:space="0" w:color="auto"/>
        <w:left w:val="none" w:sz="0" w:space="0" w:color="auto"/>
        <w:bottom w:val="none" w:sz="0" w:space="0" w:color="auto"/>
        <w:right w:val="none" w:sz="0" w:space="0" w:color="auto"/>
      </w:divBdr>
    </w:div>
    <w:div w:id="1014114462">
      <w:bodyDiv w:val="1"/>
      <w:marLeft w:val="0"/>
      <w:marRight w:val="0"/>
      <w:marTop w:val="0"/>
      <w:marBottom w:val="0"/>
      <w:divBdr>
        <w:top w:val="none" w:sz="0" w:space="0" w:color="auto"/>
        <w:left w:val="none" w:sz="0" w:space="0" w:color="auto"/>
        <w:bottom w:val="none" w:sz="0" w:space="0" w:color="auto"/>
        <w:right w:val="none" w:sz="0" w:space="0" w:color="auto"/>
      </w:divBdr>
    </w:div>
    <w:div w:id="1036738850">
      <w:bodyDiv w:val="1"/>
      <w:marLeft w:val="0"/>
      <w:marRight w:val="0"/>
      <w:marTop w:val="0"/>
      <w:marBottom w:val="0"/>
      <w:divBdr>
        <w:top w:val="none" w:sz="0" w:space="0" w:color="auto"/>
        <w:left w:val="none" w:sz="0" w:space="0" w:color="auto"/>
        <w:bottom w:val="none" w:sz="0" w:space="0" w:color="auto"/>
        <w:right w:val="none" w:sz="0" w:space="0" w:color="auto"/>
      </w:divBdr>
    </w:div>
    <w:div w:id="1040014468">
      <w:bodyDiv w:val="1"/>
      <w:marLeft w:val="0"/>
      <w:marRight w:val="0"/>
      <w:marTop w:val="0"/>
      <w:marBottom w:val="0"/>
      <w:divBdr>
        <w:top w:val="none" w:sz="0" w:space="0" w:color="auto"/>
        <w:left w:val="none" w:sz="0" w:space="0" w:color="auto"/>
        <w:bottom w:val="none" w:sz="0" w:space="0" w:color="auto"/>
        <w:right w:val="none" w:sz="0" w:space="0" w:color="auto"/>
      </w:divBdr>
    </w:div>
    <w:div w:id="1042443898">
      <w:bodyDiv w:val="1"/>
      <w:marLeft w:val="0"/>
      <w:marRight w:val="0"/>
      <w:marTop w:val="0"/>
      <w:marBottom w:val="0"/>
      <w:divBdr>
        <w:top w:val="none" w:sz="0" w:space="0" w:color="auto"/>
        <w:left w:val="none" w:sz="0" w:space="0" w:color="auto"/>
        <w:bottom w:val="none" w:sz="0" w:space="0" w:color="auto"/>
        <w:right w:val="none" w:sz="0" w:space="0" w:color="auto"/>
      </w:divBdr>
    </w:div>
    <w:div w:id="1118572715">
      <w:bodyDiv w:val="1"/>
      <w:marLeft w:val="0"/>
      <w:marRight w:val="0"/>
      <w:marTop w:val="0"/>
      <w:marBottom w:val="0"/>
      <w:divBdr>
        <w:top w:val="none" w:sz="0" w:space="0" w:color="auto"/>
        <w:left w:val="none" w:sz="0" w:space="0" w:color="auto"/>
        <w:bottom w:val="none" w:sz="0" w:space="0" w:color="auto"/>
        <w:right w:val="none" w:sz="0" w:space="0" w:color="auto"/>
      </w:divBdr>
    </w:div>
    <w:div w:id="1184436065">
      <w:bodyDiv w:val="1"/>
      <w:marLeft w:val="0"/>
      <w:marRight w:val="0"/>
      <w:marTop w:val="0"/>
      <w:marBottom w:val="0"/>
      <w:divBdr>
        <w:top w:val="none" w:sz="0" w:space="0" w:color="auto"/>
        <w:left w:val="none" w:sz="0" w:space="0" w:color="auto"/>
        <w:bottom w:val="none" w:sz="0" w:space="0" w:color="auto"/>
        <w:right w:val="none" w:sz="0" w:space="0" w:color="auto"/>
      </w:divBdr>
    </w:div>
    <w:div w:id="1224024119">
      <w:bodyDiv w:val="1"/>
      <w:marLeft w:val="0"/>
      <w:marRight w:val="0"/>
      <w:marTop w:val="0"/>
      <w:marBottom w:val="0"/>
      <w:divBdr>
        <w:top w:val="none" w:sz="0" w:space="0" w:color="auto"/>
        <w:left w:val="none" w:sz="0" w:space="0" w:color="auto"/>
        <w:bottom w:val="none" w:sz="0" w:space="0" w:color="auto"/>
        <w:right w:val="none" w:sz="0" w:space="0" w:color="auto"/>
      </w:divBdr>
    </w:div>
    <w:div w:id="1249119529">
      <w:bodyDiv w:val="1"/>
      <w:marLeft w:val="0"/>
      <w:marRight w:val="0"/>
      <w:marTop w:val="0"/>
      <w:marBottom w:val="0"/>
      <w:divBdr>
        <w:top w:val="none" w:sz="0" w:space="0" w:color="auto"/>
        <w:left w:val="none" w:sz="0" w:space="0" w:color="auto"/>
        <w:bottom w:val="none" w:sz="0" w:space="0" w:color="auto"/>
        <w:right w:val="none" w:sz="0" w:space="0" w:color="auto"/>
      </w:divBdr>
      <w:divsChild>
        <w:div w:id="1215586432">
          <w:marLeft w:val="0"/>
          <w:marRight w:val="0"/>
          <w:marTop w:val="0"/>
          <w:marBottom w:val="0"/>
          <w:divBdr>
            <w:top w:val="none" w:sz="0" w:space="0" w:color="auto"/>
            <w:left w:val="none" w:sz="0" w:space="0" w:color="auto"/>
            <w:bottom w:val="none" w:sz="0" w:space="0" w:color="auto"/>
            <w:right w:val="none" w:sz="0" w:space="0" w:color="auto"/>
          </w:divBdr>
        </w:div>
      </w:divsChild>
    </w:div>
    <w:div w:id="1278486349">
      <w:bodyDiv w:val="1"/>
      <w:marLeft w:val="0"/>
      <w:marRight w:val="0"/>
      <w:marTop w:val="0"/>
      <w:marBottom w:val="0"/>
      <w:divBdr>
        <w:top w:val="none" w:sz="0" w:space="0" w:color="auto"/>
        <w:left w:val="none" w:sz="0" w:space="0" w:color="auto"/>
        <w:bottom w:val="none" w:sz="0" w:space="0" w:color="auto"/>
        <w:right w:val="none" w:sz="0" w:space="0" w:color="auto"/>
      </w:divBdr>
    </w:div>
    <w:div w:id="1308165552">
      <w:bodyDiv w:val="1"/>
      <w:marLeft w:val="0"/>
      <w:marRight w:val="0"/>
      <w:marTop w:val="0"/>
      <w:marBottom w:val="0"/>
      <w:divBdr>
        <w:top w:val="none" w:sz="0" w:space="0" w:color="auto"/>
        <w:left w:val="none" w:sz="0" w:space="0" w:color="auto"/>
        <w:bottom w:val="none" w:sz="0" w:space="0" w:color="auto"/>
        <w:right w:val="none" w:sz="0" w:space="0" w:color="auto"/>
      </w:divBdr>
    </w:div>
    <w:div w:id="1319770458">
      <w:bodyDiv w:val="1"/>
      <w:marLeft w:val="0"/>
      <w:marRight w:val="0"/>
      <w:marTop w:val="0"/>
      <w:marBottom w:val="0"/>
      <w:divBdr>
        <w:top w:val="none" w:sz="0" w:space="0" w:color="auto"/>
        <w:left w:val="none" w:sz="0" w:space="0" w:color="auto"/>
        <w:bottom w:val="none" w:sz="0" w:space="0" w:color="auto"/>
        <w:right w:val="none" w:sz="0" w:space="0" w:color="auto"/>
      </w:divBdr>
    </w:div>
    <w:div w:id="1392001032">
      <w:bodyDiv w:val="1"/>
      <w:marLeft w:val="0"/>
      <w:marRight w:val="0"/>
      <w:marTop w:val="0"/>
      <w:marBottom w:val="0"/>
      <w:divBdr>
        <w:top w:val="none" w:sz="0" w:space="0" w:color="auto"/>
        <w:left w:val="none" w:sz="0" w:space="0" w:color="auto"/>
        <w:bottom w:val="none" w:sz="0" w:space="0" w:color="auto"/>
        <w:right w:val="none" w:sz="0" w:space="0" w:color="auto"/>
      </w:divBdr>
    </w:div>
    <w:div w:id="1410344205">
      <w:bodyDiv w:val="1"/>
      <w:marLeft w:val="0"/>
      <w:marRight w:val="0"/>
      <w:marTop w:val="0"/>
      <w:marBottom w:val="0"/>
      <w:divBdr>
        <w:top w:val="none" w:sz="0" w:space="0" w:color="auto"/>
        <w:left w:val="none" w:sz="0" w:space="0" w:color="auto"/>
        <w:bottom w:val="none" w:sz="0" w:space="0" w:color="auto"/>
        <w:right w:val="none" w:sz="0" w:space="0" w:color="auto"/>
      </w:divBdr>
    </w:div>
    <w:div w:id="1450735184">
      <w:bodyDiv w:val="1"/>
      <w:marLeft w:val="0"/>
      <w:marRight w:val="0"/>
      <w:marTop w:val="0"/>
      <w:marBottom w:val="0"/>
      <w:divBdr>
        <w:top w:val="none" w:sz="0" w:space="0" w:color="auto"/>
        <w:left w:val="none" w:sz="0" w:space="0" w:color="auto"/>
        <w:bottom w:val="none" w:sz="0" w:space="0" w:color="auto"/>
        <w:right w:val="none" w:sz="0" w:space="0" w:color="auto"/>
      </w:divBdr>
    </w:div>
    <w:div w:id="1460807377">
      <w:bodyDiv w:val="1"/>
      <w:marLeft w:val="0"/>
      <w:marRight w:val="0"/>
      <w:marTop w:val="0"/>
      <w:marBottom w:val="0"/>
      <w:divBdr>
        <w:top w:val="none" w:sz="0" w:space="0" w:color="auto"/>
        <w:left w:val="none" w:sz="0" w:space="0" w:color="auto"/>
        <w:bottom w:val="none" w:sz="0" w:space="0" w:color="auto"/>
        <w:right w:val="none" w:sz="0" w:space="0" w:color="auto"/>
      </w:divBdr>
    </w:div>
    <w:div w:id="1478835409">
      <w:bodyDiv w:val="1"/>
      <w:marLeft w:val="0"/>
      <w:marRight w:val="0"/>
      <w:marTop w:val="0"/>
      <w:marBottom w:val="0"/>
      <w:divBdr>
        <w:top w:val="none" w:sz="0" w:space="0" w:color="auto"/>
        <w:left w:val="none" w:sz="0" w:space="0" w:color="auto"/>
        <w:bottom w:val="none" w:sz="0" w:space="0" w:color="auto"/>
        <w:right w:val="none" w:sz="0" w:space="0" w:color="auto"/>
      </w:divBdr>
    </w:div>
    <w:div w:id="1518695677">
      <w:bodyDiv w:val="1"/>
      <w:marLeft w:val="0"/>
      <w:marRight w:val="0"/>
      <w:marTop w:val="0"/>
      <w:marBottom w:val="0"/>
      <w:divBdr>
        <w:top w:val="none" w:sz="0" w:space="0" w:color="auto"/>
        <w:left w:val="none" w:sz="0" w:space="0" w:color="auto"/>
        <w:bottom w:val="none" w:sz="0" w:space="0" w:color="auto"/>
        <w:right w:val="none" w:sz="0" w:space="0" w:color="auto"/>
      </w:divBdr>
    </w:div>
    <w:div w:id="1587957187">
      <w:bodyDiv w:val="1"/>
      <w:marLeft w:val="0"/>
      <w:marRight w:val="0"/>
      <w:marTop w:val="0"/>
      <w:marBottom w:val="0"/>
      <w:divBdr>
        <w:top w:val="none" w:sz="0" w:space="0" w:color="auto"/>
        <w:left w:val="none" w:sz="0" w:space="0" w:color="auto"/>
        <w:bottom w:val="none" w:sz="0" w:space="0" w:color="auto"/>
        <w:right w:val="none" w:sz="0" w:space="0" w:color="auto"/>
      </w:divBdr>
    </w:div>
    <w:div w:id="1622957316">
      <w:bodyDiv w:val="1"/>
      <w:marLeft w:val="0"/>
      <w:marRight w:val="0"/>
      <w:marTop w:val="0"/>
      <w:marBottom w:val="0"/>
      <w:divBdr>
        <w:top w:val="none" w:sz="0" w:space="0" w:color="auto"/>
        <w:left w:val="none" w:sz="0" w:space="0" w:color="auto"/>
        <w:bottom w:val="none" w:sz="0" w:space="0" w:color="auto"/>
        <w:right w:val="none" w:sz="0" w:space="0" w:color="auto"/>
      </w:divBdr>
    </w:div>
    <w:div w:id="1640064055">
      <w:bodyDiv w:val="1"/>
      <w:marLeft w:val="0"/>
      <w:marRight w:val="0"/>
      <w:marTop w:val="0"/>
      <w:marBottom w:val="0"/>
      <w:divBdr>
        <w:top w:val="none" w:sz="0" w:space="0" w:color="auto"/>
        <w:left w:val="none" w:sz="0" w:space="0" w:color="auto"/>
        <w:bottom w:val="none" w:sz="0" w:space="0" w:color="auto"/>
        <w:right w:val="none" w:sz="0" w:space="0" w:color="auto"/>
      </w:divBdr>
    </w:div>
    <w:div w:id="1667128244">
      <w:bodyDiv w:val="1"/>
      <w:marLeft w:val="0"/>
      <w:marRight w:val="0"/>
      <w:marTop w:val="0"/>
      <w:marBottom w:val="0"/>
      <w:divBdr>
        <w:top w:val="none" w:sz="0" w:space="0" w:color="auto"/>
        <w:left w:val="none" w:sz="0" w:space="0" w:color="auto"/>
        <w:bottom w:val="none" w:sz="0" w:space="0" w:color="auto"/>
        <w:right w:val="none" w:sz="0" w:space="0" w:color="auto"/>
      </w:divBdr>
    </w:div>
    <w:div w:id="1678461033">
      <w:bodyDiv w:val="1"/>
      <w:marLeft w:val="0"/>
      <w:marRight w:val="0"/>
      <w:marTop w:val="0"/>
      <w:marBottom w:val="0"/>
      <w:divBdr>
        <w:top w:val="none" w:sz="0" w:space="0" w:color="auto"/>
        <w:left w:val="none" w:sz="0" w:space="0" w:color="auto"/>
        <w:bottom w:val="none" w:sz="0" w:space="0" w:color="auto"/>
        <w:right w:val="none" w:sz="0" w:space="0" w:color="auto"/>
      </w:divBdr>
    </w:div>
    <w:div w:id="1701202068">
      <w:bodyDiv w:val="1"/>
      <w:marLeft w:val="0"/>
      <w:marRight w:val="0"/>
      <w:marTop w:val="0"/>
      <w:marBottom w:val="0"/>
      <w:divBdr>
        <w:top w:val="none" w:sz="0" w:space="0" w:color="auto"/>
        <w:left w:val="none" w:sz="0" w:space="0" w:color="auto"/>
        <w:bottom w:val="none" w:sz="0" w:space="0" w:color="auto"/>
        <w:right w:val="none" w:sz="0" w:space="0" w:color="auto"/>
      </w:divBdr>
    </w:div>
    <w:div w:id="1701740091">
      <w:bodyDiv w:val="1"/>
      <w:marLeft w:val="0"/>
      <w:marRight w:val="0"/>
      <w:marTop w:val="0"/>
      <w:marBottom w:val="0"/>
      <w:divBdr>
        <w:top w:val="none" w:sz="0" w:space="0" w:color="auto"/>
        <w:left w:val="none" w:sz="0" w:space="0" w:color="auto"/>
        <w:bottom w:val="none" w:sz="0" w:space="0" w:color="auto"/>
        <w:right w:val="none" w:sz="0" w:space="0" w:color="auto"/>
      </w:divBdr>
    </w:div>
    <w:div w:id="1704018873">
      <w:bodyDiv w:val="1"/>
      <w:marLeft w:val="0"/>
      <w:marRight w:val="0"/>
      <w:marTop w:val="0"/>
      <w:marBottom w:val="0"/>
      <w:divBdr>
        <w:top w:val="none" w:sz="0" w:space="0" w:color="auto"/>
        <w:left w:val="none" w:sz="0" w:space="0" w:color="auto"/>
        <w:bottom w:val="none" w:sz="0" w:space="0" w:color="auto"/>
        <w:right w:val="none" w:sz="0" w:space="0" w:color="auto"/>
      </w:divBdr>
    </w:div>
    <w:div w:id="1711758509">
      <w:bodyDiv w:val="1"/>
      <w:marLeft w:val="0"/>
      <w:marRight w:val="0"/>
      <w:marTop w:val="0"/>
      <w:marBottom w:val="0"/>
      <w:divBdr>
        <w:top w:val="none" w:sz="0" w:space="0" w:color="auto"/>
        <w:left w:val="none" w:sz="0" w:space="0" w:color="auto"/>
        <w:bottom w:val="none" w:sz="0" w:space="0" w:color="auto"/>
        <w:right w:val="none" w:sz="0" w:space="0" w:color="auto"/>
      </w:divBdr>
    </w:div>
    <w:div w:id="1817720657">
      <w:bodyDiv w:val="1"/>
      <w:marLeft w:val="0"/>
      <w:marRight w:val="0"/>
      <w:marTop w:val="0"/>
      <w:marBottom w:val="0"/>
      <w:divBdr>
        <w:top w:val="none" w:sz="0" w:space="0" w:color="auto"/>
        <w:left w:val="none" w:sz="0" w:space="0" w:color="auto"/>
        <w:bottom w:val="none" w:sz="0" w:space="0" w:color="auto"/>
        <w:right w:val="none" w:sz="0" w:space="0" w:color="auto"/>
      </w:divBdr>
    </w:div>
    <w:div w:id="1833178079">
      <w:bodyDiv w:val="1"/>
      <w:marLeft w:val="0"/>
      <w:marRight w:val="0"/>
      <w:marTop w:val="0"/>
      <w:marBottom w:val="0"/>
      <w:divBdr>
        <w:top w:val="none" w:sz="0" w:space="0" w:color="auto"/>
        <w:left w:val="none" w:sz="0" w:space="0" w:color="auto"/>
        <w:bottom w:val="none" w:sz="0" w:space="0" w:color="auto"/>
        <w:right w:val="none" w:sz="0" w:space="0" w:color="auto"/>
      </w:divBdr>
    </w:div>
    <w:div w:id="1873224634">
      <w:bodyDiv w:val="1"/>
      <w:marLeft w:val="0"/>
      <w:marRight w:val="0"/>
      <w:marTop w:val="0"/>
      <w:marBottom w:val="0"/>
      <w:divBdr>
        <w:top w:val="none" w:sz="0" w:space="0" w:color="auto"/>
        <w:left w:val="none" w:sz="0" w:space="0" w:color="auto"/>
        <w:bottom w:val="none" w:sz="0" w:space="0" w:color="auto"/>
        <w:right w:val="none" w:sz="0" w:space="0" w:color="auto"/>
      </w:divBdr>
    </w:div>
    <w:div w:id="1956204564">
      <w:bodyDiv w:val="1"/>
      <w:marLeft w:val="0"/>
      <w:marRight w:val="0"/>
      <w:marTop w:val="0"/>
      <w:marBottom w:val="0"/>
      <w:divBdr>
        <w:top w:val="none" w:sz="0" w:space="0" w:color="auto"/>
        <w:left w:val="none" w:sz="0" w:space="0" w:color="auto"/>
        <w:bottom w:val="none" w:sz="0" w:space="0" w:color="auto"/>
        <w:right w:val="none" w:sz="0" w:space="0" w:color="auto"/>
      </w:divBdr>
    </w:div>
    <w:div w:id="2005694691">
      <w:bodyDiv w:val="1"/>
      <w:marLeft w:val="0"/>
      <w:marRight w:val="0"/>
      <w:marTop w:val="0"/>
      <w:marBottom w:val="0"/>
      <w:divBdr>
        <w:top w:val="none" w:sz="0" w:space="0" w:color="auto"/>
        <w:left w:val="none" w:sz="0" w:space="0" w:color="auto"/>
        <w:bottom w:val="none" w:sz="0" w:space="0" w:color="auto"/>
        <w:right w:val="none" w:sz="0" w:space="0" w:color="auto"/>
      </w:divBdr>
    </w:div>
    <w:div w:id="2006591408">
      <w:bodyDiv w:val="1"/>
      <w:marLeft w:val="0"/>
      <w:marRight w:val="0"/>
      <w:marTop w:val="0"/>
      <w:marBottom w:val="0"/>
      <w:divBdr>
        <w:top w:val="none" w:sz="0" w:space="0" w:color="auto"/>
        <w:left w:val="none" w:sz="0" w:space="0" w:color="auto"/>
        <w:bottom w:val="none" w:sz="0" w:space="0" w:color="auto"/>
        <w:right w:val="none" w:sz="0" w:space="0" w:color="auto"/>
      </w:divBdr>
    </w:div>
    <w:div w:id="2066563506">
      <w:bodyDiv w:val="1"/>
      <w:marLeft w:val="0"/>
      <w:marRight w:val="0"/>
      <w:marTop w:val="0"/>
      <w:marBottom w:val="0"/>
      <w:divBdr>
        <w:top w:val="none" w:sz="0" w:space="0" w:color="auto"/>
        <w:left w:val="none" w:sz="0" w:space="0" w:color="auto"/>
        <w:bottom w:val="none" w:sz="0" w:space="0" w:color="auto"/>
        <w:right w:val="none" w:sz="0" w:space="0" w:color="auto"/>
      </w:divBdr>
    </w:div>
    <w:div w:id="2083336186">
      <w:bodyDiv w:val="1"/>
      <w:marLeft w:val="0"/>
      <w:marRight w:val="0"/>
      <w:marTop w:val="0"/>
      <w:marBottom w:val="0"/>
      <w:divBdr>
        <w:top w:val="none" w:sz="0" w:space="0" w:color="auto"/>
        <w:left w:val="none" w:sz="0" w:space="0" w:color="auto"/>
        <w:bottom w:val="none" w:sz="0" w:space="0" w:color="auto"/>
        <w:right w:val="none" w:sz="0" w:space="0" w:color="auto"/>
      </w:divBdr>
    </w:div>
    <w:div w:id="211420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aluers@rkassociate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2A18854B7AC4A92ACABE308475A54B8"/>
        <w:category>
          <w:name w:val="General"/>
          <w:gallery w:val="placeholder"/>
        </w:category>
        <w:types>
          <w:type w:val="bbPlcHdr"/>
        </w:types>
        <w:behaviors>
          <w:behavior w:val="content"/>
        </w:behaviors>
        <w:guid w:val="{323BA259-B265-48DA-AD71-985283026206}"/>
      </w:docPartPr>
      <w:docPartBody>
        <w:p w:rsidR="009801A3" w:rsidRDefault="009801A3" w:rsidP="009801A3">
          <w:pPr>
            <w:pStyle w:val="82A18854B7AC4A92ACABE308475A54B8"/>
          </w:pPr>
          <w:r w:rsidRPr="00E76F52">
            <w:rPr>
              <w:rStyle w:val="PlaceholderText"/>
            </w:rPr>
            <w:t>Choose a building block.</w:t>
          </w:r>
        </w:p>
      </w:docPartBody>
    </w:docPart>
    <w:docPart>
      <w:docPartPr>
        <w:name w:val="35136785C9ED4DD5A88C47EE69E3505C"/>
        <w:category>
          <w:name w:val="General"/>
          <w:gallery w:val="placeholder"/>
        </w:category>
        <w:types>
          <w:type w:val="bbPlcHdr"/>
        </w:types>
        <w:behaviors>
          <w:behavior w:val="content"/>
        </w:behaviors>
        <w:guid w:val="{8C06B197-4B1B-43B7-9335-430A5A94D25E}"/>
      </w:docPartPr>
      <w:docPartBody>
        <w:p w:rsidR="009801A3" w:rsidRDefault="009801A3" w:rsidP="009801A3">
          <w:pPr>
            <w:pStyle w:val="35136785C9ED4DD5A88C47EE69E3505C"/>
          </w:pPr>
          <w:r w:rsidRPr="00E76F52">
            <w:rPr>
              <w:rStyle w:val="PlaceholderText"/>
            </w:rPr>
            <w:t>Click here to enter a date.</w:t>
          </w:r>
        </w:p>
      </w:docPartBody>
    </w:docPart>
    <w:docPart>
      <w:docPartPr>
        <w:name w:val="9E0092C537CF4EAD9D9580E941FBCDED"/>
        <w:category>
          <w:name w:val="General"/>
          <w:gallery w:val="placeholder"/>
        </w:category>
        <w:types>
          <w:type w:val="bbPlcHdr"/>
        </w:types>
        <w:behaviors>
          <w:behavior w:val="content"/>
        </w:behaviors>
        <w:guid w:val="{3880E4E5-3E1E-42A0-97E0-1215E90B8F8D}"/>
      </w:docPartPr>
      <w:docPartBody>
        <w:p w:rsidR="00C76805" w:rsidRDefault="00C76805" w:rsidP="00C76805">
          <w:pPr>
            <w:pStyle w:val="9E0092C537CF4EAD9D9580E941FBCDED"/>
          </w:pPr>
          <w:r w:rsidRPr="00E76F52">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1A3"/>
    <w:rsid w:val="000244F3"/>
    <w:rsid w:val="000C605B"/>
    <w:rsid w:val="001B3F71"/>
    <w:rsid w:val="00231594"/>
    <w:rsid w:val="00301596"/>
    <w:rsid w:val="00323CF1"/>
    <w:rsid w:val="003E794D"/>
    <w:rsid w:val="003F7D6F"/>
    <w:rsid w:val="004C3493"/>
    <w:rsid w:val="00503210"/>
    <w:rsid w:val="005D53C7"/>
    <w:rsid w:val="006B1752"/>
    <w:rsid w:val="006E215F"/>
    <w:rsid w:val="008D0F95"/>
    <w:rsid w:val="00927784"/>
    <w:rsid w:val="009801A3"/>
    <w:rsid w:val="009A3A50"/>
    <w:rsid w:val="00AE0AD5"/>
    <w:rsid w:val="00B116B0"/>
    <w:rsid w:val="00B74E81"/>
    <w:rsid w:val="00C76805"/>
    <w:rsid w:val="00C83B4F"/>
    <w:rsid w:val="00E32BE5"/>
    <w:rsid w:val="00E51145"/>
    <w:rsid w:val="00F019EC"/>
    <w:rsid w:val="00F36E92"/>
    <w:rsid w:val="00F92D33"/>
    <w:rsid w:val="00FD396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3CF1"/>
    <w:rPr>
      <w:color w:val="808080"/>
    </w:rPr>
  </w:style>
  <w:style w:type="paragraph" w:customStyle="1" w:styleId="82A18854B7AC4A92ACABE308475A54B8">
    <w:name w:val="82A18854B7AC4A92ACABE308475A54B8"/>
    <w:rsid w:val="009801A3"/>
  </w:style>
  <w:style w:type="paragraph" w:customStyle="1" w:styleId="35136785C9ED4DD5A88C47EE69E3505C">
    <w:name w:val="35136785C9ED4DD5A88C47EE69E3505C"/>
    <w:rsid w:val="009801A3"/>
  </w:style>
  <w:style w:type="paragraph" w:customStyle="1" w:styleId="DB0AC37016804D7B9FE941869A36E3E1">
    <w:name w:val="DB0AC37016804D7B9FE941869A36E3E1"/>
    <w:rsid w:val="009801A3"/>
  </w:style>
  <w:style w:type="paragraph" w:customStyle="1" w:styleId="9E0092C537CF4EAD9D9580E941FBCDED">
    <w:name w:val="9E0092C537CF4EAD9D9580E941FBCDED"/>
    <w:rsid w:val="00C76805"/>
  </w:style>
  <w:style w:type="paragraph" w:customStyle="1" w:styleId="0B2E0386F2D24FDF8ADD11D6BC0391F6">
    <w:name w:val="0B2E0386F2D24FDF8ADD11D6BC0391F6"/>
    <w:rsid w:val="00C76805"/>
  </w:style>
  <w:style w:type="paragraph" w:customStyle="1" w:styleId="571C6940C8B142B49DAA43402E142A84">
    <w:name w:val="571C6940C8B142B49DAA43402E142A84"/>
    <w:rsid w:val="00C76805"/>
  </w:style>
  <w:style w:type="paragraph" w:customStyle="1" w:styleId="8D1D6997A0E14753933595223930B409">
    <w:name w:val="8D1D6997A0E14753933595223930B409"/>
    <w:rsid w:val="00323C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4C7A5-6C4E-409F-8700-02A9CB29B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11230</TotalTime>
  <Pages>23</Pages>
  <Words>5759</Words>
  <Characters>32827</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M/S GMR WARORA ENERGY LIMITED</dc:subject>
  <dc:creator>Saransh</dc:creator>
  <cp:lastModifiedBy>Gaurav Kumar</cp:lastModifiedBy>
  <cp:revision>141</cp:revision>
  <cp:lastPrinted>2022-06-10T06:57:00Z</cp:lastPrinted>
  <dcterms:created xsi:type="dcterms:W3CDTF">2019-11-11T12:45:00Z</dcterms:created>
  <dcterms:modified xsi:type="dcterms:W3CDTF">2022-06-22T08:24:00Z</dcterms:modified>
</cp:coreProperties>
</file>