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FCE6" w14:textId="5AF40E2A" w:rsidR="00E51F88" w:rsidRDefault="00EE747C" w:rsidP="00EE747C">
      <w:pPr>
        <w:jc w:val="center"/>
        <w:rPr>
          <w:b/>
          <w:bCs/>
          <w:lang w:val="en-US"/>
        </w:rPr>
      </w:pPr>
      <w:r w:rsidRPr="00EE747C">
        <w:rPr>
          <w:b/>
          <w:bCs/>
          <w:lang w:val="en-US"/>
        </w:rPr>
        <w:t>Surat Hazira NH-6 Tollway Pvt Ltd</w:t>
      </w:r>
    </w:p>
    <w:p w14:paraId="5FD05745" w14:textId="0F36E8C7" w:rsidR="004F7E84" w:rsidRPr="004F7E84" w:rsidRDefault="004F7E84" w:rsidP="00EE747C">
      <w:pPr>
        <w:jc w:val="center"/>
        <w:rPr>
          <w:b/>
          <w:bCs/>
          <w:u w:val="single"/>
          <w:lang w:val="en-US"/>
        </w:rPr>
      </w:pPr>
      <w:r w:rsidRPr="004F7E84">
        <w:rPr>
          <w:b/>
          <w:bCs/>
          <w:u w:val="single"/>
          <w:lang w:val="en-US"/>
        </w:rPr>
        <w:t>Project Brief</w:t>
      </w:r>
    </w:p>
    <w:p w14:paraId="76F5F547" w14:textId="2D31BA0B" w:rsidR="00EE747C" w:rsidRDefault="00EE747C" w:rsidP="00AE546A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Project Length: 132 Km, Concession Period: 19 </w:t>
      </w:r>
      <w:proofErr w:type="spellStart"/>
      <w:r>
        <w:rPr>
          <w:lang w:val="en-US"/>
        </w:rPr>
        <w:t>Yrs</w:t>
      </w:r>
      <w:proofErr w:type="spellEnd"/>
      <w:r>
        <w:rPr>
          <w:lang w:val="en-US"/>
        </w:rPr>
        <w:t>, Appointed Date: 31</w:t>
      </w:r>
      <w:r w:rsidRPr="00EE747C">
        <w:rPr>
          <w:vertAlign w:val="superscript"/>
          <w:lang w:val="en-US"/>
        </w:rPr>
        <w:t>st</w:t>
      </w:r>
      <w:r>
        <w:rPr>
          <w:lang w:val="en-US"/>
        </w:rPr>
        <w:t xml:space="preserve"> Mar 2010, Concession End Date: 31</w:t>
      </w:r>
      <w:r w:rsidRPr="00EE747C">
        <w:rPr>
          <w:vertAlign w:val="superscript"/>
          <w:lang w:val="en-US"/>
        </w:rPr>
        <w:t>st</w:t>
      </w:r>
      <w:r>
        <w:rPr>
          <w:lang w:val="en-US"/>
        </w:rPr>
        <w:t xml:space="preserve"> March 2029, SCOD: 13</w:t>
      </w:r>
      <w:r w:rsidRPr="00EE747C">
        <w:rPr>
          <w:vertAlign w:val="superscript"/>
          <w:lang w:val="en-US"/>
        </w:rPr>
        <w:t>th</w:t>
      </w:r>
      <w:r>
        <w:rPr>
          <w:lang w:val="en-US"/>
        </w:rPr>
        <w:t xml:space="preserve"> May 2012.</w:t>
      </w:r>
    </w:p>
    <w:p w14:paraId="67BB1189" w14:textId="2388531B" w:rsidR="00C408BF" w:rsidRDefault="00C408BF" w:rsidP="00AE546A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Later 0.5 km </w:t>
      </w:r>
      <w:r w:rsidR="00DF580D">
        <w:rPr>
          <w:lang w:val="en-US"/>
        </w:rPr>
        <w:t xml:space="preserve">&amp; part of service road </w:t>
      </w:r>
      <w:r>
        <w:rPr>
          <w:lang w:val="en-US"/>
        </w:rPr>
        <w:t xml:space="preserve">was descoped from the project scope &amp; de-scope payment of ~ Rs. 34 Crore is to be paid to NHAI. </w:t>
      </w:r>
    </w:p>
    <w:p w14:paraId="122E4BF9" w14:textId="62D6A4E7" w:rsidR="00EE747C" w:rsidRDefault="00060563" w:rsidP="00AE546A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Completion got delayed due </w:t>
      </w:r>
      <w:proofErr w:type="gramStart"/>
      <w:r>
        <w:rPr>
          <w:lang w:val="en-US"/>
        </w:rPr>
        <w:t>to</w:t>
      </w:r>
      <w:r w:rsidR="00412A78">
        <w:rPr>
          <w:lang w:val="en-US"/>
        </w:rPr>
        <w:t>:</w:t>
      </w:r>
      <w:proofErr w:type="gramEnd"/>
      <w:r>
        <w:rPr>
          <w:lang w:val="en-US"/>
        </w:rPr>
        <w:t xml:space="preserve"> 1</w:t>
      </w:r>
      <w:r w:rsidR="00433B60">
        <w:rPr>
          <w:lang w:val="en-US"/>
        </w:rPr>
        <w:t>&gt;</w:t>
      </w:r>
      <w:r>
        <w:rPr>
          <w:lang w:val="en-US"/>
        </w:rPr>
        <w:t xml:space="preserve"> Delay in </w:t>
      </w:r>
      <w:proofErr w:type="spellStart"/>
      <w:r>
        <w:rPr>
          <w:lang w:val="en-US"/>
        </w:rPr>
        <w:t>RoW</w:t>
      </w:r>
      <w:proofErr w:type="spellEnd"/>
      <w:r>
        <w:rPr>
          <w:lang w:val="en-US"/>
        </w:rPr>
        <w:t xml:space="preserve"> by NHAI (Bypass) 2</w:t>
      </w:r>
      <w:r w:rsidR="00433B60">
        <w:rPr>
          <w:lang w:val="en-US"/>
        </w:rPr>
        <w:t>&gt;</w:t>
      </w:r>
      <w:r>
        <w:rPr>
          <w:lang w:val="en-US"/>
        </w:rPr>
        <w:t xml:space="preserve"> Delay in Utility Shifting (Industrial Area)</w:t>
      </w:r>
    </w:p>
    <w:p w14:paraId="74ACE325" w14:textId="5E55105B" w:rsidR="008F068B" w:rsidRDefault="008F068B" w:rsidP="008F068B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>Even though users have started using the project from December-2013 onwards, NHAI delayed the process of awarding PCOD and Tolling finally commenced on 19</w:t>
      </w:r>
      <w:r w:rsidRPr="00412A78">
        <w:rPr>
          <w:vertAlign w:val="superscript"/>
          <w:lang w:val="en-US"/>
        </w:rPr>
        <w:t>th</w:t>
      </w:r>
      <w:r>
        <w:rPr>
          <w:lang w:val="en-US"/>
        </w:rPr>
        <w:t xml:space="preserve"> Aug 2015 for 117.40 km post intervention of Hon’ble Delhi High Court. Project achieved full COD on 1</w:t>
      </w:r>
      <w:r w:rsidRPr="00E14B32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6B0E87">
        <w:rPr>
          <w:lang w:val="en-US"/>
        </w:rPr>
        <w:t>April</w:t>
      </w:r>
      <w:r>
        <w:rPr>
          <w:lang w:val="en-US"/>
        </w:rPr>
        <w:t xml:space="preserve"> 201</w:t>
      </w:r>
      <w:r w:rsidR="006B0E87">
        <w:rPr>
          <w:lang w:val="en-US"/>
        </w:rPr>
        <w:t>8</w:t>
      </w:r>
      <w:r>
        <w:rPr>
          <w:lang w:val="en-US"/>
        </w:rPr>
        <w:t xml:space="preserve"> for total length of 131.5 km. </w:t>
      </w:r>
    </w:p>
    <w:p w14:paraId="4FF13D48" w14:textId="77777777" w:rsidR="00907D1C" w:rsidRDefault="00907D1C" w:rsidP="00AE546A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>Due to delays mentioned above, project cost was revised multiple times as under:</w:t>
      </w:r>
    </w:p>
    <w:tbl>
      <w:tblPr>
        <w:tblW w:w="4791" w:type="pct"/>
        <w:tblInd w:w="421" w:type="dxa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2411"/>
        <w:gridCol w:w="1135"/>
        <w:gridCol w:w="992"/>
        <w:gridCol w:w="992"/>
        <w:gridCol w:w="990"/>
        <w:gridCol w:w="1123"/>
        <w:gridCol w:w="1006"/>
        <w:gridCol w:w="985"/>
      </w:tblGrid>
      <w:tr w:rsidR="000E541C" w:rsidRPr="00D37B03" w14:paraId="31174720" w14:textId="6F6EE057" w:rsidTr="00543EBE">
        <w:trPr>
          <w:trHeight w:val="18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4964" w14:textId="57943EC2" w:rsidR="000E541C" w:rsidRPr="00D37B03" w:rsidRDefault="000E541C" w:rsidP="00DE2D40">
            <w:pPr>
              <w:spacing w:after="0"/>
              <w:jc w:val="center"/>
              <w:rPr>
                <w:rFonts w:cstheme="minorHAnsi"/>
              </w:rPr>
            </w:pPr>
            <w:r w:rsidRPr="00D37B03">
              <w:rPr>
                <w:rFonts w:cstheme="minorHAnsi"/>
                <w:b/>
                <w:bCs/>
                <w:lang w:val="en-US"/>
              </w:rPr>
              <w:t>(Rs Crore)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55A1F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  <w:lang w:val="en-US"/>
              </w:rPr>
              <w:t>FC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F141B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  <w:lang w:val="en-US"/>
              </w:rPr>
              <w:t>R1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3162B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  <w:lang w:val="en-US"/>
              </w:rPr>
              <w:t>R2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6389A" w14:textId="77777777" w:rsidR="000E541C" w:rsidRPr="00907D1C" w:rsidRDefault="000E541C" w:rsidP="00252F55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  <w:lang w:val="en-US"/>
              </w:rPr>
              <w:t>R3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640377D" w14:textId="5704F5FF" w:rsidR="000E541C" w:rsidRPr="00D37B03" w:rsidRDefault="000E541C" w:rsidP="00907D1C">
            <w:pPr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COD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9D2B69" w14:textId="682A6332" w:rsidR="000E541C" w:rsidRPr="00D37B03" w:rsidRDefault="000E541C" w:rsidP="00907D1C">
            <w:pPr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D37B03">
              <w:rPr>
                <w:rFonts w:cstheme="minorHAnsi"/>
                <w:b/>
                <w:bCs/>
                <w:lang w:val="en-US"/>
              </w:rPr>
              <w:t>Incr</w:t>
            </w:r>
            <w:r>
              <w:rPr>
                <w:rFonts w:cstheme="minorHAnsi"/>
                <w:b/>
                <w:bCs/>
                <w:lang w:val="en-US"/>
              </w:rPr>
              <w:t>.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BA16085" w14:textId="61844C07" w:rsidR="000E541C" w:rsidRPr="00D37B03" w:rsidRDefault="000E541C" w:rsidP="00907D1C">
            <w:pPr>
              <w:spacing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D37B03">
              <w:rPr>
                <w:rFonts w:cstheme="minorHAnsi"/>
                <w:b/>
                <w:bCs/>
                <w:lang w:val="en-US"/>
              </w:rPr>
              <w:t>% Incr</w:t>
            </w:r>
            <w:r>
              <w:rPr>
                <w:rFonts w:cstheme="minorHAnsi"/>
                <w:b/>
                <w:bCs/>
                <w:lang w:val="en-US"/>
              </w:rPr>
              <w:t>.</w:t>
            </w:r>
          </w:p>
        </w:tc>
      </w:tr>
      <w:tr w:rsidR="000E541C" w:rsidRPr="00D37B03" w14:paraId="12E18C54" w14:textId="49008BFB" w:rsidTr="00543EBE">
        <w:trPr>
          <w:trHeight w:val="137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05D48" w14:textId="77777777" w:rsidR="000E541C" w:rsidRPr="00907D1C" w:rsidRDefault="000E541C" w:rsidP="00907D1C">
            <w:pPr>
              <w:pStyle w:val="ListParagraph"/>
              <w:spacing w:after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77803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Est.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3D14C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Est.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13205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Est.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8A264" w14:textId="77777777" w:rsidR="000E541C" w:rsidRPr="00907D1C" w:rsidRDefault="000E541C" w:rsidP="00252F55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Est.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EB3004" w14:textId="704F3802" w:rsidR="000E541C" w:rsidRPr="00D37B03" w:rsidRDefault="000E541C" w:rsidP="00907D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Actual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0E944E" w14:textId="5D63868E" w:rsidR="000E541C" w:rsidRPr="00D37B03" w:rsidRDefault="000E541C" w:rsidP="00907D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</w:t>
            </w:r>
            <w:r w:rsidRPr="00D37B03">
              <w:rPr>
                <w:rFonts w:cstheme="minorHAnsi"/>
                <w:b/>
                <w:bCs/>
              </w:rPr>
              <w:t xml:space="preserve"> Vs </w:t>
            </w:r>
            <w:r w:rsidR="008E716D">
              <w:rPr>
                <w:rFonts w:cstheme="minorHAnsi"/>
                <w:b/>
                <w:bCs/>
              </w:rPr>
              <w:t>FC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50708D5" w14:textId="326EE770" w:rsidR="000E541C" w:rsidRPr="00D37B03" w:rsidRDefault="000E541C" w:rsidP="00907D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</w:t>
            </w:r>
            <w:r w:rsidRPr="00D37B03">
              <w:rPr>
                <w:rFonts w:cstheme="minorHAnsi"/>
                <w:b/>
                <w:bCs/>
              </w:rPr>
              <w:t xml:space="preserve"> Vs </w:t>
            </w:r>
            <w:r w:rsidR="008E716D">
              <w:rPr>
                <w:rFonts w:cstheme="minorHAnsi"/>
                <w:b/>
                <w:bCs/>
              </w:rPr>
              <w:t>FC</w:t>
            </w:r>
          </w:p>
        </w:tc>
      </w:tr>
      <w:tr w:rsidR="000E541C" w:rsidRPr="00D37B03" w14:paraId="1424CE81" w14:textId="69EA9563" w:rsidTr="00543EBE">
        <w:trPr>
          <w:trHeight w:val="18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133DA" w14:textId="77777777" w:rsidR="000E541C" w:rsidRPr="00907D1C" w:rsidRDefault="000E541C" w:rsidP="00907D1C">
            <w:pPr>
              <w:pStyle w:val="ListParagraph"/>
              <w:spacing w:after="0"/>
              <w:ind w:left="132"/>
              <w:jc w:val="both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 xml:space="preserve">DCCO / SCOD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F1B06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  <w:lang w:val="en-US"/>
              </w:rPr>
              <w:t>13-May-12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C6D27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  <w:lang w:val="en-US"/>
              </w:rPr>
              <w:t>01-Jan-14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43EF3" w14:textId="77777777" w:rsidR="000E541C" w:rsidRPr="00907D1C" w:rsidRDefault="000E541C" w:rsidP="00252F55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  <w:lang w:val="en-US"/>
              </w:rPr>
              <w:t>31-Mar-15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FA938" w14:textId="77777777" w:rsidR="000E541C" w:rsidRPr="00907D1C" w:rsidRDefault="000E541C" w:rsidP="00252F55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  <w:lang w:val="en-US"/>
              </w:rPr>
              <w:t>30-Apr-16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B5967A" w14:textId="3109A781" w:rsidR="000E541C" w:rsidRDefault="00543EBE" w:rsidP="00C2349A">
            <w:pPr>
              <w:pStyle w:val="ListParagraph"/>
              <w:spacing w:after="0"/>
              <w:ind w:left="-28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1-Apr-18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C22868" w14:textId="4B9DD9B3" w:rsidR="000E541C" w:rsidRPr="00D37B03" w:rsidRDefault="000E541C" w:rsidP="00907D1C">
            <w:pPr>
              <w:pStyle w:val="ListParagraph"/>
              <w:spacing w:after="0"/>
              <w:ind w:left="133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Absolute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771F824" w14:textId="02C787A9" w:rsidR="000E541C" w:rsidRPr="00D37B03" w:rsidRDefault="000E541C" w:rsidP="00907D1C">
            <w:pPr>
              <w:pStyle w:val="ListParagraph"/>
              <w:spacing w:after="0"/>
              <w:ind w:left="360"/>
              <w:jc w:val="both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%</w:t>
            </w:r>
          </w:p>
        </w:tc>
      </w:tr>
      <w:tr w:rsidR="000E541C" w:rsidRPr="00D37B03" w14:paraId="064CE247" w14:textId="1A495C9D" w:rsidTr="00543EBE">
        <w:trPr>
          <w:trHeight w:val="18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D98BC" w14:textId="6B311D40" w:rsidR="000E541C" w:rsidRPr="00907D1C" w:rsidRDefault="000E541C" w:rsidP="000E541C">
            <w:pPr>
              <w:pStyle w:val="ListParagraph"/>
              <w:spacing w:after="0"/>
              <w:ind w:left="132"/>
              <w:jc w:val="both"/>
              <w:rPr>
                <w:rFonts w:cstheme="minorHAnsi"/>
              </w:rPr>
            </w:pPr>
            <w:r w:rsidRPr="00907D1C">
              <w:rPr>
                <w:rFonts w:cstheme="minorHAnsi"/>
              </w:rPr>
              <w:t xml:space="preserve">EPC </w:t>
            </w:r>
            <w:r w:rsidRPr="00D37B03">
              <w:rPr>
                <w:rFonts w:cstheme="minorHAnsi"/>
              </w:rPr>
              <w:t>&amp; Non</w:t>
            </w:r>
            <w:r>
              <w:rPr>
                <w:rFonts w:cstheme="minorHAnsi"/>
              </w:rPr>
              <w:t>-</w:t>
            </w:r>
            <w:r w:rsidRPr="00D37B03">
              <w:rPr>
                <w:rFonts w:cstheme="minorHAnsi"/>
              </w:rPr>
              <w:t>EPC C</w:t>
            </w:r>
            <w:r w:rsidRPr="00907D1C">
              <w:rPr>
                <w:rFonts w:cstheme="minorHAnsi"/>
              </w:rPr>
              <w:t>ost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1634" w14:textId="058C9109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D37B03">
              <w:rPr>
                <w:rFonts w:cstheme="minorHAnsi"/>
              </w:rPr>
              <w:t>2,207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7B51" w14:textId="57345D86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D37B03">
              <w:rPr>
                <w:rFonts w:cstheme="minorHAnsi"/>
              </w:rPr>
              <w:t>2,172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B5A2" w14:textId="5C9BC1B6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D37B03">
              <w:rPr>
                <w:rFonts w:cstheme="minorHAnsi"/>
              </w:rPr>
              <w:t>2,186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CCE35" w14:textId="23736EA8" w:rsidR="000E541C" w:rsidRPr="00907D1C" w:rsidRDefault="000E541C" w:rsidP="000E541C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D37B03">
              <w:rPr>
                <w:rFonts w:cstheme="minorHAnsi"/>
              </w:rPr>
              <w:t>2,383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2A1D" w14:textId="3CB37542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2,225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A8EA" w14:textId="42437AED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18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BD38" w14:textId="09D0C284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1%</w:t>
            </w:r>
          </w:p>
        </w:tc>
      </w:tr>
      <w:tr w:rsidR="000E541C" w:rsidRPr="00D37B03" w14:paraId="64775B9F" w14:textId="4BD1BA13" w:rsidTr="00543EBE">
        <w:trPr>
          <w:trHeight w:val="18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826C2" w14:textId="77777777" w:rsidR="000E541C" w:rsidRPr="00907D1C" w:rsidRDefault="000E541C" w:rsidP="000E541C">
            <w:pPr>
              <w:pStyle w:val="ListParagraph"/>
              <w:spacing w:after="0"/>
              <w:ind w:left="132"/>
              <w:jc w:val="both"/>
              <w:rPr>
                <w:rFonts w:cstheme="minorHAnsi"/>
              </w:rPr>
            </w:pPr>
            <w:r w:rsidRPr="00907D1C">
              <w:rPr>
                <w:rFonts w:cstheme="minorHAnsi"/>
              </w:rPr>
              <w:t>IDC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3D43E" w14:textId="15D85373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213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21A5B" w14:textId="0811BB2D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389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9C1A4" w14:textId="70F937AF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597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68D58" w14:textId="615E2421" w:rsidR="000E541C" w:rsidRPr="00907D1C" w:rsidRDefault="000E541C" w:rsidP="000E541C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855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79B6" w14:textId="28C2F2E2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3A3D" w14:textId="63D165F5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629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559A" w14:textId="2BA154F5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296%</w:t>
            </w:r>
          </w:p>
        </w:tc>
      </w:tr>
      <w:tr w:rsidR="000E541C" w:rsidRPr="00D37B03" w14:paraId="56949976" w14:textId="6ACCC198" w:rsidTr="00543EBE">
        <w:trPr>
          <w:trHeight w:val="18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2BF99" w14:textId="30C018F6" w:rsidR="000E541C" w:rsidRPr="00907D1C" w:rsidRDefault="000E541C" w:rsidP="000E541C">
            <w:pPr>
              <w:pStyle w:val="ListParagraph"/>
              <w:spacing w:after="0"/>
              <w:ind w:left="132"/>
              <w:jc w:val="both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D2C72" w14:textId="2706126F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2,419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EDF6A" w14:textId="2B4660D3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2,561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C2B8" w14:textId="23DA3381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2,783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3E530" w14:textId="739CF4E1" w:rsidR="000E541C" w:rsidRPr="00907D1C" w:rsidRDefault="000E541C" w:rsidP="000E541C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  <w:b/>
                <w:bCs/>
              </w:rPr>
              <w:t>3,238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C35AFA6" w14:textId="67451118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3,067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32829A4" w14:textId="26DCB3F0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648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C2BDD74" w14:textId="6A95F471" w:rsidR="000E541C" w:rsidRPr="00D37B03" w:rsidRDefault="008E716D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27</w:t>
            </w:r>
            <w:r w:rsidR="000E541C">
              <w:rPr>
                <w:rFonts w:ascii="Calibri" w:hAnsi="Calibri" w:cstheme="minorHAnsi"/>
                <w:b/>
                <w:bCs/>
                <w:color w:val="000000"/>
              </w:rPr>
              <w:t>%</w:t>
            </w:r>
          </w:p>
        </w:tc>
      </w:tr>
      <w:tr w:rsidR="000E541C" w:rsidRPr="00D37B03" w14:paraId="6826E69D" w14:textId="49DB8115" w:rsidTr="00543EBE">
        <w:trPr>
          <w:trHeight w:val="18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030F7" w14:textId="77777777" w:rsidR="000E541C" w:rsidRPr="00907D1C" w:rsidRDefault="000E541C" w:rsidP="000E541C">
            <w:pPr>
              <w:pStyle w:val="ListParagraph"/>
              <w:spacing w:after="0"/>
              <w:ind w:left="132"/>
              <w:jc w:val="both"/>
              <w:rPr>
                <w:rFonts w:cstheme="minorHAnsi"/>
              </w:rPr>
            </w:pPr>
            <w:r w:rsidRPr="00907D1C">
              <w:rPr>
                <w:rFonts w:cstheme="minorHAnsi"/>
              </w:rPr>
              <w:t>Promoters' Equity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33930" w14:textId="2EFDF3E2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303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5CEE3" w14:textId="45FD5053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303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EBC3F" w14:textId="04F6AA51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343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8984C" w14:textId="5BF2D9BD" w:rsidR="000E541C" w:rsidRPr="00907D1C" w:rsidRDefault="000E541C" w:rsidP="000E541C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368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D7B9" w14:textId="0E9808D8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  <w:r w:rsidR="00021417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F54C" w14:textId="6D402EDC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82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E996" w14:textId="4434A9E5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27%</w:t>
            </w:r>
          </w:p>
        </w:tc>
      </w:tr>
      <w:tr w:rsidR="000E541C" w:rsidRPr="00D37B03" w14:paraId="646073AE" w14:textId="1C54C2A3" w:rsidTr="00543EBE">
        <w:trPr>
          <w:trHeight w:val="18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A117E" w14:textId="77777777" w:rsidR="000E541C" w:rsidRPr="00907D1C" w:rsidRDefault="000E541C" w:rsidP="000E541C">
            <w:pPr>
              <w:pStyle w:val="ListParagraph"/>
              <w:spacing w:after="0"/>
              <w:ind w:left="132"/>
              <w:jc w:val="both"/>
              <w:rPr>
                <w:rFonts w:cstheme="minorHAnsi"/>
              </w:rPr>
            </w:pPr>
            <w:r w:rsidRPr="00907D1C">
              <w:rPr>
                <w:rFonts w:cstheme="minorHAnsi"/>
              </w:rPr>
              <w:t>NHAI Grant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DDD4C" w14:textId="5F81EA7C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302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F943D" w14:textId="21FF598B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302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6A3BB" w14:textId="05F09FB9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302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3FFEB" w14:textId="1BB609AE" w:rsidR="000E541C" w:rsidRPr="00907D1C" w:rsidRDefault="000E541C" w:rsidP="000E541C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302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44F9" w14:textId="33667FC6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533F" w14:textId="686C9180" w:rsidR="000E541C" w:rsidRPr="00D37B03" w:rsidRDefault="007A2EB4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A1F5" w14:textId="18972904" w:rsidR="000E541C" w:rsidRPr="00D37B03" w:rsidRDefault="00CB644D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0E541C" w:rsidRPr="00D37B03" w14:paraId="6436665A" w14:textId="0B411D6E" w:rsidTr="00543EBE">
        <w:trPr>
          <w:trHeight w:val="164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2CF9F" w14:textId="77777777" w:rsidR="000E541C" w:rsidRPr="00907D1C" w:rsidRDefault="000E541C" w:rsidP="000E541C">
            <w:pPr>
              <w:pStyle w:val="ListParagraph"/>
              <w:spacing w:after="0"/>
              <w:ind w:left="132"/>
              <w:jc w:val="both"/>
              <w:rPr>
                <w:rFonts w:cstheme="minorHAnsi"/>
              </w:rPr>
            </w:pPr>
            <w:r w:rsidRPr="00907D1C">
              <w:rPr>
                <w:rFonts w:cstheme="minorHAnsi"/>
              </w:rPr>
              <w:t>Toll for Capex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3F8CE" w14:textId="160D7888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BBD9" w14:textId="5C1AF7B8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142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F3279" w14:textId="7B2C3BD1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53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0201A" w14:textId="77777777" w:rsidR="000E541C" w:rsidRPr="00907D1C" w:rsidRDefault="000E541C" w:rsidP="000E541C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168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F746" w14:textId="53D675B6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2E48" w14:textId="6382F8C0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CE50" w14:textId="559F33F4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</w:t>
            </w:r>
          </w:p>
        </w:tc>
      </w:tr>
      <w:tr w:rsidR="000E541C" w:rsidRPr="00D37B03" w14:paraId="708CD52D" w14:textId="5881CC98" w:rsidTr="00543EBE">
        <w:trPr>
          <w:trHeight w:val="182"/>
        </w:trPr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18941" w14:textId="77777777" w:rsidR="000E541C" w:rsidRPr="00907D1C" w:rsidRDefault="000E541C" w:rsidP="000E541C">
            <w:pPr>
              <w:pStyle w:val="ListParagraph"/>
              <w:spacing w:after="0"/>
              <w:ind w:left="132"/>
              <w:jc w:val="both"/>
              <w:rPr>
                <w:rFonts w:cstheme="minorHAnsi"/>
              </w:rPr>
            </w:pPr>
            <w:r w:rsidRPr="00907D1C">
              <w:rPr>
                <w:rFonts w:cstheme="minorHAnsi"/>
              </w:rPr>
              <w:t>Loans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B2E12" w14:textId="1DD5B8F3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1,814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34FDD" w14:textId="119E3FF6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1,814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BBDA1" w14:textId="6AFFC94B" w:rsidR="000E541C" w:rsidRPr="00907D1C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2,085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6BC5B" w14:textId="319E2397" w:rsidR="000E541C" w:rsidRPr="00907D1C" w:rsidRDefault="000E541C" w:rsidP="000E541C">
            <w:pPr>
              <w:pStyle w:val="ListParagraph"/>
              <w:spacing w:after="0"/>
              <w:ind w:left="29"/>
              <w:jc w:val="center"/>
              <w:rPr>
                <w:rFonts w:cstheme="minorHAnsi"/>
              </w:rPr>
            </w:pPr>
            <w:r w:rsidRPr="00907D1C">
              <w:rPr>
                <w:rFonts w:cstheme="minorHAnsi"/>
              </w:rPr>
              <w:t>2,400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A95F" w14:textId="4329B209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2,318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0745" w14:textId="5BB8FAF0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D4E4" w14:textId="59A0470B" w:rsidR="000E541C" w:rsidRPr="00D37B03" w:rsidRDefault="000E541C" w:rsidP="000E541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28%</w:t>
            </w:r>
          </w:p>
        </w:tc>
      </w:tr>
    </w:tbl>
    <w:p w14:paraId="63316914" w14:textId="4AF4D6F5" w:rsidR="00907D1C" w:rsidRPr="009158CC" w:rsidRDefault="00907D1C" w:rsidP="00907D1C">
      <w:pPr>
        <w:pStyle w:val="ListParagraph"/>
        <w:ind w:left="360"/>
        <w:jc w:val="both"/>
        <w:rPr>
          <w:lang w:val="en-US"/>
        </w:rPr>
      </w:pPr>
      <w:r>
        <w:rPr>
          <w:lang w:val="en-US"/>
        </w:rPr>
        <w:t xml:space="preserve"> </w:t>
      </w:r>
      <w:r w:rsidR="0074726E" w:rsidRPr="00952D56">
        <w:rPr>
          <w:i/>
          <w:iCs/>
          <w:lang w:val="en-US"/>
        </w:rPr>
        <w:t>*Over &amp; above Rs. 38</w:t>
      </w:r>
      <w:r w:rsidR="008E716D">
        <w:rPr>
          <w:i/>
          <w:iCs/>
          <w:lang w:val="en-US"/>
        </w:rPr>
        <w:t>5</w:t>
      </w:r>
      <w:r w:rsidR="0074726E" w:rsidRPr="00952D56">
        <w:rPr>
          <w:i/>
          <w:iCs/>
          <w:lang w:val="en-US"/>
        </w:rPr>
        <w:t xml:space="preserve"> Crore, Promoters have infused Rs. 50 Crore during implementation of RP </w:t>
      </w:r>
    </w:p>
    <w:p w14:paraId="2F5FF835" w14:textId="77777777" w:rsidR="00A03F4F" w:rsidRPr="00A03F4F" w:rsidRDefault="00A03F4F" w:rsidP="00907D1C">
      <w:pPr>
        <w:pStyle w:val="ListParagraph"/>
        <w:ind w:left="360"/>
        <w:jc w:val="both"/>
        <w:rPr>
          <w:i/>
          <w:iCs/>
          <w:sz w:val="8"/>
          <w:szCs w:val="8"/>
          <w:lang w:val="en-US"/>
        </w:rPr>
      </w:pPr>
    </w:p>
    <w:p w14:paraId="3B6FE374" w14:textId="33B49E47" w:rsidR="009158CC" w:rsidRDefault="009158CC" w:rsidP="00B42B94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proofErr w:type="spellStart"/>
      <w:r>
        <w:rPr>
          <w:lang w:val="en-US"/>
        </w:rPr>
        <w:t>Its</w:t>
      </w:r>
      <w:proofErr w:type="spellEnd"/>
      <w:r>
        <w:rPr>
          <w:lang w:val="en-US"/>
        </w:rPr>
        <w:t xml:space="preserve"> clear from the table above that entire increase in Total Project Cost is on account of increase in IDC</w:t>
      </w:r>
    </w:p>
    <w:p w14:paraId="4698C8CC" w14:textId="79F808A0" w:rsidR="00B42B94" w:rsidRDefault="00B42B94" w:rsidP="00B42B94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>Due to delay in signing of State Support Agreement, project witnessed t</w:t>
      </w:r>
      <w:r w:rsidRPr="00B42B94">
        <w:rPr>
          <w:lang w:val="en-US"/>
        </w:rPr>
        <w:t xml:space="preserve">raffic leakage due to up-gradation / revamping of adjoining roads under state government jurisdiction mainly near </w:t>
      </w:r>
      <w:proofErr w:type="spellStart"/>
      <w:r w:rsidRPr="00B42B94">
        <w:rPr>
          <w:lang w:val="en-US"/>
        </w:rPr>
        <w:t>Icchapore</w:t>
      </w:r>
      <w:proofErr w:type="spellEnd"/>
      <w:r w:rsidRPr="00B42B94">
        <w:rPr>
          <w:lang w:val="en-US"/>
        </w:rPr>
        <w:t xml:space="preserve">, </w:t>
      </w:r>
      <w:proofErr w:type="spellStart"/>
      <w:r w:rsidRPr="00B42B94">
        <w:rPr>
          <w:lang w:val="en-US"/>
        </w:rPr>
        <w:t>Bardoli</w:t>
      </w:r>
      <w:proofErr w:type="spellEnd"/>
      <w:r w:rsidRPr="00B42B94">
        <w:rPr>
          <w:lang w:val="en-US"/>
        </w:rPr>
        <w:t xml:space="preserve"> and </w:t>
      </w:r>
      <w:proofErr w:type="spellStart"/>
      <w:r w:rsidRPr="00B42B94">
        <w:rPr>
          <w:lang w:val="en-US"/>
        </w:rPr>
        <w:t>Ukai</w:t>
      </w:r>
      <w:proofErr w:type="spellEnd"/>
      <w:r w:rsidRPr="00B42B94">
        <w:rPr>
          <w:lang w:val="en-US"/>
        </w:rPr>
        <w:t xml:space="preserve"> junction</w:t>
      </w:r>
      <w:r w:rsidR="000004B9">
        <w:rPr>
          <w:lang w:val="en-US"/>
        </w:rPr>
        <w:t xml:space="preserve">. </w:t>
      </w:r>
    </w:p>
    <w:p w14:paraId="32B0C87D" w14:textId="28D58599" w:rsidR="000004B9" w:rsidRDefault="000004B9" w:rsidP="00B42B94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>Company was able to plug leakage at two points, by r</w:t>
      </w:r>
      <w:r w:rsidRPr="000004B9">
        <w:rPr>
          <w:lang w:val="en-US"/>
        </w:rPr>
        <w:t xml:space="preserve">estriction of heavy vehicle movement through Surat city &amp; Navsari Road for 12 </w:t>
      </w:r>
      <w:proofErr w:type="spellStart"/>
      <w:r w:rsidRPr="000004B9">
        <w:rPr>
          <w:lang w:val="en-US"/>
        </w:rPr>
        <w:t>hrs</w:t>
      </w:r>
      <w:proofErr w:type="spellEnd"/>
      <w:r w:rsidRPr="000004B9">
        <w:rPr>
          <w:lang w:val="en-US"/>
        </w:rPr>
        <w:t xml:space="preserve"> in a day (7 am to 1 pm </w:t>
      </w:r>
      <w:r>
        <w:rPr>
          <w:lang w:val="en-US"/>
        </w:rPr>
        <w:t>&amp;</w:t>
      </w:r>
      <w:r w:rsidRPr="000004B9">
        <w:rPr>
          <w:lang w:val="en-US"/>
        </w:rPr>
        <w:t xml:space="preserve"> 5 pm to 11 pm)</w:t>
      </w:r>
      <w:r>
        <w:rPr>
          <w:lang w:val="en-US"/>
        </w:rPr>
        <w:t xml:space="preserve"> and </w:t>
      </w:r>
      <w:r w:rsidRPr="000004B9">
        <w:rPr>
          <w:lang w:val="en-US"/>
        </w:rPr>
        <w:t xml:space="preserve">Temporary ban on movement of heavy vehicles on </w:t>
      </w:r>
      <w:proofErr w:type="spellStart"/>
      <w:proofErr w:type="gramStart"/>
      <w:r w:rsidRPr="000004B9">
        <w:rPr>
          <w:lang w:val="en-US"/>
        </w:rPr>
        <w:t>Ukai</w:t>
      </w:r>
      <w:proofErr w:type="spellEnd"/>
      <w:r w:rsidRPr="000004B9">
        <w:rPr>
          <w:lang w:val="en-US"/>
        </w:rPr>
        <w:t xml:space="preserve"> road</w:t>
      </w:r>
      <w:proofErr w:type="gramEnd"/>
      <w:r w:rsidRPr="000004B9">
        <w:rPr>
          <w:lang w:val="en-US"/>
        </w:rPr>
        <w:t xml:space="preserve"> near Mandal Toll Plaza.</w:t>
      </w:r>
      <w:r>
        <w:rPr>
          <w:lang w:val="en-US"/>
        </w:rPr>
        <w:t xml:space="preserve"> However, the leakage at </w:t>
      </w:r>
      <w:proofErr w:type="spellStart"/>
      <w:r>
        <w:rPr>
          <w:lang w:val="en-US"/>
        </w:rPr>
        <w:t>Icchapore</w:t>
      </w:r>
      <w:proofErr w:type="spellEnd"/>
      <w:r>
        <w:rPr>
          <w:lang w:val="en-US"/>
        </w:rPr>
        <w:t xml:space="preserve"> was to be plugged by construction of Ramp at </w:t>
      </w:r>
      <w:proofErr w:type="spellStart"/>
      <w:r>
        <w:rPr>
          <w:lang w:val="en-US"/>
        </w:rPr>
        <w:t>Icchapore</w:t>
      </w:r>
      <w:proofErr w:type="spellEnd"/>
      <w:r>
        <w:rPr>
          <w:lang w:val="en-US"/>
        </w:rPr>
        <w:t xml:space="preserve"> under Change of Scope from NHAI.</w:t>
      </w:r>
    </w:p>
    <w:p w14:paraId="32376453" w14:textId="17A25361" w:rsidR="00BD1811" w:rsidRDefault="00C36399" w:rsidP="00B42B94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In August 2018, Resolution Plan was implemented with 52.5% </w:t>
      </w:r>
      <w:proofErr w:type="gramStart"/>
      <w:r w:rsidR="006069F5">
        <w:rPr>
          <w:lang w:val="en-US"/>
        </w:rPr>
        <w:t>i.e.</w:t>
      </w:r>
      <w:proofErr w:type="gramEnd"/>
      <w:r w:rsidR="006069F5">
        <w:rPr>
          <w:lang w:val="en-US"/>
        </w:rPr>
        <w:t xml:space="preserve"> Rs. 1255 Crore </w:t>
      </w:r>
      <w:r>
        <w:rPr>
          <w:lang w:val="en-US"/>
        </w:rPr>
        <w:t>classified as Sustainable</w:t>
      </w:r>
      <w:r w:rsidR="006069F5">
        <w:rPr>
          <w:lang w:val="en-US"/>
        </w:rPr>
        <w:t xml:space="preserve"> (Part-</w:t>
      </w:r>
      <w:r w:rsidR="008F068B">
        <w:rPr>
          <w:lang w:val="en-US"/>
        </w:rPr>
        <w:t>I</w:t>
      </w:r>
      <w:r w:rsidR="006069F5">
        <w:rPr>
          <w:lang w:val="en-US"/>
        </w:rPr>
        <w:t>) while balance Rs. 1136 Crore classified as Unsustainable Debt (Part-</w:t>
      </w:r>
      <w:r w:rsidR="008F068B">
        <w:rPr>
          <w:lang w:val="en-US"/>
        </w:rPr>
        <w:t>II</w:t>
      </w:r>
      <w:r w:rsidR="006069F5">
        <w:rPr>
          <w:lang w:val="en-US"/>
        </w:rPr>
        <w:t>). Promoters infused Rs. 50.00 Crore as part of RP. Part-</w:t>
      </w:r>
      <w:r w:rsidR="008F068B">
        <w:rPr>
          <w:lang w:val="en-US"/>
        </w:rPr>
        <w:t>I</w:t>
      </w:r>
      <w:r>
        <w:rPr>
          <w:lang w:val="en-US"/>
        </w:rPr>
        <w:t xml:space="preserve"> was to be serviced from operational cash flows and the account was to be upgraded by March 2020 from surplus cash flows generated primarily from implementation of </w:t>
      </w:r>
      <w:proofErr w:type="spellStart"/>
      <w:r>
        <w:rPr>
          <w:lang w:val="en-US"/>
        </w:rPr>
        <w:t>Icchapore</w:t>
      </w:r>
      <w:proofErr w:type="spellEnd"/>
      <w:r>
        <w:rPr>
          <w:lang w:val="en-US"/>
        </w:rPr>
        <w:t xml:space="preserve"> ramp. </w:t>
      </w:r>
      <w:r w:rsidR="006069F5">
        <w:rPr>
          <w:lang w:val="en-US"/>
        </w:rPr>
        <w:t>Part-</w:t>
      </w:r>
      <w:r w:rsidR="008F068B">
        <w:rPr>
          <w:lang w:val="en-US"/>
        </w:rPr>
        <w:t>II</w:t>
      </w:r>
      <w:r w:rsidR="006069F5">
        <w:rPr>
          <w:lang w:val="en-US"/>
        </w:rPr>
        <w:t xml:space="preserve"> debt</w:t>
      </w:r>
      <w:r>
        <w:rPr>
          <w:lang w:val="en-US"/>
        </w:rPr>
        <w:t xml:space="preserve"> </w:t>
      </w:r>
      <w:r w:rsidR="00024306">
        <w:rPr>
          <w:lang w:val="en-US"/>
        </w:rPr>
        <w:t xml:space="preserve">was to be serviced from the </w:t>
      </w:r>
      <w:r w:rsidR="00006A31">
        <w:rPr>
          <w:lang w:val="en-US"/>
        </w:rPr>
        <w:t>realization of cash claims</w:t>
      </w:r>
      <w:r w:rsidR="00BF692C" w:rsidRPr="001B3A6A">
        <w:rPr>
          <w:i/>
          <w:iCs/>
          <w:lang w:val="en-US"/>
        </w:rPr>
        <w:t xml:space="preserve"> </w:t>
      </w:r>
      <w:r w:rsidR="001B3A6A" w:rsidRPr="001B3A6A">
        <w:rPr>
          <w:i/>
          <w:iCs/>
          <w:lang w:val="en-US"/>
        </w:rPr>
        <w:t>(Total Rs. 3,557 Cr, Company Claims:</w:t>
      </w:r>
      <w:r w:rsidR="001B3A6A" w:rsidRPr="001B3A6A">
        <w:rPr>
          <w:i/>
          <w:iCs/>
        </w:rPr>
        <w:t xml:space="preserve"> </w:t>
      </w:r>
      <w:r w:rsidR="001B3A6A" w:rsidRPr="001B3A6A">
        <w:rPr>
          <w:i/>
          <w:iCs/>
          <w:lang w:val="en-US"/>
        </w:rPr>
        <w:t>Rs. 1,617 Crore, EPC Claims: Rs. 1940 Crore)</w:t>
      </w:r>
      <w:r w:rsidR="001B3A6A">
        <w:rPr>
          <w:lang w:val="en-US"/>
        </w:rPr>
        <w:t xml:space="preserve"> </w:t>
      </w:r>
      <w:r w:rsidR="00006A31">
        <w:rPr>
          <w:lang w:val="en-US"/>
        </w:rPr>
        <w:t>filled against NHAI by Company</w:t>
      </w:r>
      <w:r w:rsidR="00BF692C">
        <w:rPr>
          <w:lang w:val="en-US"/>
        </w:rPr>
        <w:t xml:space="preserve"> in Arbitration Tribunal</w:t>
      </w:r>
      <w:r w:rsidR="00006A31">
        <w:rPr>
          <w:lang w:val="en-US"/>
        </w:rPr>
        <w:t>.</w:t>
      </w:r>
      <w:r w:rsidR="00723F0F">
        <w:rPr>
          <w:lang w:val="en-US"/>
        </w:rPr>
        <w:t xml:space="preserve"> M/s KPMG has conducted Forensic Study in the project &amp; we understand no adverse comments were found in the report.  </w:t>
      </w:r>
    </w:p>
    <w:p w14:paraId="75575A65" w14:textId="2F0E7272" w:rsidR="00237B06" w:rsidRDefault="003C1936" w:rsidP="00B42B94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>S</w:t>
      </w:r>
      <w:r w:rsidR="00237B06">
        <w:rPr>
          <w:lang w:val="en-US"/>
        </w:rPr>
        <w:t xml:space="preserve">tatus of </w:t>
      </w:r>
      <w:r w:rsidR="005D1C27">
        <w:rPr>
          <w:lang w:val="en-US"/>
        </w:rPr>
        <w:t>2</w:t>
      </w:r>
      <w:r w:rsidR="00237B06">
        <w:rPr>
          <w:lang w:val="en-US"/>
        </w:rPr>
        <w:t xml:space="preserve"> key assumptions of Resolution Plan is as under:</w:t>
      </w:r>
    </w:p>
    <w:p w14:paraId="78438077" w14:textId="79162B26" w:rsidR="00237B06" w:rsidRDefault="00237B06" w:rsidP="00072C9D">
      <w:pPr>
        <w:pStyle w:val="ListParagraph"/>
        <w:numPr>
          <w:ilvl w:val="1"/>
          <w:numId w:val="1"/>
        </w:numPr>
        <w:spacing w:after="40"/>
        <w:ind w:left="1077" w:hanging="357"/>
        <w:contextualSpacing w:val="0"/>
        <w:jc w:val="both"/>
        <w:rPr>
          <w:lang w:val="en-US"/>
        </w:rPr>
      </w:pPr>
      <w:r w:rsidRPr="00237B06">
        <w:rPr>
          <w:u w:val="single"/>
          <w:lang w:val="en-US"/>
        </w:rPr>
        <w:t>Revenue (</w:t>
      </w:r>
      <w:proofErr w:type="spellStart"/>
      <w:r w:rsidRPr="00237B06">
        <w:rPr>
          <w:u w:val="single"/>
          <w:lang w:val="en-US"/>
        </w:rPr>
        <w:t>Icchapore</w:t>
      </w:r>
      <w:proofErr w:type="spellEnd"/>
      <w:r w:rsidRPr="00237B06">
        <w:rPr>
          <w:u w:val="single"/>
          <w:lang w:val="en-US"/>
        </w:rPr>
        <w:t xml:space="preserve"> Ramp</w:t>
      </w:r>
      <w:r>
        <w:rPr>
          <w:u w:val="single"/>
          <w:lang w:val="en-US"/>
        </w:rPr>
        <w:t xml:space="preserve"> Implementation</w:t>
      </w:r>
      <w:r w:rsidRPr="00237B06">
        <w:rPr>
          <w:u w:val="single"/>
          <w:lang w:val="en-US"/>
        </w:rPr>
        <w:t>):</w:t>
      </w:r>
      <w:r>
        <w:rPr>
          <w:lang w:val="en-US"/>
        </w:rPr>
        <w:t xml:space="preserve"> </w:t>
      </w:r>
      <w:r w:rsidR="007A51D5">
        <w:rPr>
          <w:lang w:val="en-US"/>
        </w:rPr>
        <w:t xml:space="preserve">Surplus </w:t>
      </w:r>
      <w:r>
        <w:rPr>
          <w:lang w:val="en-US"/>
        </w:rPr>
        <w:t>R</w:t>
      </w:r>
      <w:r w:rsidR="00BD1811">
        <w:rPr>
          <w:lang w:val="en-US"/>
        </w:rPr>
        <w:t xml:space="preserve">evenues could not materialize on account of non-realization of </w:t>
      </w:r>
      <w:proofErr w:type="spellStart"/>
      <w:r w:rsidR="00BD1811">
        <w:rPr>
          <w:lang w:val="en-US"/>
        </w:rPr>
        <w:t>Icchapore</w:t>
      </w:r>
      <w:proofErr w:type="spellEnd"/>
      <w:r w:rsidR="00BD1811">
        <w:rPr>
          <w:lang w:val="en-US"/>
        </w:rPr>
        <w:t xml:space="preserve"> Ramp</w:t>
      </w:r>
      <w:r w:rsidR="009158CC">
        <w:rPr>
          <w:lang w:val="en-US"/>
        </w:rPr>
        <w:t xml:space="preserve"> due to events / conditions outside the control of the Concessionaire (support / approval from NHAI as well as local authorities)</w:t>
      </w:r>
      <w:r w:rsidR="007A51D5">
        <w:rPr>
          <w:lang w:val="en-US"/>
        </w:rPr>
        <w:t xml:space="preserve">. In fact, the toll revenues further reduced </w:t>
      </w:r>
      <w:r w:rsidR="00BD1811">
        <w:rPr>
          <w:lang w:val="en-US"/>
        </w:rPr>
        <w:t>from Rs. 169 Crore in FY2019 to Rs. 162 Crore in FY2020</w:t>
      </w:r>
      <w:r w:rsidR="009C2E89">
        <w:rPr>
          <w:lang w:val="en-US"/>
        </w:rPr>
        <w:t xml:space="preserve"> </w:t>
      </w:r>
      <w:r w:rsidR="007A51D5" w:rsidRPr="007A51D5">
        <w:rPr>
          <w:lang w:val="en-US"/>
        </w:rPr>
        <w:t xml:space="preserve">deterioration in condition of adjacent stretch </w:t>
      </w:r>
      <w:proofErr w:type="spellStart"/>
      <w:r w:rsidR="007A51D5" w:rsidRPr="007A51D5">
        <w:rPr>
          <w:lang w:val="en-US"/>
        </w:rPr>
        <w:t>Fagne-Songarh</w:t>
      </w:r>
      <w:proofErr w:type="spellEnd"/>
      <w:r w:rsidR="007A51D5" w:rsidRPr="007A51D5">
        <w:rPr>
          <w:lang w:val="en-US"/>
        </w:rPr>
        <w:t xml:space="preserve"> project which was being constructed by ILFS</w:t>
      </w:r>
      <w:r w:rsidR="007A51D5">
        <w:rPr>
          <w:lang w:val="en-US"/>
        </w:rPr>
        <w:t>.</w:t>
      </w:r>
    </w:p>
    <w:p w14:paraId="2CDD00D0" w14:textId="2398416C" w:rsidR="00D9284D" w:rsidRDefault="00237B06" w:rsidP="00237B06">
      <w:pPr>
        <w:pStyle w:val="ListParagraph"/>
        <w:numPr>
          <w:ilvl w:val="1"/>
          <w:numId w:val="1"/>
        </w:numPr>
        <w:spacing w:after="60"/>
        <w:contextualSpacing w:val="0"/>
        <w:jc w:val="both"/>
        <w:rPr>
          <w:lang w:val="en-US"/>
        </w:rPr>
      </w:pPr>
      <w:r w:rsidRPr="002F0DCD">
        <w:rPr>
          <w:u w:val="single"/>
          <w:lang w:val="en-US"/>
        </w:rPr>
        <w:t>Realization of Cash Claims:</w:t>
      </w:r>
      <w:r>
        <w:rPr>
          <w:lang w:val="en-US"/>
        </w:rPr>
        <w:t xml:space="preserve"> </w:t>
      </w:r>
      <w:r w:rsidR="009C2E89">
        <w:rPr>
          <w:lang w:val="en-US"/>
        </w:rPr>
        <w:t>Further, Arbitration Tribunal has awarded only 959 days of extension</w:t>
      </w:r>
      <w:r w:rsidR="00D9284D">
        <w:rPr>
          <w:lang w:val="en-US"/>
        </w:rPr>
        <w:t xml:space="preserve"> in Concession Period</w:t>
      </w:r>
      <w:r w:rsidR="009C2E89">
        <w:rPr>
          <w:lang w:val="en-US"/>
        </w:rPr>
        <w:t xml:space="preserve"> without any cash claim and both NHAI &amp; Company has already challenged the award in Hon’ble Delhi High Court.</w:t>
      </w:r>
    </w:p>
    <w:p w14:paraId="73646250" w14:textId="51943A85" w:rsidR="00AB582B" w:rsidRDefault="00D9284D" w:rsidP="00B42B94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Company has received last </w:t>
      </w:r>
      <w:r w:rsidR="00BF400D">
        <w:rPr>
          <w:lang w:val="en-US"/>
        </w:rPr>
        <w:t>tranche</w:t>
      </w:r>
      <w:r>
        <w:rPr>
          <w:lang w:val="en-US"/>
        </w:rPr>
        <w:t xml:space="preserve"> of NHAI O&amp;M Grant last year and hence, going forward in absence of NHAI Grant, </w:t>
      </w:r>
      <w:r w:rsidR="009158CC">
        <w:rPr>
          <w:lang w:val="en-US"/>
        </w:rPr>
        <w:t xml:space="preserve">Part I </w:t>
      </w:r>
      <w:r>
        <w:rPr>
          <w:lang w:val="en-US"/>
        </w:rPr>
        <w:t>debt servicing will not be possible.</w:t>
      </w:r>
    </w:p>
    <w:p w14:paraId="470D3316" w14:textId="144DBEF8" w:rsidR="00AB582B" w:rsidRDefault="00491EA0" w:rsidP="00B42B94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lastRenderedPageBreak/>
        <w:t xml:space="preserve">The status of actual revenue receipts &amp; its utilization since implementation of RP till </w:t>
      </w:r>
      <w:r w:rsidR="007C100A">
        <w:rPr>
          <w:lang w:val="en-US"/>
        </w:rPr>
        <w:t>December</w:t>
      </w:r>
      <w:r>
        <w:rPr>
          <w:lang w:val="en-US"/>
        </w:rPr>
        <w:t>-2021 is as under</w:t>
      </w:r>
      <w:r w:rsidR="00AB582B">
        <w:rPr>
          <w:lang w:val="en-US"/>
        </w:rPr>
        <w:t>:</w:t>
      </w:r>
    </w:p>
    <w:tbl>
      <w:tblPr>
        <w:tblStyle w:val="TableGrid"/>
        <w:tblW w:w="9644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1"/>
        <w:gridCol w:w="1262"/>
        <w:gridCol w:w="1123"/>
        <w:gridCol w:w="1129"/>
        <w:gridCol w:w="1256"/>
        <w:gridCol w:w="1053"/>
      </w:tblGrid>
      <w:tr w:rsidR="00AF4BA4" w:rsidRPr="00AB582B" w14:paraId="59AB4B33" w14:textId="77777777" w:rsidTr="00CD2D62">
        <w:trPr>
          <w:trHeight w:val="247"/>
        </w:trPr>
        <w:tc>
          <w:tcPr>
            <w:tcW w:w="3821" w:type="dxa"/>
            <w:shd w:val="clear" w:color="auto" w:fill="E7E6E6" w:themeFill="background2"/>
            <w:hideMark/>
          </w:tcPr>
          <w:p w14:paraId="6BEC4CF8" w14:textId="1E36829F" w:rsidR="00AB582B" w:rsidRPr="00AB582B" w:rsidRDefault="00AB582B" w:rsidP="00AB582B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Performance since RP</w:t>
            </w:r>
            <w:r w:rsidR="000A25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 xml:space="preserve"> (Rs. Crore)</w:t>
            </w:r>
          </w:p>
        </w:tc>
        <w:tc>
          <w:tcPr>
            <w:tcW w:w="1262" w:type="dxa"/>
            <w:shd w:val="clear" w:color="auto" w:fill="E7E6E6" w:themeFill="background2"/>
            <w:hideMark/>
          </w:tcPr>
          <w:p w14:paraId="6351BA9B" w14:textId="77777777" w:rsidR="00AB582B" w:rsidRPr="00AB582B" w:rsidRDefault="00AB582B" w:rsidP="00AB582B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FY19 (A)</w:t>
            </w:r>
          </w:p>
        </w:tc>
        <w:tc>
          <w:tcPr>
            <w:tcW w:w="1123" w:type="dxa"/>
            <w:shd w:val="clear" w:color="auto" w:fill="E7E6E6" w:themeFill="background2"/>
            <w:hideMark/>
          </w:tcPr>
          <w:p w14:paraId="5170B788" w14:textId="77777777" w:rsidR="00AB582B" w:rsidRPr="00AB582B" w:rsidRDefault="00AB582B" w:rsidP="00AB582B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FY20(A)</w:t>
            </w:r>
          </w:p>
        </w:tc>
        <w:tc>
          <w:tcPr>
            <w:tcW w:w="1129" w:type="dxa"/>
            <w:shd w:val="clear" w:color="auto" w:fill="E7E6E6" w:themeFill="background2"/>
            <w:hideMark/>
          </w:tcPr>
          <w:p w14:paraId="6C3DB378" w14:textId="77777777" w:rsidR="00AB582B" w:rsidRPr="00AB582B" w:rsidRDefault="00AB582B" w:rsidP="00AB582B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FY21 (A)</w:t>
            </w:r>
          </w:p>
        </w:tc>
        <w:tc>
          <w:tcPr>
            <w:tcW w:w="1256" w:type="dxa"/>
            <w:shd w:val="clear" w:color="auto" w:fill="E7E6E6" w:themeFill="background2"/>
            <w:hideMark/>
          </w:tcPr>
          <w:p w14:paraId="161B0559" w14:textId="77E6D47D" w:rsidR="00AB582B" w:rsidRPr="00AB582B" w:rsidRDefault="00CD2D62" w:rsidP="00AB582B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F</w:t>
            </w:r>
            <w:r w:rsidR="00AB582B"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Y22</w:t>
            </w:r>
            <w:r w:rsidR="00995A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 xml:space="preserve"> (A)</w:t>
            </w:r>
          </w:p>
        </w:tc>
        <w:tc>
          <w:tcPr>
            <w:tcW w:w="1053" w:type="dxa"/>
            <w:shd w:val="clear" w:color="auto" w:fill="E7E6E6" w:themeFill="background2"/>
            <w:hideMark/>
          </w:tcPr>
          <w:p w14:paraId="25A8D976" w14:textId="77777777" w:rsidR="00AB582B" w:rsidRPr="00AB582B" w:rsidRDefault="00AB582B" w:rsidP="00AB582B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</w:tr>
      <w:tr w:rsidR="004D7EA9" w:rsidRPr="00AB582B" w14:paraId="04076C35" w14:textId="77777777" w:rsidTr="00CD2D62">
        <w:trPr>
          <w:trHeight w:val="182"/>
        </w:trPr>
        <w:tc>
          <w:tcPr>
            <w:tcW w:w="3821" w:type="dxa"/>
            <w:hideMark/>
          </w:tcPr>
          <w:p w14:paraId="1B70BA5F" w14:textId="77777777" w:rsidR="004D7EA9" w:rsidRPr="00AB582B" w:rsidRDefault="004D7EA9" w:rsidP="004D7EA9">
            <w:pPr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  <w:t>Revenue from Operations</w:t>
            </w:r>
          </w:p>
        </w:tc>
        <w:tc>
          <w:tcPr>
            <w:tcW w:w="1262" w:type="dxa"/>
            <w:vAlign w:val="center"/>
            <w:hideMark/>
          </w:tcPr>
          <w:p w14:paraId="4EAA95FE" w14:textId="3D439720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169.27</w:t>
            </w:r>
          </w:p>
        </w:tc>
        <w:tc>
          <w:tcPr>
            <w:tcW w:w="1123" w:type="dxa"/>
            <w:vAlign w:val="center"/>
            <w:hideMark/>
          </w:tcPr>
          <w:p w14:paraId="0149160E" w14:textId="3561CBA2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162.15</w:t>
            </w:r>
          </w:p>
        </w:tc>
        <w:tc>
          <w:tcPr>
            <w:tcW w:w="1129" w:type="dxa"/>
            <w:vAlign w:val="center"/>
            <w:hideMark/>
          </w:tcPr>
          <w:p w14:paraId="6BDFD653" w14:textId="0925BC58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169.96</w:t>
            </w:r>
          </w:p>
        </w:tc>
        <w:tc>
          <w:tcPr>
            <w:tcW w:w="1256" w:type="dxa"/>
            <w:vAlign w:val="center"/>
            <w:hideMark/>
          </w:tcPr>
          <w:p w14:paraId="052E13AF" w14:textId="1ADA4FFE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185.28</w:t>
            </w:r>
          </w:p>
        </w:tc>
        <w:tc>
          <w:tcPr>
            <w:tcW w:w="1053" w:type="dxa"/>
            <w:vAlign w:val="center"/>
            <w:hideMark/>
          </w:tcPr>
          <w:p w14:paraId="53B5E462" w14:textId="39A625A5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686.67</w:t>
            </w:r>
          </w:p>
        </w:tc>
      </w:tr>
      <w:tr w:rsidR="004D7EA9" w:rsidRPr="00AB582B" w14:paraId="08F3A87A" w14:textId="77777777" w:rsidTr="00CD2D62">
        <w:trPr>
          <w:trHeight w:val="182"/>
        </w:trPr>
        <w:tc>
          <w:tcPr>
            <w:tcW w:w="3821" w:type="dxa"/>
            <w:hideMark/>
          </w:tcPr>
          <w:p w14:paraId="2BCED03F" w14:textId="77777777" w:rsidR="004D7EA9" w:rsidRPr="00AB582B" w:rsidRDefault="004D7EA9" w:rsidP="004D7EA9">
            <w:pPr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  <w:t>O&amp;M Support Grant</w:t>
            </w:r>
          </w:p>
        </w:tc>
        <w:tc>
          <w:tcPr>
            <w:tcW w:w="1262" w:type="dxa"/>
            <w:vAlign w:val="center"/>
            <w:hideMark/>
          </w:tcPr>
          <w:p w14:paraId="3817D40F" w14:textId="3D8EDFC4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60.66</w:t>
            </w:r>
          </w:p>
        </w:tc>
        <w:tc>
          <w:tcPr>
            <w:tcW w:w="1123" w:type="dxa"/>
            <w:vAlign w:val="center"/>
            <w:hideMark/>
          </w:tcPr>
          <w:p w14:paraId="052F0EC2" w14:textId="6D4C9371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22.94</w:t>
            </w:r>
          </w:p>
        </w:tc>
        <w:tc>
          <w:tcPr>
            <w:tcW w:w="1129" w:type="dxa"/>
            <w:vAlign w:val="center"/>
            <w:hideMark/>
          </w:tcPr>
          <w:p w14:paraId="7955CAA4" w14:textId="6DA0C726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1256" w:type="dxa"/>
            <w:vAlign w:val="center"/>
            <w:hideMark/>
          </w:tcPr>
          <w:p w14:paraId="6B4BEF2F" w14:textId="12BAC617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1053" w:type="dxa"/>
            <w:vAlign w:val="center"/>
            <w:hideMark/>
          </w:tcPr>
          <w:p w14:paraId="5B23D6C8" w14:textId="2AD9C758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105.89</w:t>
            </w:r>
          </w:p>
        </w:tc>
      </w:tr>
      <w:tr w:rsidR="004D7EA9" w:rsidRPr="00AB582B" w14:paraId="17E3AA0E" w14:textId="77777777" w:rsidTr="00CD2D62">
        <w:trPr>
          <w:trHeight w:val="182"/>
        </w:trPr>
        <w:tc>
          <w:tcPr>
            <w:tcW w:w="3821" w:type="dxa"/>
            <w:hideMark/>
          </w:tcPr>
          <w:p w14:paraId="0693006E" w14:textId="77777777" w:rsidR="004D7EA9" w:rsidRPr="00AB582B" w:rsidRDefault="004D7EA9" w:rsidP="004D7EA9">
            <w:pPr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  <w:t>Other Income</w:t>
            </w:r>
          </w:p>
        </w:tc>
        <w:tc>
          <w:tcPr>
            <w:tcW w:w="1262" w:type="dxa"/>
            <w:vAlign w:val="center"/>
            <w:hideMark/>
          </w:tcPr>
          <w:p w14:paraId="5084209A" w14:textId="45BDFEB8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23" w:type="dxa"/>
            <w:vAlign w:val="center"/>
            <w:hideMark/>
          </w:tcPr>
          <w:p w14:paraId="77E386F6" w14:textId="04457615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129" w:type="dxa"/>
            <w:vAlign w:val="center"/>
            <w:hideMark/>
          </w:tcPr>
          <w:p w14:paraId="6EBD9575" w14:textId="7742F1E2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256" w:type="dxa"/>
            <w:vAlign w:val="center"/>
            <w:hideMark/>
          </w:tcPr>
          <w:p w14:paraId="7A1BA0B6" w14:textId="31EE93C7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053" w:type="dxa"/>
            <w:vAlign w:val="center"/>
            <w:hideMark/>
          </w:tcPr>
          <w:p w14:paraId="10F16606" w14:textId="4EAE822B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4.52</w:t>
            </w:r>
          </w:p>
        </w:tc>
      </w:tr>
      <w:tr w:rsidR="004D7EA9" w:rsidRPr="00AB582B" w14:paraId="2E4F63BA" w14:textId="77777777" w:rsidTr="00CD2D62">
        <w:trPr>
          <w:trHeight w:val="182"/>
        </w:trPr>
        <w:tc>
          <w:tcPr>
            <w:tcW w:w="3821" w:type="dxa"/>
            <w:hideMark/>
          </w:tcPr>
          <w:p w14:paraId="13FFA591" w14:textId="77777777" w:rsidR="004D7EA9" w:rsidRPr="00AB582B" w:rsidRDefault="004D7EA9" w:rsidP="004D7EA9">
            <w:pPr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  <w:t>DSRA Release</w:t>
            </w:r>
          </w:p>
        </w:tc>
        <w:tc>
          <w:tcPr>
            <w:tcW w:w="1262" w:type="dxa"/>
            <w:vAlign w:val="center"/>
            <w:hideMark/>
          </w:tcPr>
          <w:p w14:paraId="517F7448" w14:textId="77777777" w:rsidR="004D7EA9" w:rsidRPr="00AB582B" w:rsidRDefault="004D7EA9" w:rsidP="004D7EA9">
            <w:pPr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</w:p>
        </w:tc>
        <w:tc>
          <w:tcPr>
            <w:tcW w:w="1123" w:type="dxa"/>
            <w:vAlign w:val="center"/>
            <w:hideMark/>
          </w:tcPr>
          <w:p w14:paraId="219CC85F" w14:textId="77777777" w:rsidR="004D7EA9" w:rsidRPr="00AB582B" w:rsidRDefault="004D7EA9" w:rsidP="004D7E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29" w:type="dxa"/>
            <w:vAlign w:val="center"/>
            <w:hideMark/>
          </w:tcPr>
          <w:p w14:paraId="16BFB2AA" w14:textId="6B2214F9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256" w:type="dxa"/>
            <w:vAlign w:val="center"/>
            <w:hideMark/>
          </w:tcPr>
          <w:p w14:paraId="5335E88B" w14:textId="77777777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</w:p>
        </w:tc>
        <w:tc>
          <w:tcPr>
            <w:tcW w:w="1053" w:type="dxa"/>
            <w:vAlign w:val="center"/>
            <w:hideMark/>
          </w:tcPr>
          <w:p w14:paraId="5626EC98" w14:textId="68271E36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50.00</w:t>
            </w:r>
          </w:p>
        </w:tc>
      </w:tr>
      <w:tr w:rsidR="004D7EA9" w:rsidRPr="00AB582B" w14:paraId="2B1D8ECB" w14:textId="77777777" w:rsidTr="00CD2D62">
        <w:trPr>
          <w:trHeight w:val="182"/>
        </w:trPr>
        <w:tc>
          <w:tcPr>
            <w:tcW w:w="3821" w:type="dxa"/>
            <w:hideMark/>
          </w:tcPr>
          <w:p w14:paraId="36B1AE9D" w14:textId="77777777" w:rsidR="004D7EA9" w:rsidRPr="00AB582B" w:rsidRDefault="004D7EA9" w:rsidP="004D7EA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Total Revenue Source</w:t>
            </w:r>
          </w:p>
        </w:tc>
        <w:tc>
          <w:tcPr>
            <w:tcW w:w="1262" w:type="dxa"/>
            <w:vAlign w:val="center"/>
            <w:hideMark/>
          </w:tcPr>
          <w:p w14:paraId="598480EB" w14:textId="75AA999E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230.59</w:t>
            </w:r>
          </w:p>
        </w:tc>
        <w:tc>
          <w:tcPr>
            <w:tcW w:w="1123" w:type="dxa"/>
            <w:vAlign w:val="center"/>
            <w:hideMark/>
          </w:tcPr>
          <w:p w14:paraId="4B52A6F0" w14:textId="65B88384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186.99</w:t>
            </w:r>
          </w:p>
        </w:tc>
        <w:tc>
          <w:tcPr>
            <w:tcW w:w="1129" w:type="dxa"/>
            <w:vAlign w:val="center"/>
            <w:hideMark/>
          </w:tcPr>
          <w:p w14:paraId="3CDB30C9" w14:textId="24309683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236.26</w:t>
            </w:r>
          </w:p>
        </w:tc>
        <w:tc>
          <w:tcPr>
            <w:tcW w:w="1256" w:type="dxa"/>
            <w:vAlign w:val="center"/>
            <w:hideMark/>
          </w:tcPr>
          <w:p w14:paraId="3FEB6291" w14:textId="1A535309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193.23</w:t>
            </w:r>
          </w:p>
        </w:tc>
        <w:tc>
          <w:tcPr>
            <w:tcW w:w="1053" w:type="dxa"/>
            <w:vAlign w:val="center"/>
            <w:hideMark/>
          </w:tcPr>
          <w:p w14:paraId="44311C75" w14:textId="255C8E6B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847.07</w:t>
            </w:r>
          </w:p>
        </w:tc>
      </w:tr>
      <w:tr w:rsidR="004D7EA9" w:rsidRPr="00AB582B" w14:paraId="30DB89DD" w14:textId="77777777" w:rsidTr="00CD2D62">
        <w:trPr>
          <w:trHeight w:val="182"/>
        </w:trPr>
        <w:tc>
          <w:tcPr>
            <w:tcW w:w="3821" w:type="dxa"/>
            <w:hideMark/>
          </w:tcPr>
          <w:p w14:paraId="3280EC8E" w14:textId="4810C3CE" w:rsidR="004D7EA9" w:rsidRPr="00AB582B" w:rsidRDefault="004D7EA9" w:rsidP="004D7EA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Total O&amp;M Expenses</w:t>
            </w:r>
          </w:p>
        </w:tc>
        <w:tc>
          <w:tcPr>
            <w:tcW w:w="1262" w:type="dxa"/>
            <w:vAlign w:val="center"/>
            <w:hideMark/>
          </w:tcPr>
          <w:p w14:paraId="16FFE080" w14:textId="64896CF4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37.61</w:t>
            </w:r>
          </w:p>
        </w:tc>
        <w:tc>
          <w:tcPr>
            <w:tcW w:w="1123" w:type="dxa"/>
            <w:vAlign w:val="center"/>
            <w:hideMark/>
          </w:tcPr>
          <w:p w14:paraId="71544AF7" w14:textId="4EEFCA86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30.49</w:t>
            </w:r>
          </w:p>
        </w:tc>
        <w:tc>
          <w:tcPr>
            <w:tcW w:w="1129" w:type="dxa"/>
            <w:vAlign w:val="center"/>
            <w:hideMark/>
          </w:tcPr>
          <w:p w14:paraId="49CCD5F9" w14:textId="111AD845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42.13</w:t>
            </w:r>
          </w:p>
        </w:tc>
        <w:tc>
          <w:tcPr>
            <w:tcW w:w="1256" w:type="dxa"/>
            <w:vAlign w:val="center"/>
            <w:hideMark/>
          </w:tcPr>
          <w:p w14:paraId="52398F31" w14:textId="7115D44C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81.88</w:t>
            </w:r>
          </w:p>
        </w:tc>
        <w:tc>
          <w:tcPr>
            <w:tcW w:w="1053" w:type="dxa"/>
            <w:vAlign w:val="center"/>
            <w:hideMark/>
          </w:tcPr>
          <w:p w14:paraId="05372D8F" w14:textId="231702B2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192.11</w:t>
            </w:r>
          </w:p>
        </w:tc>
      </w:tr>
      <w:tr w:rsidR="0066135E" w:rsidRPr="00AB582B" w14:paraId="210992F9" w14:textId="77777777" w:rsidTr="00156C55">
        <w:trPr>
          <w:trHeight w:val="114"/>
        </w:trPr>
        <w:tc>
          <w:tcPr>
            <w:tcW w:w="3821" w:type="dxa"/>
            <w:hideMark/>
          </w:tcPr>
          <w:p w14:paraId="71449EA0" w14:textId="77777777" w:rsidR="00AB582B" w:rsidRPr="00AB582B" w:rsidRDefault="00AB582B" w:rsidP="00AB582B">
            <w:pPr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en-IN"/>
              </w:rPr>
            </w:pPr>
          </w:p>
        </w:tc>
        <w:tc>
          <w:tcPr>
            <w:tcW w:w="1262" w:type="dxa"/>
            <w:hideMark/>
          </w:tcPr>
          <w:p w14:paraId="70865AEE" w14:textId="77777777" w:rsidR="00AB582B" w:rsidRPr="00AB582B" w:rsidRDefault="00AB582B" w:rsidP="00AB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23" w:type="dxa"/>
            <w:hideMark/>
          </w:tcPr>
          <w:p w14:paraId="6D5B5192" w14:textId="77777777" w:rsidR="00AB582B" w:rsidRPr="00AB582B" w:rsidRDefault="00AB582B" w:rsidP="00AB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29" w:type="dxa"/>
            <w:hideMark/>
          </w:tcPr>
          <w:p w14:paraId="63554AA5" w14:textId="77777777" w:rsidR="00AB582B" w:rsidRPr="00AB582B" w:rsidRDefault="00AB582B" w:rsidP="00AB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56" w:type="dxa"/>
            <w:hideMark/>
          </w:tcPr>
          <w:p w14:paraId="5A1D787A" w14:textId="77777777" w:rsidR="00AB582B" w:rsidRPr="00AB582B" w:rsidRDefault="00AB582B" w:rsidP="00AB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53" w:type="dxa"/>
            <w:hideMark/>
          </w:tcPr>
          <w:p w14:paraId="37A3C6AC" w14:textId="77777777" w:rsidR="00AB582B" w:rsidRPr="00AB582B" w:rsidRDefault="00AB582B" w:rsidP="00AB5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D7EA9" w:rsidRPr="00AB582B" w14:paraId="1336C257" w14:textId="77777777" w:rsidTr="00CD2D62">
        <w:trPr>
          <w:trHeight w:val="182"/>
        </w:trPr>
        <w:tc>
          <w:tcPr>
            <w:tcW w:w="3821" w:type="dxa"/>
            <w:hideMark/>
          </w:tcPr>
          <w:p w14:paraId="07580FCF" w14:textId="77777777" w:rsidR="004D7EA9" w:rsidRPr="00AB582B" w:rsidRDefault="004D7EA9" w:rsidP="004D7EA9">
            <w:pPr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  <w:t xml:space="preserve">Interest </w:t>
            </w:r>
          </w:p>
        </w:tc>
        <w:tc>
          <w:tcPr>
            <w:tcW w:w="1262" w:type="dxa"/>
            <w:vAlign w:val="center"/>
            <w:hideMark/>
          </w:tcPr>
          <w:p w14:paraId="58633843" w14:textId="0E69401D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119.19</w:t>
            </w:r>
          </w:p>
        </w:tc>
        <w:tc>
          <w:tcPr>
            <w:tcW w:w="1123" w:type="dxa"/>
            <w:vAlign w:val="center"/>
            <w:hideMark/>
          </w:tcPr>
          <w:p w14:paraId="717247CA" w14:textId="3BD5ED2D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111.55</w:t>
            </w:r>
          </w:p>
        </w:tc>
        <w:tc>
          <w:tcPr>
            <w:tcW w:w="1129" w:type="dxa"/>
            <w:vAlign w:val="center"/>
            <w:hideMark/>
          </w:tcPr>
          <w:p w14:paraId="48390E56" w14:textId="1972BBF0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106.30</w:t>
            </w:r>
          </w:p>
        </w:tc>
        <w:tc>
          <w:tcPr>
            <w:tcW w:w="1256" w:type="dxa"/>
            <w:vAlign w:val="center"/>
            <w:hideMark/>
          </w:tcPr>
          <w:p w14:paraId="4FE7E01E" w14:textId="3F7C7653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96.02</w:t>
            </w:r>
          </w:p>
        </w:tc>
        <w:tc>
          <w:tcPr>
            <w:tcW w:w="1053" w:type="dxa"/>
            <w:vAlign w:val="center"/>
            <w:hideMark/>
          </w:tcPr>
          <w:p w14:paraId="0D8DC7CD" w14:textId="77F864FF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433.06</w:t>
            </w:r>
          </w:p>
        </w:tc>
      </w:tr>
      <w:tr w:rsidR="004D7EA9" w:rsidRPr="00AB582B" w14:paraId="45B0D8A7" w14:textId="77777777" w:rsidTr="00CD2D62">
        <w:trPr>
          <w:trHeight w:val="182"/>
        </w:trPr>
        <w:tc>
          <w:tcPr>
            <w:tcW w:w="3821" w:type="dxa"/>
            <w:hideMark/>
          </w:tcPr>
          <w:p w14:paraId="36CA464B" w14:textId="77777777" w:rsidR="004D7EA9" w:rsidRPr="00AB582B" w:rsidRDefault="004D7EA9" w:rsidP="004D7EA9">
            <w:pPr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  <w:t>Principal</w:t>
            </w:r>
          </w:p>
        </w:tc>
        <w:tc>
          <w:tcPr>
            <w:tcW w:w="1262" w:type="dxa"/>
            <w:vAlign w:val="center"/>
            <w:hideMark/>
          </w:tcPr>
          <w:p w14:paraId="08F7780D" w14:textId="2A91E659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62.79</w:t>
            </w:r>
          </w:p>
        </w:tc>
        <w:tc>
          <w:tcPr>
            <w:tcW w:w="1123" w:type="dxa"/>
            <w:vAlign w:val="center"/>
            <w:hideMark/>
          </w:tcPr>
          <w:p w14:paraId="18C5452B" w14:textId="13C1F348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47.73</w:t>
            </w:r>
          </w:p>
        </w:tc>
        <w:tc>
          <w:tcPr>
            <w:tcW w:w="1129" w:type="dxa"/>
            <w:vAlign w:val="center"/>
            <w:hideMark/>
          </w:tcPr>
          <w:p w14:paraId="62FB502C" w14:textId="6FE48CC8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79.21</w:t>
            </w:r>
          </w:p>
        </w:tc>
        <w:tc>
          <w:tcPr>
            <w:tcW w:w="1256" w:type="dxa"/>
            <w:vAlign w:val="center"/>
            <w:hideMark/>
          </w:tcPr>
          <w:p w14:paraId="5E3F81BF" w14:textId="46782DEC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55.28</w:t>
            </w:r>
          </w:p>
        </w:tc>
        <w:tc>
          <w:tcPr>
            <w:tcW w:w="1053" w:type="dxa"/>
            <w:vAlign w:val="center"/>
            <w:hideMark/>
          </w:tcPr>
          <w:p w14:paraId="45616D74" w14:textId="43C15072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245.01</w:t>
            </w:r>
          </w:p>
        </w:tc>
      </w:tr>
      <w:tr w:rsidR="004D7EA9" w:rsidRPr="00AB582B" w14:paraId="31AB343B" w14:textId="77777777" w:rsidTr="00CD2D62">
        <w:trPr>
          <w:trHeight w:val="182"/>
        </w:trPr>
        <w:tc>
          <w:tcPr>
            <w:tcW w:w="3821" w:type="dxa"/>
            <w:hideMark/>
          </w:tcPr>
          <w:p w14:paraId="2C744C85" w14:textId="77777777" w:rsidR="004D7EA9" w:rsidRPr="00AB582B" w:rsidRDefault="004D7EA9" w:rsidP="004D7EA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Total Debt Servicing</w:t>
            </w:r>
          </w:p>
        </w:tc>
        <w:tc>
          <w:tcPr>
            <w:tcW w:w="1262" w:type="dxa"/>
            <w:vAlign w:val="center"/>
            <w:hideMark/>
          </w:tcPr>
          <w:p w14:paraId="04A85998" w14:textId="1325CA39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181.98</w:t>
            </w:r>
          </w:p>
        </w:tc>
        <w:tc>
          <w:tcPr>
            <w:tcW w:w="1123" w:type="dxa"/>
            <w:vAlign w:val="center"/>
            <w:hideMark/>
          </w:tcPr>
          <w:p w14:paraId="4981D670" w14:textId="3C37AEFB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159.28</w:t>
            </w:r>
          </w:p>
        </w:tc>
        <w:tc>
          <w:tcPr>
            <w:tcW w:w="1129" w:type="dxa"/>
            <w:vAlign w:val="center"/>
            <w:hideMark/>
          </w:tcPr>
          <w:p w14:paraId="150C65B3" w14:textId="3000E7EE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185.51</w:t>
            </w:r>
          </w:p>
        </w:tc>
        <w:tc>
          <w:tcPr>
            <w:tcW w:w="1256" w:type="dxa"/>
            <w:vAlign w:val="center"/>
            <w:hideMark/>
          </w:tcPr>
          <w:p w14:paraId="17A643CB" w14:textId="01EC0AEB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151.30</w:t>
            </w:r>
          </w:p>
        </w:tc>
        <w:tc>
          <w:tcPr>
            <w:tcW w:w="1053" w:type="dxa"/>
            <w:vAlign w:val="center"/>
            <w:hideMark/>
          </w:tcPr>
          <w:p w14:paraId="60838C53" w14:textId="5340DB6E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678.07</w:t>
            </w:r>
          </w:p>
        </w:tc>
      </w:tr>
      <w:tr w:rsidR="004D7EA9" w:rsidRPr="00AB582B" w14:paraId="205604A2" w14:textId="77777777" w:rsidTr="00CD2D62">
        <w:trPr>
          <w:trHeight w:val="115"/>
        </w:trPr>
        <w:tc>
          <w:tcPr>
            <w:tcW w:w="3821" w:type="dxa"/>
            <w:hideMark/>
          </w:tcPr>
          <w:p w14:paraId="0FFF7A60" w14:textId="77777777" w:rsidR="004D7EA9" w:rsidRPr="00AB582B" w:rsidRDefault="004D7EA9" w:rsidP="004D7EA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Debt Service as % of Toll Revenue</w:t>
            </w:r>
          </w:p>
        </w:tc>
        <w:tc>
          <w:tcPr>
            <w:tcW w:w="1262" w:type="dxa"/>
            <w:vAlign w:val="center"/>
            <w:hideMark/>
          </w:tcPr>
          <w:p w14:paraId="57067E87" w14:textId="33DCD498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1123" w:type="dxa"/>
            <w:vAlign w:val="center"/>
            <w:hideMark/>
          </w:tcPr>
          <w:p w14:paraId="2F30F017" w14:textId="2B6E7D69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29" w:type="dxa"/>
            <w:vAlign w:val="center"/>
            <w:hideMark/>
          </w:tcPr>
          <w:p w14:paraId="03775D2E" w14:textId="1FBF121D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1256" w:type="dxa"/>
            <w:vAlign w:val="center"/>
            <w:hideMark/>
          </w:tcPr>
          <w:p w14:paraId="153E5161" w14:textId="740C5E24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053" w:type="dxa"/>
            <w:vAlign w:val="center"/>
            <w:hideMark/>
          </w:tcPr>
          <w:p w14:paraId="12C4BB66" w14:textId="0CD49B6C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99%</w:t>
            </w:r>
          </w:p>
        </w:tc>
      </w:tr>
      <w:tr w:rsidR="004D7EA9" w:rsidRPr="00AB582B" w14:paraId="4A2EC0CD" w14:textId="77777777" w:rsidTr="00CD2D62">
        <w:trPr>
          <w:trHeight w:val="76"/>
        </w:trPr>
        <w:tc>
          <w:tcPr>
            <w:tcW w:w="3821" w:type="dxa"/>
            <w:hideMark/>
          </w:tcPr>
          <w:p w14:paraId="1EFC86C2" w14:textId="77777777" w:rsidR="004D7EA9" w:rsidRPr="00AB582B" w:rsidRDefault="004D7EA9" w:rsidP="004D7EA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B582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  <w:t>Debt Service as % of Total Revenue</w:t>
            </w:r>
          </w:p>
        </w:tc>
        <w:tc>
          <w:tcPr>
            <w:tcW w:w="1262" w:type="dxa"/>
            <w:vAlign w:val="center"/>
            <w:hideMark/>
          </w:tcPr>
          <w:p w14:paraId="58CA7407" w14:textId="0D7EB7B3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23" w:type="dxa"/>
            <w:vAlign w:val="center"/>
            <w:hideMark/>
          </w:tcPr>
          <w:p w14:paraId="69D2092E" w14:textId="05969C6D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129" w:type="dxa"/>
            <w:vAlign w:val="center"/>
            <w:hideMark/>
          </w:tcPr>
          <w:p w14:paraId="39B72558" w14:textId="3CD44646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256" w:type="dxa"/>
            <w:vAlign w:val="center"/>
            <w:hideMark/>
          </w:tcPr>
          <w:p w14:paraId="42206F92" w14:textId="70015D15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053" w:type="dxa"/>
            <w:vAlign w:val="center"/>
            <w:hideMark/>
          </w:tcPr>
          <w:p w14:paraId="7164FC44" w14:textId="2B519268" w:rsidR="004D7EA9" w:rsidRPr="00AB582B" w:rsidRDefault="004D7EA9" w:rsidP="004D7EA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</w:tbl>
    <w:p w14:paraId="227306E4" w14:textId="0B011BD8" w:rsidR="00437A2F" w:rsidRPr="00FD7C69" w:rsidRDefault="00BD1811" w:rsidP="00AB582B">
      <w:pPr>
        <w:pStyle w:val="ListParagraph"/>
        <w:spacing w:after="60"/>
        <w:ind w:left="357"/>
        <w:contextualSpacing w:val="0"/>
        <w:jc w:val="both"/>
        <w:rPr>
          <w:sz w:val="6"/>
          <w:szCs w:val="6"/>
          <w:lang w:val="en-US"/>
        </w:rPr>
      </w:pPr>
      <w:r>
        <w:rPr>
          <w:lang w:val="en-US"/>
        </w:rPr>
        <w:t xml:space="preserve">  </w:t>
      </w:r>
      <w:r w:rsidR="001B3A6A">
        <w:rPr>
          <w:lang w:val="en-US"/>
        </w:rPr>
        <w:t xml:space="preserve"> </w:t>
      </w:r>
      <w:r w:rsidR="00C36399">
        <w:rPr>
          <w:lang w:val="en-US"/>
        </w:rPr>
        <w:t xml:space="preserve">  </w:t>
      </w:r>
    </w:p>
    <w:p w14:paraId="4495EEBB" w14:textId="2850C3B8" w:rsidR="00FD7C69" w:rsidRDefault="00FD7C69" w:rsidP="00FD7C69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lang w:val="en-US"/>
        </w:rPr>
      </w:pPr>
      <w:r>
        <w:rPr>
          <w:lang w:val="en-US"/>
        </w:rPr>
        <w:t xml:space="preserve">Project is </w:t>
      </w:r>
      <w:r w:rsidR="008F068B">
        <w:rPr>
          <w:lang w:val="en-US"/>
        </w:rPr>
        <w:t xml:space="preserve">in </w:t>
      </w:r>
      <w:r>
        <w:rPr>
          <w:lang w:val="en-US"/>
        </w:rPr>
        <w:t xml:space="preserve">operation since 2015 and hence the Major Maintenance should have been carried out in FY2021. However, since </w:t>
      </w:r>
      <w:r w:rsidR="00DC7C4A">
        <w:rPr>
          <w:lang w:val="en-US"/>
        </w:rPr>
        <w:t xml:space="preserve">RP </w:t>
      </w:r>
      <w:r>
        <w:rPr>
          <w:lang w:val="en-US"/>
        </w:rPr>
        <w:t>implementation, majority of the revenue ha</w:t>
      </w:r>
      <w:r w:rsidR="00DC7C4A">
        <w:rPr>
          <w:lang w:val="en-US"/>
        </w:rPr>
        <w:t>s</w:t>
      </w:r>
      <w:r>
        <w:rPr>
          <w:lang w:val="en-US"/>
        </w:rPr>
        <w:t xml:space="preserve"> gone for debt servicing as depicted </w:t>
      </w:r>
      <w:r w:rsidR="00352F5F">
        <w:rPr>
          <w:lang w:val="en-US"/>
        </w:rPr>
        <w:t>above.</w:t>
      </w:r>
    </w:p>
    <w:p w14:paraId="2FB85509" w14:textId="77777777" w:rsidR="00B6011D" w:rsidRDefault="00B6011D" w:rsidP="00B6011D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lang w:val="en-US"/>
        </w:rPr>
      </w:pPr>
      <w:r>
        <w:rPr>
          <w:lang w:val="en-US"/>
        </w:rPr>
        <w:t>In Dec-2019 &amp; Dec-2020, Bank of Baroda (with e-Dena Bank) and Central Bank of India have assigned their exposure to ARCIL.</w:t>
      </w:r>
    </w:p>
    <w:p w14:paraId="4304070B" w14:textId="6A88AC14" w:rsidR="00377252" w:rsidRPr="000D201E" w:rsidRDefault="00B6011D" w:rsidP="00D3035B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sz w:val="20"/>
          <w:szCs w:val="20"/>
          <w:lang w:val="en-US"/>
        </w:rPr>
      </w:pPr>
      <w:r>
        <w:rPr>
          <w:lang w:val="en-US"/>
        </w:rPr>
        <w:t>In consortium meeting dated 17</w:t>
      </w:r>
      <w:r w:rsidRPr="00B6011D">
        <w:rPr>
          <w:vertAlign w:val="superscript"/>
          <w:lang w:val="en-US"/>
        </w:rPr>
        <w:t>th</w:t>
      </w:r>
      <w:r>
        <w:rPr>
          <w:lang w:val="en-US"/>
        </w:rPr>
        <w:t xml:space="preserve"> May 2021, </w:t>
      </w:r>
      <w:proofErr w:type="gramStart"/>
      <w:r>
        <w:rPr>
          <w:lang w:val="en-US"/>
        </w:rPr>
        <w:t>Lenders</w:t>
      </w:r>
      <w:proofErr w:type="gramEnd"/>
      <w:r>
        <w:rPr>
          <w:lang w:val="en-US"/>
        </w:rPr>
        <w:t xml:space="preserve"> post exploring all the options</w:t>
      </w:r>
      <w:r w:rsidR="00303C0E">
        <w:rPr>
          <w:lang w:val="en-US"/>
        </w:rPr>
        <w:t>,</w:t>
      </w:r>
      <w:r>
        <w:rPr>
          <w:lang w:val="en-US"/>
        </w:rPr>
        <w:t xml:space="preserve"> unanimously agreed to take up the offer of ARCIL (i.e. 40% of total debt o/s as on 30</w:t>
      </w:r>
      <w:r w:rsidR="00790769" w:rsidRPr="00790769">
        <w:rPr>
          <w:vertAlign w:val="superscript"/>
          <w:lang w:val="en-US"/>
        </w:rPr>
        <w:t>th</w:t>
      </w:r>
      <w:r w:rsidR="00790769">
        <w:rPr>
          <w:lang w:val="en-US"/>
        </w:rPr>
        <w:t xml:space="preserve"> Sep 2020) subject to ARCIL increasing the </w:t>
      </w:r>
      <w:r w:rsidR="00303C0E">
        <w:rPr>
          <w:lang w:val="en-US"/>
        </w:rPr>
        <w:t xml:space="preserve">offer </w:t>
      </w:r>
      <w:r w:rsidR="00790769">
        <w:rPr>
          <w:lang w:val="en-US"/>
        </w:rPr>
        <w:t xml:space="preserve">substantially. In the </w:t>
      </w:r>
      <w:r w:rsidR="00021448">
        <w:rPr>
          <w:lang w:val="en-US"/>
        </w:rPr>
        <w:t xml:space="preserve">same </w:t>
      </w:r>
      <w:r w:rsidR="00790769">
        <w:rPr>
          <w:lang w:val="en-US"/>
        </w:rPr>
        <w:t xml:space="preserve">meeting, E&amp;Y and </w:t>
      </w:r>
      <w:proofErr w:type="spellStart"/>
      <w:r w:rsidR="00790769">
        <w:rPr>
          <w:lang w:val="en-US"/>
        </w:rPr>
        <w:t>Crisil</w:t>
      </w:r>
      <w:proofErr w:type="spellEnd"/>
      <w:r w:rsidR="00790769">
        <w:rPr>
          <w:lang w:val="en-US"/>
        </w:rPr>
        <w:t xml:space="preserve"> have submitted the Enterprise Valuation Report amounting to Rs. 971 Crore &amp; Rs. 913 Crore respectively @ WACC of 11</w:t>
      </w:r>
    </w:p>
    <w:p w14:paraId="37FCA07E" w14:textId="27D86228" w:rsidR="005C2E75" w:rsidRDefault="00790769" w:rsidP="00156C55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lang w:val="en-US"/>
        </w:rPr>
      </w:pPr>
      <w:r>
        <w:rPr>
          <w:lang w:val="en-US"/>
        </w:rPr>
        <w:t>In Sep-2021</w:t>
      </w:r>
      <w:r w:rsidR="0074771D">
        <w:rPr>
          <w:lang w:val="en-US"/>
        </w:rPr>
        <w:t xml:space="preserve">, </w:t>
      </w:r>
      <w:r>
        <w:rPr>
          <w:lang w:val="en-US"/>
        </w:rPr>
        <w:t>Oct-2021</w:t>
      </w:r>
      <w:r w:rsidR="0074771D">
        <w:rPr>
          <w:lang w:val="en-US"/>
        </w:rPr>
        <w:t xml:space="preserve"> &amp; Mar-2022</w:t>
      </w:r>
      <w:r>
        <w:rPr>
          <w:lang w:val="en-US"/>
        </w:rPr>
        <w:t xml:space="preserve">, </w:t>
      </w:r>
      <w:r w:rsidR="00641CAA">
        <w:rPr>
          <w:lang w:val="en-US"/>
        </w:rPr>
        <w:t>Indian Overseas Bank</w:t>
      </w:r>
      <w:r w:rsidR="0074771D">
        <w:rPr>
          <w:lang w:val="en-US"/>
        </w:rPr>
        <w:t>,</w:t>
      </w:r>
      <w:r w:rsidR="00641CAA">
        <w:rPr>
          <w:lang w:val="en-US"/>
        </w:rPr>
        <w:t xml:space="preserve"> IIFCL</w:t>
      </w:r>
      <w:r w:rsidR="0074771D">
        <w:rPr>
          <w:lang w:val="en-US"/>
        </w:rPr>
        <w:t xml:space="preserve"> &amp; Union Bank have</w:t>
      </w:r>
      <w:r w:rsidR="00641CAA">
        <w:rPr>
          <w:lang w:val="en-US"/>
        </w:rPr>
        <w:t xml:space="preserve"> assigned their exposure to ARCIL with summary of assignment till date as under:</w:t>
      </w:r>
    </w:p>
    <w:tbl>
      <w:tblPr>
        <w:tblStyle w:val="TableGrid"/>
        <w:tblW w:w="4792" w:type="pct"/>
        <w:tblInd w:w="421" w:type="dxa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279"/>
        <w:gridCol w:w="2264"/>
        <w:gridCol w:w="1416"/>
        <w:gridCol w:w="1278"/>
        <w:gridCol w:w="1135"/>
        <w:gridCol w:w="1133"/>
        <w:gridCol w:w="1131"/>
      </w:tblGrid>
      <w:tr w:rsidR="00C2516D" w:rsidRPr="005C2E75" w14:paraId="56BCF6CE" w14:textId="77777777" w:rsidTr="00BF6FA7">
        <w:trPr>
          <w:trHeight w:val="253"/>
        </w:trPr>
        <w:tc>
          <w:tcPr>
            <w:tcW w:w="663" w:type="pct"/>
            <w:hideMark/>
          </w:tcPr>
          <w:p w14:paraId="05BD7A8D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both"/>
            </w:pPr>
            <w:r w:rsidRPr="005C2E75">
              <w:rPr>
                <w:b/>
                <w:bCs/>
              </w:rPr>
              <w:t>Lender</w:t>
            </w:r>
          </w:p>
        </w:tc>
        <w:tc>
          <w:tcPr>
            <w:tcW w:w="1175" w:type="pct"/>
            <w:hideMark/>
          </w:tcPr>
          <w:p w14:paraId="51132B7E" w14:textId="69B4D262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rPr>
                <w:b/>
                <w:bCs/>
              </w:rPr>
              <w:t>% Share in Con</w:t>
            </w:r>
            <w:r>
              <w:rPr>
                <w:b/>
                <w:bCs/>
              </w:rPr>
              <w:t>sortium</w:t>
            </w:r>
          </w:p>
        </w:tc>
        <w:tc>
          <w:tcPr>
            <w:tcW w:w="735" w:type="pct"/>
            <w:hideMark/>
          </w:tcPr>
          <w:p w14:paraId="67786A6C" w14:textId="77777777" w:rsidR="00C2516D" w:rsidRPr="005C2E75" w:rsidRDefault="00C2516D" w:rsidP="00C2516D">
            <w:pPr>
              <w:pStyle w:val="ListParagraph"/>
              <w:spacing w:line="259" w:lineRule="auto"/>
              <w:ind w:left="-14"/>
              <w:jc w:val="center"/>
            </w:pPr>
            <w:r w:rsidRPr="005C2E75">
              <w:rPr>
                <w:b/>
                <w:bCs/>
              </w:rPr>
              <w:t>Cut Off Date</w:t>
            </w:r>
          </w:p>
        </w:tc>
        <w:tc>
          <w:tcPr>
            <w:tcW w:w="663" w:type="pct"/>
            <w:hideMark/>
          </w:tcPr>
          <w:p w14:paraId="11978F6C" w14:textId="5B9C8324" w:rsidR="00C2516D" w:rsidRPr="005C2E75" w:rsidRDefault="00C2516D" w:rsidP="00C2516D">
            <w:pPr>
              <w:pStyle w:val="ListParagraph"/>
              <w:spacing w:line="259" w:lineRule="auto"/>
              <w:ind w:left="-29"/>
              <w:jc w:val="center"/>
            </w:pPr>
            <w:r w:rsidRPr="005C2E75">
              <w:rPr>
                <w:b/>
                <w:bCs/>
              </w:rPr>
              <w:t>Principal O</w:t>
            </w:r>
            <w:r>
              <w:rPr>
                <w:b/>
                <w:bCs/>
              </w:rPr>
              <w:t>/s</w:t>
            </w:r>
          </w:p>
        </w:tc>
        <w:tc>
          <w:tcPr>
            <w:tcW w:w="589" w:type="pct"/>
            <w:hideMark/>
          </w:tcPr>
          <w:p w14:paraId="7E65E212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rPr>
                <w:b/>
                <w:bCs/>
              </w:rPr>
              <w:t>%Offer</w:t>
            </w:r>
          </w:p>
        </w:tc>
        <w:tc>
          <w:tcPr>
            <w:tcW w:w="588" w:type="pct"/>
          </w:tcPr>
          <w:p w14:paraId="6E018863" w14:textId="48F4C104" w:rsidR="00C2516D" w:rsidRPr="005C2E75" w:rsidRDefault="00C2516D" w:rsidP="00C2516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C2E75">
              <w:rPr>
                <w:b/>
                <w:bCs/>
              </w:rPr>
              <w:t>Payment</w:t>
            </w:r>
          </w:p>
        </w:tc>
        <w:tc>
          <w:tcPr>
            <w:tcW w:w="588" w:type="pct"/>
          </w:tcPr>
          <w:p w14:paraId="5A34BC7C" w14:textId="540581FB" w:rsidR="00C2516D" w:rsidRPr="005C2E75" w:rsidRDefault="00C2516D" w:rsidP="00C2516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 Month</w:t>
            </w:r>
          </w:p>
        </w:tc>
      </w:tr>
      <w:tr w:rsidR="00C2516D" w:rsidRPr="005C2E75" w14:paraId="41C835E9" w14:textId="77777777" w:rsidTr="00BF6FA7">
        <w:trPr>
          <w:trHeight w:val="282"/>
        </w:trPr>
        <w:tc>
          <w:tcPr>
            <w:tcW w:w="663" w:type="pct"/>
            <w:hideMark/>
          </w:tcPr>
          <w:p w14:paraId="2A55297C" w14:textId="42454F3B" w:rsidR="00C2516D" w:rsidRPr="005C2E75" w:rsidRDefault="00C2516D" w:rsidP="00C2516D">
            <w:pPr>
              <w:pStyle w:val="ListParagraph"/>
              <w:spacing w:line="259" w:lineRule="auto"/>
              <w:ind w:left="0"/>
              <w:jc w:val="both"/>
            </w:pPr>
            <w:proofErr w:type="spellStart"/>
            <w:r w:rsidRPr="005C2E75">
              <w:t>B</w:t>
            </w:r>
            <w:r>
              <w:t>oB</w:t>
            </w:r>
            <w:proofErr w:type="spellEnd"/>
            <w:r w:rsidRPr="005C2E75">
              <w:t xml:space="preserve"> &amp; Dena</w:t>
            </w:r>
          </w:p>
        </w:tc>
        <w:tc>
          <w:tcPr>
            <w:tcW w:w="1175" w:type="pct"/>
            <w:hideMark/>
          </w:tcPr>
          <w:p w14:paraId="20253C10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rPr>
                <w:lang w:val="en-US"/>
              </w:rPr>
              <w:t>12.34%</w:t>
            </w:r>
          </w:p>
        </w:tc>
        <w:tc>
          <w:tcPr>
            <w:tcW w:w="735" w:type="pct"/>
            <w:hideMark/>
          </w:tcPr>
          <w:p w14:paraId="4F7DE643" w14:textId="77777777" w:rsidR="00C2516D" w:rsidRPr="005C2E75" w:rsidRDefault="00C2516D" w:rsidP="00C2516D">
            <w:pPr>
              <w:pStyle w:val="ListParagraph"/>
              <w:spacing w:line="259" w:lineRule="auto"/>
              <w:ind w:left="-14"/>
              <w:jc w:val="center"/>
            </w:pPr>
            <w:r w:rsidRPr="005C2E75">
              <w:t>30-Nov-19</w:t>
            </w:r>
          </w:p>
        </w:tc>
        <w:tc>
          <w:tcPr>
            <w:tcW w:w="663" w:type="pct"/>
            <w:hideMark/>
          </w:tcPr>
          <w:p w14:paraId="2BF777E0" w14:textId="77777777" w:rsidR="00C2516D" w:rsidRPr="005C2E75" w:rsidRDefault="00C2516D" w:rsidP="00C2516D">
            <w:pPr>
              <w:pStyle w:val="ListParagraph"/>
              <w:spacing w:line="259" w:lineRule="auto"/>
              <w:ind w:left="-29"/>
              <w:jc w:val="center"/>
            </w:pPr>
            <w:r w:rsidRPr="005C2E75">
              <w:t>284.30</w:t>
            </w:r>
          </w:p>
        </w:tc>
        <w:tc>
          <w:tcPr>
            <w:tcW w:w="589" w:type="pct"/>
            <w:hideMark/>
          </w:tcPr>
          <w:p w14:paraId="4FBE968E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t>40.00%</w:t>
            </w:r>
          </w:p>
        </w:tc>
        <w:tc>
          <w:tcPr>
            <w:tcW w:w="588" w:type="pct"/>
          </w:tcPr>
          <w:p w14:paraId="0A59D9CB" w14:textId="709D8F04" w:rsidR="00C2516D" w:rsidRPr="005C2E75" w:rsidRDefault="00C2516D" w:rsidP="00C2516D">
            <w:pPr>
              <w:pStyle w:val="ListParagraph"/>
              <w:ind w:left="0"/>
              <w:jc w:val="center"/>
            </w:pPr>
            <w:r w:rsidRPr="005C2E75">
              <w:t>113.75</w:t>
            </w:r>
          </w:p>
        </w:tc>
        <w:tc>
          <w:tcPr>
            <w:tcW w:w="588" w:type="pct"/>
          </w:tcPr>
          <w:p w14:paraId="28381015" w14:textId="27032836" w:rsidR="00C2516D" w:rsidRPr="005C2E75" w:rsidRDefault="00C2516D" w:rsidP="00C2516D">
            <w:pPr>
              <w:pStyle w:val="ListParagraph"/>
              <w:ind w:left="0"/>
              <w:jc w:val="center"/>
            </w:pPr>
            <w:r>
              <w:t>Jan-2020</w:t>
            </w:r>
          </w:p>
        </w:tc>
      </w:tr>
      <w:tr w:rsidR="00C2516D" w:rsidRPr="005C2E75" w14:paraId="1711362C" w14:textId="77777777" w:rsidTr="00BF6FA7">
        <w:trPr>
          <w:trHeight w:val="282"/>
        </w:trPr>
        <w:tc>
          <w:tcPr>
            <w:tcW w:w="663" w:type="pct"/>
            <w:hideMark/>
          </w:tcPr>
          <w:p w14:paraId="38C8F84C" w14:textId="7375D40F" w:rsidR="00C2516D" w:rsidRPr="005C2E75" w:rsidRDefault="00C2516D" w:rsidP="00C2516D">
            <w:pPr>
              <w:pStyle w:val="ListParagraph"/>
              <w:spacing w:line="259" w:lineRule="auto"/>
              <w:ind w:left="0"/>
              <w:jc w:val="both"/>
            </w:pPr>
            <w:r w:rsidRPr="005C2E75">
              <w:t>C</w:t>
            </w:r>
            <w:r>
              <w:t>BI</w:t>
            </w:r>
          </w:p>
        </w:tc>
        <w:tc>
          <w:tcPr>
            <w:tcW w:w="1175" w:type="pct"/>
            <w:hideMark/>
          </w:tcPr>
          <w:p w14:paraId="10EA4E7C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rPr>
                <w:lang w:val="en-US"/>
              </w:rPr>
              <w:t>8.27%</w:t>
            </w:r>
          </w:p>
        </w:tc>
        <w:tc>
          <w:tcPr>
            <w:tcW w:w="735" w:type="pct"/>
            <w:hideMark/>
          </w:tcPr>
          <w:p w14:paraId="07D19A7B" w14:textId="5C4C17A1" w:rsidR="00C2516D" w:rsidRPr="005C2E75" w:rsidRDefault="00C2516D" w:rsidP="00C2516D">
            <w:pPr>
              <w:pStyle w:val="ListParagraph"/>
              <w:spacing w:line="259" w:lineRule="auto"/>
              <w:ind w:left="-14"/>
              <w:jc w:val="center"/>
            </w:pPr>
            <w:r>
              <w:t>0</w:t>
            </w:r>
            <w:r w:rsidRPr="005C2E75">
              <w:t>1-Dec-20</w:t>
            </w:r>
          </w:p>
        </w:tc>
        <w:tc>
          <w:tcPr>
            <w:tcW w:w="663" w:type="pct"/>
            <w:hideMark/>
          </w:tcPr>
          <w:p w14:paraId="0F201357" w14:textId="77777777" w:rsidR="00C2516D" w:rsidRPr="005C2E75" w:rsidRDefault="00C2516D" w:rsidP="00C2516D">
            <w:pPr>
              <w:pStyle w:val="ListParagraph"/>
              <w:spacing w:line="259" w:lineRule="auto"/>
              <w:ind w:left="-29"/>
              <w:jc w:val="center"/>
            </w:pPr>
            <w:r w:rsidRPr="005C2E75">
              <w:t>192.37</w:t>
            </w:r>
          </w:p>
        </w:tc>
        <w:tc>
          <w:tcPr>
            <w:tcW w:w="589" w:type="pct"/>
            <w:hideMark/>
          </w:tcPr>
          <w:p w14:paraId="5C929BFD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t>35.43%</w:t>
            </w:r>
          </w:p>
        </w:tc>
        <w:tc>
          <w:tcPr>
            <w:tcW w:w="588" w:type="pct"/>
          </w:tcPr>
          <w:p w14:paraId="3EA98E67" w14:textId="6784811D" w:rsidR="00C2516D" w:rsidRPr="005C2E75" w:rsidRDefault="00C2516D" w:rsidP="00C2516D">
            <w:pPr>
              <w:pStyle w:val="ListParagraph"/>
              <w:ind w:left="0"/>
              <w:jc w:val="center"/>
            </w:pPr>
            <w:r w:rsidRPr="005C2E75">
              <w:t>68.16</w:t>
            </w:r>
          </w:p>
        </w:tc>
        <w:tc>
          <w:tcPr>
            <w:tcW w:w="588" w:type="pct"/>
          </w:tcPr>
          <w:p w14:paraId="37A87FC0" w14:textId="03646048" w:rsidR="00C2516D" w:rsidRPr="005C2E75" w:rsidRDefault="00C2516D" w:rsidP="00C2516D">
            <w:pPr>
              <w:pStyle w:val="ListParagraph"/>
              <w:ind w:left="0"/>
              <w:jc w:val="center"/>
            </w:pPr>
            <w:r>
              <w:t>Jan-2021</w:t>
            </w:r>
          </w:p>
        </w:tc>
      </w:tr>
      <w:tr w:rsidR="00C2516D" w:rsidRPr="005C2E75" w14:paraId="1C895FF7" w14:textId="77777777" w:rsidTr="00BF6FA7">
        <w:trPr>
          <w:trHeight w:val="282"/>
        </w:trPr>
        <w:tc>
          <w:tcPr>
            <w:tcW w:w="663" w:type="pct"/>
            <w:hideMark/>
          </w:tcPr>
          <w:p w14:paraId="0A580231" w14:textId="24202FAB" w:rsidR="00C2516D" w:rsidRPr="005C2E75" w:rsidRDefault="00C2516D" w:rsidP="00C2516D">
            <w:pPr>
              <w:pStyle w:val="ListParagraph"/>
              <w:spacing w:line="259" w:lineRule="auto"/>
              <w:ind w:left="0"/>
              <w:jc w:val="both"/>
            </w:pPr>
            <w:r>
              <w:t>IOB</w:t>
            </w:r>
          </w:p>
        </w:tc>
        <w:tc>
          <w:tcPr>
            <w:tcW w:w="1175" w:type="pct"/>
            <w:hideMark/>
          </w:tcPr>
          <w:p w14:paraId="6D58BADC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rPr>
                <w:lang w:val="en-US"/>
              </w:rPr>
              <w:t>6.07%</w:t>
            </w:r>
          </w:p>
        </w:tc>
        <w:tc>
          <w:tcPr>
            <w:tcW w:w="735" w:type="pct"/>
            <w:hideMark/>
          </w:tcPr>
          <w:p w14:paraId="00057872" w14:textId="77777777" w:rsidR="00C2516D" w:rsidRPr="005C2E75" w:rsidRDefault="00C2516D" w:rsidP="00C2516D">
            <w:pPr>
              <w:pStyle w:val="ListParagraph"/>
              <w:spacing w:line="259" w:lineRule="auto"/>
              <w:ind w:left="-14"/>
              <w:jc w:val="center"/>
            </w:pPr>
            <w:r w:rsidRPr="005C2E75">
              <w:t>30-Jun-21</w:t>
            </w:r>
          </w:p>
        </w:tc>
        <w:tc>
          <w:tcPr>
            <w:tcW w:w="663" w:type="pct"/>
            <w:hideMark/>
          </w:tcPr>
          <w:p w14:paraId="6CEA5DE4" w14:textId="77777777" w:rsidR="00C2516D" w:rsidRPr="005C2E75" w:rsidRDefault="00C2516D" w:rsidP="00C2516D">
            <w:pPr>
              <w:pStyle w:val="ListParagraph"/>
              <w:spacing w:line="259" w:lineRule="auto"/>
              <w:ind w:left="-29"/>
              <w:jc w:val="center"/>
            </w:pPr>
            <w:r w:rsidRPr="005C2E75">
              <w:t>131.74</w:t>
            </w:r>
          </w:p>
        </w:tc>
        <w:tc>
          <w:tcPr>
            <w:tcW w:w="589" w:type="pct"/>
            <w:hideMark/>
          </w:tcPr>
          <w:p w14:paraId="7620E1AC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t>43.00%</w:t>
            </w:r>
          </w:p>
        </w:tc>
        <w:tc>
          <w:tcPr>
            <w:tcW w:w="588" w:type="pct"/>
          </w:tcPr>
          <w:p w14:paraId="7A7D14E5" w14:textId="615A2EB1" w:rsidR="00C2516D" w:rsidRPr="005C2E75" w:rsidRDefault="00C2516D" w:rsidP="00C2516D">
            <w:pPr>
              <w:pStyle w:val="ListParagraph"/>
              <w:ind w:left="0"/>
              <w:jc w:val="center"/>
            </w:pPr>
            <w:r w:rsidRPr="005C2E75">
              <w:t>56.65</w:t>
            </w:r>
          </w:p>
        </w:tc>
        <w:tc>
          <w:tcPr>
            <w:tcW w:w="588" w:type="pct"/>
          </w:tcPr>
          <w:p w14:paraId="7E6149C0" w14:textId="12455915" w:rsidR="00C2516D" w:rsidRPr="005C2E75" w:rsidRDefault="00C2516D" w:rsidP="00C2516D">
            <w:pPr>
              <w:pStyle w:val="ListParagraph"/>
              <w:ind w:left="0"/>
              <w:jc w:val="center"/>
            </w:pPr>
            <w:r>
              <w:t>Sep-2021</w:t>
            </w:r>
          </w:p>
        </w:tc>
      </w:tr>
      <w:tr w:rsidR="00C2516D" w:rsidRPr="005C2E75" w14:paraId="64ABEF2A" w14:textId="77777777" w:rsidTr="00BF6FA7">
        <w:trPr>
          <w:trHeight w:val="282"/>
        </w:trPr>
        <w:tc>
          <w:tcPr>
            <w:tcW w:w="663" w:type="pct"/>
            <w:hideMark/>
          </w:tcPr>
          <w:p w14:paraId="5D334D9C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both"/>
            </w:pPr>
            <w:r w:rsidRPr="005C2E75">
              <w:t>IIFCL</w:t>
            </w:r>
          </w:p>
        </w:tc>
        <w:tc>
          <w:tcPr>
            <w:tcW w:w="1175" w:type="pct"/>
            <w:hideMark/>
          </w:tcPr>
          <w:p w14:paraId="1435536F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rPr>
                <w:lang w:val="en-US"/>
              </w:rPr>
              <w:t>12.13%</w:t>
            </w:r>
          </w:p>
        </w:tc>
        <w:tc>
          <w:tcPr>
            <w:tcW w:w="735" w:type="pct"/>
            <w:hideMark/>
          </w:tcPr>
          <w:p w14:paraId="5CCE832B" w14:textId="77777777" w:rsidR="00C2516D" w:rsidRPr="005C2E75" w:rsidRDefault="00C2516D" w:rsidP="00C2516D">
            <w:pPr>
              <w:pStyle w:val="ListParagraph"/>
              <w:spacing w:line="259" w:lineRule="auto"/>
              <w:ind w:left="-14"/>
              <w:jc w:val="center"/>
            </w:pPr>
            <w:r w:rsidRPr="005C2E75">
              <w:t>31-Aug-21</w:t>
            </w:r>
          </w:p>
        </w:tc>
        <w:tc>
          <w:tcPr>
            <w:tcW w:w="663" w:type="pct"/>
            <w:hideMark/>
          </w:tcPr>
          <w:p w14:paraId="798AEB26" w14:textId="77777777" w:rsidR="00C2516D" w:rsidRPr="005C2E75" w:rsidRDefault="00C2516D" w:rsidP="00C2516D">
            <w:pPr>
              <w:pStyle w:val="ListParagraph"/>
              <w:spacing w:line="259" w:lineRule="auto"/>
              <w:ind w:left="-29"/>
              <w:jc w:val="center"/>
            </w:pPr>
            <w:r w:rsidRPr="005C2E75">
              <w:t>265.58</w:t>
            </w:r>
          </w:p>
        </w:tc>
        <w:tc>
          <w:tcPr>
            <w:tcW w:w="589" w:type="pct"/>
            <w:hideMark/>
          </w:tcPr>
          <w:p w14:paraId="616C0B89" w14:textId="77777777" w:rsidR="00C2516D" w:rsidRPr="005C2E75" w:rsidRDefault="00C2516D" w:rsidP="00C2516D">
            <w:pPr>
              <w:pStyle w:val="ListParagraph"/>
              <w:spacing w:line="259" w:lineRule="auto"/>
              <w:ind w:left="0"/>
              <w:jc w:val="center"/>
            </w:pPr>
            <w:r w:rsidRPr="005C2E75">
              <w:t>43.00%</w:t>
            </w:r>
          </w:p>
        </w:tc>
        <w:tc>
          <w:tcPr>
            <w:tcW w:w="588" w:type="pct"/>
          </w:tcPr>
          <w:p w14:paraId="70903DEB" w14:textId="5BBE317D" w:rsidR="00C2516D" w:rsidRPr="005C2E75" w:rsidRDefault="00C2516D" w:rsidP="00C2516D">
            <w:pPr>
              <w:pStyle w:val="ListParagraph"/>
              <w:ind w:left="0"/>
              <w:jc w:val="center"/>
            </w:pPr>
            <w:r w:rsidRPr="005C2E75">
              <w:t>114.20</w:t>
            </w:r>
          </w:p>
        </w:tc>
        <w:tc>
          <w:tcPr>
            <w:tcW w:w="588" w:type="pct"/>
          </w:tcPr>
          <w:p w14:paraId="326A32CD" w14:textId="4C66CEED" w:rsidR="00C2516D" w:rsidRPr="005C2E75" w:rsidRDefault="00C2516D" w:rsidP="00C2516D">
            <w:pPr>
              <w:pStyle w:val="ListParagraph"/>
              <w:ind w:left="0"/>
              <w:jc w:val="center"/>
            </w:pPr>
            <w:r>
              <w:t>Oct-2021</w:t>
            </w:r>
          </w:p>
        </w:tc>
      </w:tr>
      <w:tr w:rsidR="00BF6FA7" w:rsidRPr="005C2E75" w14:paraId="72E6057A" w14:textId="77777777" w:rsidTr="00BF6FA7">
        <w:trPr>
          <w:trHeight w:val="282"/>
        </w:trPr>
        <w:tc>
          <w:tcPr>
            <w:tcW w:w="663" w:type="pct"/>
          </w:tcPr>
          <w:p w14:paraId="530182CB" w14:textId="6D72C528" w:rsidR="00BF6FA7" w:rsidRPr="005C2E75" w:rsidRDefault="00BF6FA7" w:rsidP="00C2516D">
            <w:pPr>
              <w:pStyle w:val="ListParagraph"/>
              <w:ind w:left="0"/>
              <w:jc w:val="both"/>
            </w:pPr>
            <w:r>
              <w:t>Union Bank</w:t>
            </w:r>
          </w:p>
        </w:tc>
        <w:tc>
          <w:tcPr>
            <w:tcW w:w="1175" w:type="pct"/>
          </w:tcPr>
          <w:p w14:paraId="7C038773" w14:textId="3946FFFE" w:rsidR="00BF6FA7" w:rsidRPr="005C2E75" w:rsidRDefault="00BF6FA7" w:rsidP="00C2516D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15.15%</w:t>
            </w:r>
          </w:p>
        </w:tc>
        <w:tc>
          <w:tcPr>
            <w:tcW w:w="735" w:type="pct"/>
          </w:tcPr>
          <w:p w14:paraId="2E704196" w14:textId="085F751A" w:rsidR="00BF6FA7" w:rsidRPr="005C2E75" w:rsidRDefault="00BF6FA7" w:rsidP="00C2516D">
            <w:pPr>
              <w:pStyle w:val="ListParagraph"/>
              <w:ind w:left="-14"/>
              <w:jc w:val="center"/>
            </w:pPr>
            <w:r>
              <w:t>31-Dec-21</w:t>
            </w:r>
          </w:p>
        </w:tc>
        <w:tc>
          <w:tcPr>
            <w:tcW w:w="663" w:type="pct"/>
          </w:tcPr>
          <w:p w14:paraId="2390E63E" w14:textId="51D6D03B" w:rsidR="00BF6FA7" w:rsidRPr="005C2E75" w:rsidRDefault="00BF6FA7" w:rsidP="00C2516D">
            <w:pPr>
              <w:pStyle w:val="ListParagraph"/>
              <w:ind w:left="-29"/>
              <w:jc w:val="center"/>
            </w:pPr>
            <w:r>
              <w:t>325.89</w:t>
            </w:r>
          </w:p>
        </w:tc>
        <w:tc>
          <w:tcPr>
            <w:tcW w:w="589" w:type="pct"/>
          </w:tcPr>
          <w:p w14:paraId="08DDAEB2" w14:textId="0A99A3BB" w:rsidR="00BF6FA7" w:rsidRPr="005C2E75" w:rsidRDefault="00BF6FA7" w:rsidP="00C2516D">
            <w:pPr>
              <w:pStyle w:val="ListParagraph"/>
              <w:ind w:left="0"/>
              <w:jc w:val="center"/>
            </w:pPr>
            <w:r>
              <w:t>46.00%</w:t>
            </w:r>
          </w:p>
        </w:tc>
        <w:tc>
          <w:tcPr>
            <w:tcW w:w="588" w:type="pct"/>
          </w:tcPr>
          <w:p w14:paraId="3B8391CB" w14:textId="39D850D5" w:rsidR="00BF6FA7" w:rsidRPr="005C2E75" w:rsidRDefault="00BF6FA7" w:rsidP="00C2516D">
            <w:pPr>
              <w:pStyle w:val="ListParagraph"/>
              <w:ind w:left="0"/>
              <w:jc w:val="center"/>
            </w:pPr>
            <w:r>
              <w:t>150.00</w:t>
            </w:r>
          </w:p>
        </w:tc>
        <w:tc>
          <w:tcPr>
            <w:tcW w:w="588" w:type="pct"/>
          </w:tcPr>
          <w:p w14:paraId="417CFC40" w14:textId="0A9E513C" w:rsidR="00BF6FA7" w:rsidRDefault="007D4F79" w:rsidP="00C2516D">
            <w:pPr>
              <w:pStyle w:val="ListParagraph"/>
              <w:ind w:left="0"/>
              <w:jc w:val="center"/>
            </w:pPr>
            <w:r>
              <w:t>Mar-2022</w:t>
            </w:r>
          </w:p>
        </w:tc>
      </w:tr>
      <w:tr w:rsidR="00BF6FA7" w:rsidRPr="005C2E75" w14:paraId="4F9E4F8B" w14:textId="77777777" w:rsidTr="00BF6FA7">
        <w:trPr>
          <w:trHeight w:val="282"/>
        </w:trPr>
        <w:tc>
          <w:tcPr>
            <w:tcW w:w="663" w:type="pct"/>
            <w:hideMark/>
          </w:tcPr>
          <w:p w14:paraId="3303159F" w14:textId="77777777" w:rsidR="00BF6FA7" w:rsidRPr="005C2E75" w:rsidRDefault="00BF6FA7" w:rsidP="00BF6FA7">
            <w:pPr>
              <w:pStyle w:val="ListParagraph"/>
              <w:spacing w:line="259" w:lineRule="auto"/>
              <w:ind w:left="0"/>
              <w:jc w:val="both"/>
            </w:pPr>
            <w:r w:rsidRPr="005C2E75">
              <w:rPr>
                <w:b/>
                <w:bCs/>
                <w:lang w:val="en-US"/>
              </w:rPr>
              <w:t>Total</w:t>
            </w:r>
          </w:p>
        </w:tc>
        <w:tc>
          <w:tcPr>
            <w:tcW w:w="1175" w:type="pct"/>
            <w:hideMark/>
          </w:tcPr>
          <w:p w14:paraId="186135CD" w14:textId="78E50DCB" w:rsidR="00BF6FA7" w:rsidRPr="005C2E75" w:rsidRDefault="00BF6FA7" w:rsidP="00BF6FA7">
            <w:pPr>
              <w:pStyle w:val="ListParagraph"/>
              <w:spacing w:line="259" w:lineRule="auto"/>
              <w:ind w:left="0"/>
              <w:jc w:val="center"/>
            </w:pPr>
            <w:r>
              <w:rPr>
                <w:b/>
                <w:bCs/>
              </w:rPr>
              <w:t>54.00</w:t>
            </w:r>
            <w:r w:rsidRPr="005C2E75">
              <w:rPr>
                <w:b/>
                <w:bCs/>
              </w:rPr>
              <w:t>%</w:t>
            </w:r>
          </w:p>
        </w:tc>
        <w:tc>
          <w:tcPr>
            <w:tcW w:w="735" w:type="pct"/>
            <w:hideMark/>
          </w:tcPr>
          <w:p w14:paraId="6459C66C" w14:textId="77777777" w:rsidR="00BF6FA7" w:rsidRPr="005C2E75" w:rsidRDefault="00BF6FA7" w:rsidP="00BF6FA7">
            <w:pPr>
              <w:pStyle w:val="ListParagraph"/>
              <w:spacing w:line="259" w:lineRule="auto"/>
              <w:ind w:left="-14"/>
              <w:jc w:val="center"/>
            </w:pPr>
          </w:p>
        </w:tc>
        <w:tc>
          <w:tcPr>
            <w:tcW w:w="663" w:type="pct"/>
            <w:vAlign w:val="bottom"/>
            <w:hideMark/>
          </w:tcPr>
          <w:p w14:paraId="631E0BFA" w14:textId="54166106" w:rsidR="00BF6FA7" w:rsidRPr="00BF6FA7" w:rsidRDefault="00BF6FA7" w:rsidP="00BF6FA7">
            <w:pPr>
              <w:pStyle w:val="ListParagraph"/>
              <w:spacing w:line="259" w:lineRule="auto"/>
              <w:ind w:left="-29"/>
              <w:jc w:val="center"/>
              <w:rPr>
                <w:b/>
                <w:bCs/>
              </w:rPr>
            </w:pPr>
            <w:r w:rsidRPr="00BF6FA7">
              <w:rPr>
                <w:rFonts w:ascii="Calibri" w:hAnsi="Calibri" w:cs="Calibri"/>
                <w:b/>
                <w:bCs/>
                <w:color w:val="000000"/>
              </w:rPr>
              <w:t>1199.88</w:t>
            </w:r>
          </w:p>
        </w:tc>
        <w:tc>
          <w:tcPr>
            <w:tcW w:w="589" w:type="pct"/>
            <w:vAlign w:val="bottom"/>
            <w:hideMark/>
          </w:tcPr>
          <w:p w14:paraId="12BE617F" w14:textId="642015F6" w:rsidR="00BF6FA7" w:rsidRPr="00BF6FA7" w:rsidRDefault="00BF6FA7" w:rsidP="00BF6FA7">
            <w:pPr>
              <w:pStyle w:val="ListParagraph"/>
              <w:spacing w:line="259" w:lineRule="auto"/>
              <w:ind w:left="0"/>
              <w:jc w:val="center"/>
              <w:rPr>
                <w:b/>
                <w:bCs/>
              </w:rPr>
            </w:pPr>
            <w:r w:rsidRPr="00BF6FA7">
              <w:rPr>
                <w:rFonts w:ascii="Calibri" w:hAnsi="Calibri" w:cs="Calibri"/>
                <w:b/>
                <w:bCs/>
                <w:color w:val="000000"/>
              </w:rPr>
              <w:t>41.90%</w:t>
            </w:r>
          </w:p>
        </w:tc>
        <w:tc>
          <w:tcPr>
            <w:tcW w:w="588" w:type="pct"/>
            <w:vAlign w:val="bottom"/>
          </w:tcPr>
          <w:p w14:paraId="01458554" w14:textId="5652EBAA" w:rsidR="00BF6FA7" w:rsidRPr="00BF6FA7" w:rsidRDefault="00BF6FA7" w:rsidP="00BF6FA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BF6FA7">
              <w:rPr>
                <w:rFonts w:ascii="Calibri" w:hAnsi="Calibri" w:cs="Calibri"/>
                <w:b/>
                <w:bCs/>
                <w:color w:val="000000"/>
              </w:rPr>
              <w:t>502.76</w:t>
            </w:r>
          </w:p>
        </w:tc>
        <w:tc>
          <w:tcPr>
            <w:tcW w:w="588" w:type="pct"/>
          </w:tcPr>
          <w:p w14:paraId="396037B4" w14:textId="68A44705" w:rsidR="00BF6FA7" w:rsidRPr="005C2E75" w:rsidRDefault="00BF6FA7" w:rsidP="00BF6FA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</w:tbl>
    <w:p w14:paraId="22C8BF7C" w14:textId="3A3DA556" w:rsidR="00573E6C" w:rsidRPr="00156C55" w:rsidRDefault="00790769" w:rsidP="005C2E75">
      <w:pPr>
        <w:pStyle w:val="ListParagraph"/>
        <w:spacing w:after="60"/>
        <w:ind w:left="360"/>
        <w:contextualSpacing w:val="0"/>
        <w:jc w:val="both"/>
        <w:rPr>
          <w:sz w:val="2"/>
          <w:szCs w:val="2"/>
          <w:lang w:val="en-US"/>
        </w:rPr>
      </w:pPr>
      <w:r>
        <w:rPr>
          <w:lang w:val="en-US"/>
        </w:rPr>
        <w:t xml:space="preserve"> </w:t>
      </w:r>
      <w:r w:rsidR="00B6011D">
        <w:rPr>
          <w:lang w:val="en-US"/>
        </w:rPr>
        <w:t xml:space="preserve"> </w:t>
      </w:r>
    </w:p>
    <w:sectPr w:rsidR="00573E6C" w:rsidRPr="00156C55" w:rsidSect="00BF6FA7">
      <w:pgSz w:w="11906" w:h="16838"/>
      <w:pgMar w:top="426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42F0F"/>
    <w:multiLevelType w:val="hybridMultilevel"/>
    <w:tmpl w:val="0F1045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F4037C"/>
    <w:multiLevelType w:val="hybridMultilevel"/>
    <w:tmpl w:val="9A9CC1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3544570">
    <w:abstractNumId w:val="0"/>
  </w:num>
  <w:num w:numId="2" w16cid:durableId="64763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EB"/>
    <w:rsid w:val="00000334"/>
    <w:rsid w:val="000004B9"/>
    <w:rsid w:val="00006A31"/>
    <w:rsid w:val="00011AEB"/>
    <w:rsid w:val="00021417"/>
    <w:rsid w:val="00021448"/>
    <w:rsid w:val="00024306"/>
    <w:rsid w:val="00024D32"/>
    <w:rsid w:val="00030A54"/>
    <w:rsid w:val="00032848"/>
    <w:rsid w:val="00033262"/>
    <w:rsid w:val="000579E4"/>
    <w:rsid w:val="00060563"/>
    <w:rsid w:val="00072C9D"/>
    <w:rsid w:val="00086BFD"/>
    <w:rsid w:val="000A2572"/>
    <w:rsid w:val="000D201E"/>
    <w:rsid w:val="000E541C"/>
    <w:rsid w:val="000E64F2"/>
    <w:rsid w:val="001124D9"/>
    <w:rsid w:val="0013011A"/>
    <w:rsid w:val="001448F4"/>
    <w:rsid w:val="001521C3"/>
    <w:rsid w:val="00156C55"/>
    <w:rsid w:val="00180C02"/>
    <w:rsid w:val="001B3A6A"/>
    <w:rsid w:val="00207299"/>
    <w:rsid w:val="0022279E"/>
    <w:rsid w:val="0022590D"/>
    <w:rsid w:val="00237B06"/>
    <w:rsid w:val="00243632"/>
    <w:rsid w:val="00252D68"/>
    <w:rsid w:val="00252F55"/>
    <w:rsid w:val="002737C0"/>
    <w:rsid w:val="00282BCF"/>
    <w:rsid w:val="002D1330"/>
    <w:rsid w:val="002D3AD1"/>
    <w:rsid w:val="002E09CC"/>
    <w:rsid w:val="002F0DCD"/>
    <w:rsid w:val="00303C0E"/>
    <w:rsid w:val="00317355"/>
    <w:rsid w:val="00352F5F"/>
    <w:rsid w:val="003553CD"/>
    <w:rsid w:val="00377252"/>
    <w:rsid w:val="003B101B"/>
    <w:rsid w:val="003C1936"/>
    <w:rsid w:val="003D6344"/>
    <w:rsid w:val="004065BD"/>
    <w:rsid w:val="00411A2C"/>
    <w:rsid w:val="00412A78"/>
    <w:rsid w:val="00433B60"/>
    <w:rsid w:val="00437A2F"/>
    <w:rsid w:val="00450E3A"/>
    <w:rsid w:val="00491EA0"/>
    <w:rsid w:val="00492FA2"/>
    <w:rsid w:val="004A0435"/>
    <w:rsid w:val="004D7EA9"/>
    <w:rsid w:val="004F7E84"/>
    <w:rsid w:val="00516FB9"/>
    <w:rsid w:val="00543EBE"/>
    <w:rsid w:val="00555564"/>
    <w:rsid w:val="00560D2C"/>
    <w:rsid w:val="00573E6C"/>
    <w:rsid w:val="00587A61"/>
    <w:rsid w:val="005C2E75"/>
    <w:rsid w:val="005D1C27"/>
    <w:rsid w:val="005F49BC"/>
    <w:rsid w:val="006069F5"/>
    <w:rsid w:val="00641CAA"/>
    <w:rsid w:val="0066135E"/>
    <w:rsid w:val="006B0E87"/>
    <w:rsid w:val="006E67E1"/>
    <w:rsid w:val="006F65CF"/>
    <w:rsid w:val="00723F0F"/>
    <w:rsid w:val="00733801"/>
    <w:rsid w:val="007379A0"/>
    <w:rsid w:val="0074726E"/>
    <w:rsid w:val="0074771D"/>
    <w:rsid w:val="00757749"/>
    <w:rsid w:val="007634AA"/>
    <w:rsid w:val="00776FBF"/>
    <w:rsid w:val="00790769"/>
    <w:rsid w:val="007A05DC"/>
    <w:rsid w:val="007A2EB4"/>
    <w:rsid w:val="007A51D5"/>
    <w:rsid w:val="007C100A"/>
    <w:rsid w:val="007D4F79"/>
    <w:rsid w:val="00825641"/>
    <w:rsid w:val="00841278"/>
    <w:rsid w:val="00886CB3"/>
    <w:rsid w:val="008B5414"/>
    <w:rsid w:val="008E6BBD"/>
    <w:rsid w:val="008E716D"/>
    <w:rsid w:val="008F068B"/>
    <w:rsid w:val="008F7391"/>
    <w:rsid w:val="00907D1C"/>
    <w:rsid w:val="009158CC"/>
    <w:rsid w:val="00952D56"/>
    <w:rsid w:val="00995AB7"/>
    <w:rsid w:val="009A24CC"/>
    <w:rsid w:val="009C2E89"/>
    <w:rsid w:val="009D0C76"/>
    <w:rsid w:val="009D7F9A"/>
    <w:rsid w:val="009E4285"/>
    <w:rsid w:val="009F6423"/>
    <w:rsid w:val="00A03F4F"/>
    <w:rsid w:val="00A17961"/>
    <w:rsid w:val="00A35172"/>
    <w:rsid w:val="00A7198E"/>
    <w:rsid w:val="00AB1775"/>
    <w:rsid w:val="00AB582B"/>
    <w:rsid w:val="00AE546A"/>
    <w:rsid w:val="00AF4BA4"/>
    <w:rsid w:val="00AF7E51"/>
    <w:rsid w:val="00B13F9B"/>
    <w:rsid w:val="00B42B94"/>
    <w:rsid w:val="00B53066"/>
    <w:rsid w:val="00B6011D"/>
    <w:rsid w:val="00B62FF7"/>
    <w:rsid w:val="00B949E8"/>
    <w:rsid w:val="00B95C97"/>
    <w:rsid w:val="00BA46F7"/>
    <w:rsid w:val="00BB37F2"/>
    <w:rsid w:val="00BD1811"/>
    <w:rsid w:val="00BF400D"/>
    <w:rsid w:val="00BF692C"/>
    <w:rsid w:val="00BF6FA7"/>
    <w:rsid w:val="00C2349A"/>
    <w:rsid w:val="00C2516D"/>
    <w:rsid w:val="00C36399"/>
    <w:rsid w:val="00C408BF"/>
    <w:rsid w:val="00C7678B"/>
    <w:rsid w:val="00C92CE0"/>
    <w:rsid w:val="00CB644D"/>
    <w:rsid w:val="00CC2683"/>
    <w:rsid w:val="00CD2D62"/>
    <w:rsid w:val="00CF25C0"/>
    <w:rsid w:val="00CF2E33"/>
    <w:rsid w:val="00CF2E5B"/>
    <w:rsid w:val="00D00852"/>
    <w:rsid w:val="00D3035B"/>
    <w:rsid w:val="00D37B03"/>
    <w:rsid w:val="00D55CE0"/>
    <w:rsid w:val="00D9284D"/>
    <w:rsid w:val="00DC7C4A"/>
    <w:rsid w:val="00DD445F"/>
    <w:rsid w:val="00DE2D40"/>
    <w:rsid w:val="00DF580D"/>
    <w:rsid w:val="00E14B32"/>
    <w:rsid w:val="00E50ED6"/>
    <w:rsid w:val="00E75FEC"/>
    <w:rsid w:val="00E7694D"/>
    <w:rsid w:val="00EE747C"/>
    <w:rsid w:val="00F46F6B"/>
    <w:rsid w:val="00F47BA8"/>
    <w:rsid w:val="00F62BE0"/>
    <w:rsid w:val="00FC2029"/>
    <w:rsid w:val="00FD3D8F"/>
    <w:rsid w:val="00F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02C1"/>
  <w15:chartTrackingRefBased/>
  <w15:docId w15:val="{C263DF4C-D996-4E38-96D5-3FFB3AA8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7C"/>
    <w:pPr>
      <w:ind w:left="720"/>
      <w:contextualSpacing/>
    </w:pPr>
  </w:style>
  <w:style w:type="table" w:styleId="TableGrid">
    <w:name w:val="Table Grid"/>
    <w:basedOn w:val="TableNormal"/>
    <w:uiPriority w:val="39"/>
    <w:rsid w:val="00AB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8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5A98-F841-41AB-B532-A8F0B06C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Kumar</dc:creator>
  <cp:keywords/>
  <dc:description/>
  <cp:lastModifiedBy>Varun Kumar</cp:lastModifiedBy>
  <cp:revision>26</cp:revision>
  <cp:lastPrinted>2022-01-31T11:33:00Z</cp:lastPrinted>
  <dcterms:created xsi:type="dcterms:W3CDTF">2022-02-16T10:42:00Z</dcterms:created>
  <dcterms:modified xsi:type="dcterms:W3CDTF">2022-07-15T11:29:00Z</dcterms:modified>
</cp:coreProperties>
</file>