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162B3" w14:textId="444537B6" w:rsidR="003A0710" w:rsidRPr="00A72D67" w:rsidRDefault="00725433" w:rsidP="009D6067">
      <w:pPr>
        <w:rPr>
          <w:rFonts w:eastAsia="Times New Roman"/>
          <w:b/>
          <w:u w:val="single"/>
          <w:lang w:val="en-GB"/>
        </w:rPr>
      </w:pPr>
      <w:r w:rsidRPr="00A72D67">
        <w:rPr>
          <w:rFonts w:ascii="Arial" w:eastAsia="Times New Roman" w:hAnsi="Arial" w:cs="Arial"/>
          <w:b/>
          <w:color w:val="FF0000"/>
          <w:u w:val="single"/>
          <w:lang w:val="en-GB"/>
        </w:rPr>
        <w:t>Query</w:t>
      </w:r>
      <w:r w:rsidRPr="00A72D67">
        <w:rPr>
          <w:rFonts w:ascii="Arial" w:eastAsia="Times New Roman" w:hAnsi="Arial" w:cs="Arial"/>
          <w:b/>
          <w:color w:val="000000"/>
          <w:u w:val="single"/>
          <w:lang w:val="en-GB"/>
        </w:rPr>
        <w:t>:</w:t>
      </w:r>
      <w:r w:rsidR="003A0710" w:rsidRPr="00A72D67">
        <w:rPr>
          <w:rFonts w:ascii="Arial" w:eastAsia="Times New Roman" w:hAnsi="Arial" w:cs="Arial"/>
          <w:b/>
          <w:color w:val="000000"/>
          <w:u w:val="single"/>
          <w:lang w:val="en-GB"/>
        </w:rPr>
        <w:t xml:space="preserve"> Current status of the company and reason for Financial Stress, if any.</w:t>
      </w:r>
    </w:p>
    <w:p w14:paraId="2D4461C4" w14:textId="2C37C4D2" w:rsidR="0075737A" w:rsidRPr="00A72D67" w:rsidRDefault="0075737A" w:rsidP="009D6067">
      <w:pPr>
        <w:rPr>
          <w:b/>
          <w:color w:val="000000" w:themeColor="text1"/>
          <w:sz w:val="28"/>
          <w:szCs w:val="28"/>
          <w:u w:val="single"/>
        </w:rPr>
      </w:pPr>
      <w:r w:rsidRPr="00A72D67">
        <w:rPr>
          <w:b/>
          <w:color w:val="000000" w:themeColor="text1"/>
          <w:sz w:val="28"/>
          <w:szCs w:val="28"/>
          <w:u w:val="single"/>
        </w:rPr>
        <w:t xml:space="preserve">Annexure </w:t>
      </w:r>
      <w:r w:rsidR="00725433" w:rsidRPr="00A72D67">
        <w:rPr>
          <w:b/>
          <w:color w:val="000000" w:themeColor="text1"/>
          <w:sz w:val="28"/>
          <w:szCs w:val="28"/>
          <w:u w:val="single"/>
        </w:rPr>
        <w:t>E to</w:t>
      </w:r>
      <w:r w:rsidRPr="00A72D67">
        <w:rPr>
          <w:b/>
          <w:color w:val="000000" w:themeColor="text1"/>
          <w:sz w:val="28"/>
          <w:szCs w:val="28"/>
          <w:u w:val="single"/>
        </w:rPr>
        <w:t xml:space="preserve"> mail to SBI dated – </w:t>
      </w:r>
      <w:r w:rsidR="008B0216" w:rsidRPr="00A72D67">
        <w:rPr>
          <w:b/>
          <w:color w:val="000000" w:themeColor="text1"/>
          <w:sz w:val="28"/>
          <w:szCs w:val="28"/>
          <w:u w:val="single"/>
        </w:rPr>
        <w:t>08</w:t>
      </w:r>
      <w:r w:rsidRPr="00A72D67">
        <w:rPr>
          <w:b/>
          <w:color w:val="000000" w:themeColor="text1"/>
          <w:sz w:val="28"/>
          <w:szCs w:val="28"/>
          <w:u w:val="single"/>
        </w:rPr>
        <w:t>.</w:t>
      </w:r>
      <w:r w:rsidR="008B0216" w:rsidRPr="00A72D67">
        <w:rPr>
          <w:b/>
          <w:color w:val="000000" w:themeColor="text1"/>
          <w:sz w:val="28"/>
          <w:szCs w:val="28"/>
          <w:u w:val="single"/>
        </w:rPr>
        <w:t>01</w:t>
      </w:r>
      <w:r w:rsidRPr="00A72D67">
        <w:rPr>
          <w:b/>
          <w:color w:val="000000" w:themeColor="text1"/>
          <w:sz w:val="28"/>
          <w:szCs w:val="28"/>
          <w:u w:val="single"/>
        </w:rPr>
        <w:t>.202</w:t>
      </w:r>
      <w:r w:rsidR="008B0216" w:rsidRPr="00A72D67">
        <w:rPr>
          <w:b/>
          <w:color w:val="000000" w:themeColor="text1"/>
          <w:sz w:val="28"/>
          <w:szCs w:val="28"/>
          <w:u w:val="single"/>
        </w:rPr>
        <w:t>4</w:t>
      </w:r>
      <w:r w:rsidRPr="00A72D67">
        <w:rPr>
          <w:b/>
          <w:color w:val="000000" w:themeColor="text1"/>
          <w:sz w:val="28"/>
          <w:szCs w:val="28"/>
          <w:u w:val="single"/>
        </w:rPr>
        <w:t xml:space="preserve"> – details submitted for valuation  </w:t>
      </w:r>
    </w:p>
    <w:p w14:paraId="336775E5" w14:textId="77777777" w:rsidR="009D6067" w:rsidRPr="00A72D67" w:rsidRDefault="009D6067" w:rsidP="009D6067">
      <w:pPr>
        <w:rPr>
          <w:b/>
          <w:u w:val="single"/>
        </w:rPr>
      </w:pPr>
    </w:p>
    <w:p w14:paraId="232295EE" w14:textId="77777777" w:rsidR="0075737A" w:rsidRPr="00A72D67" w:rsidRDefault="0075737A" w:rsidP="009D6067">
      <w:pPr>
        <w:rPr>
          <w:b/>
          <w:u w:val="single"/>
        </w:rPr>
      </w:pPr>
      <w:r w:rsidRPr="00A72D67">
        <w:rPr>
          <w:b/>
          <w:u w:val="single"/>
        </w:rPr>
        <w:t>CURRENT STATUS – REASON FOR FINANCIAL STRESS</w:t>
      </w:r>
    </w:p>
    <w:p w14:paraId="00DE86BC" w14:textId="77777777" w:rsidR="0075737A" w:rsidRPr="00A72D67" w:rsidRDefault="0075737A" w:rsidP="0075737A">
      <w:pPr>
        <w:rPr>
          <w:b/>
          <w:color w:val="000000" w:themeColor="text1"/>
          <w:sz w:val="28"/>
          <w:szCs w:val="28"/>
          <w:u w:val="single"/>
        </w:rPr>
      </w:pPr>
      <w:r w:rsidRPr="00A72D67">
        <w:rPr>
          <w:b/>
          <w:color w:val="000000" w:themeColor="text1"/>
          <w:sz w:val="28"/>
          <w:szCs w:val="28"/>
          <w:u w:val="single"/>
        </w:rPr>
        <w:t>5MW Solar Power Plant at Tuticorin:</w:t>
      </w:r>
    </w:p>
    <w:p w14:paraId="73E38168" w14:textId="77777777" w:rsidR="009D6067" w:rsidRDefault="009D6067" w:rsidP="0075737A">
      <w:pPr>
        <w:rPr>
          <w:color w:val="000000" w:themeColor="text1"/>
          <w:sz w:val="28"/>
          <w:szCs w:val="28"/>
        </w:rPr>
      </w:pPr>
    </w:p>
    <w:p w14:paraId="79E86BF0" w14:textId="2CB81127" w:rsidR="00BB544C" w:rsidRPr="00D9396D" w:rsidRDefault="00BB544C" w:rsidP="00E61581">
      <w:pPr>
        <w:jc w:val="both"/>
        <w:rPr>
          <w:rFonts w:asciiTheme="minorHAnsi" w:eastAsiaTheme="minorHAnsi" w:hAnsiTheme="minorHAnsi" w:cstheme="minorBidi"/>
          <w:bCs/>
          <w:kern w:val="2"/>
          <w:sz w:val="21"/>
          <w:szCs w:val="21"/>
          <w:lang w:eastAsia="en-US"/>
        </w:rPr>
      </w:pPr>
      <w:r w:rsidRPr="00D9396D">
        <w:rPr>
          <w:rFonts w:asciiTheme="minorHAnsi" w:eastAsiaTheme="minorHAnsi" w:hAnsiTheme="minorHAnsi" w:cstheme="minorBidi"/>
          <w:bCs/>
          <w:kern w:val="2"/>
          <w:sz w:val="21"/>
          <w:szCs w:val="21"/>
          <w:lang w:eastAsia="en-US"/>
        </w:rPr>
        <w:t xml:space="preserve">The PPA executed between the company and NVVN provides for maximum and minimum generation </w:t>
      </w:r>
      <w:r w:rsidR="00725433" w:rsidRPr="00D9396D">
        <w:rPr>
          <w:rFonts w:asciiTheme="minorHAnsi" w:eastAsiaTheme="minorHAnsi" w:hAnsiTheme="minorHAnsi" w:cstheme="minorBidi"/>
          <w:bCs/>
          <w:kern w:val="2"/>
          <w:sz w:val="21"/>
          <w:szCs w:val="21"/>
          <w:lang w:eastAsia="en-US"/>
        </w:rPr>
        <w:t>of 9.198</w:t>
      </w:r>
      <w:r w:rsidRPr="00D9396D">
        <w:rPr>
          <w:rFonts w:asciiTheme="minorHAnsi" w:eastAsiaTheme="minorHAnsi" w:hAnsiTheme="minorHAnsi" w:cstheme="minorBidi"/>
          <w:bCs/>
          <w:kern w:val="2"/>
          <w:sz w:val="21"/>
          <w:szCs w:val="21"/>
          <w:lang w:eastAsia="en-US"/>
        </w:rPr>
        <w:t xml:space="preserve"> million kWh </w:t>
      </w:r>
      <w:proofErr w:type="gramStart"/>
      <w:r w:rsidRPr="00D9396D">
        <w:rPr>
          <w:rFonts w:asciiTheme="minorHAnsi" w:eastAsiaTheme="minorHAnsi" w:hAnsiTheme="minorHAnsi" w:cstheme="minorBidi"/>
          <w:bCs/>
          <w:kern w:val="2"/>
          <w:sz w:val="21"/>
          <w:szCs w:val="21"/>
          <w:lang w:eastAsia="en-US"/>
        </w:rPr>
        <w:t>( MU</w:t>
      </w:r>
      <w:proofErr w:type="gramEnd"/>
      <w:r w:rsidRPr="00D9396D">
        <w:rPr>
          <w:rFonts w:asciiTheme="minorHAnsi" w:eastAsiaTheme="minorHAnsi" w:hAnsiTheme="minorHAnsi" w:cstheme="minorBidi"/>
          <w:bCs/>
          <w:kern w:val="2"/>
          <w:sz w:val="21"/>
          <w:szCs w:val="21"/>
          <w:lang w:eastAsia="en-US"/>
        </w:rPr>
        <w:t>) and 5.256 million kWh ( MU) respectively with Tariff compensation @ Rs. 12.70 per unit. The company was generating, at an average, around 72 lakh units per annum till FY 2019-20.  Since FY 2020-21, the plant faced multiple issues which led to steep fall in units generation, reason for which are detailed below</w:t>
      </w:r>
    </w:p>
    <w:p w14:paraId="6481D6FD" w14:textId="77777777" w:rsidR="00BB544C" w:rsidRDefault="00BB544C" w:rsidP="0075737A">
      <w:pPr>
        <w:rPr>
          <w:color w:val="000000" w:themeColor="text1"/>
          <w:sz w:val="28"/>
          <w:szCs w:val="28"/>
        </w:rPr>
      </w:pPr>
    </w:p>
    <w:p w14:paraId="64218B0A" w14:textId="77777777" w:rsidR="007A209B" w:rsidRDefault="007A209B" w:rsidP="007A209B">
      <w:pPr>
        <w:jc w:val="both"/>
        <w:rPr>
          <w:b/>
          <w:bCs/>
        </w:rPr>
      </w:pPr>
      <w:r w:rsidRPr="00A72D67">
        <w:rPr>
          <w:b/>
          <w:bCs/>
        </w:rPr>
        <w:t>Solar-Technical Related</w:t>
      </w:r>
    </w:p>
    <w:p w14:paraId="75DFE462" w14:textId="77777777" w:rsidR="00E61581" w:rsidRPr="00A72D67" w:rsidRDefault="00E61581" w:rsidP="007A209B">
      <w:pPr>
        <w:jc w:val="both"/>
        <w:rPr>
          <w:b/>
          <w:bCs/>
        </w:rPr>
      </w:pPr>
    </w:p>
    <w:p w14:paraId="29497711" w14:textId="2C76E0E2" w:rsidR="006C07C3" w:rsidRPr="00D025AE" w:rsidRDefault="007A209B" w:rsidP="00E61581">
      <w:pPr>
        <w:pStyle w:val="ListParagraph"/>
        <w:numPr>
          <w:ilvl w:val="0"/>
          <w:numId w:val="4"/>
        </w:numPr>
        <w:spacing w:after="200" w:line="276" w:lineRule="auto"/>
        <w:jc w:val="both"/>
        <w:rPr>
          <w:sz w:val="21"/>
          <w:szCs w:val="21"/>
          <w:lang w:val="en-US"/>
        </w:rPr>
      </w:pPr>
      <w:r w:rsidRPr="00D025AE">
        <w:rPr>
          <w:sz w:val="21"/>
          <w:szCs w:val="21"/>
          <w:lang w:val="en-US"/>
        </w:rPr>
        <w:t xml:space="preserve">Generation </w:t>
      </w:r>
      <w:r w:rsidR="005311C0" w:rsidRPr="00D025AE">
        <w:rPr>
          <w:sz w:val="21"/>
          <w:szCs w:val="21"/>
          <w:lang w:val="en-US"/>
        </w:rPr>
        <w:t xml:space="preserve">was </w:t>
      </w:r>
      <w:r w:rsidRPr="00D025AE">
        <w:rPr>
          <w:sz w:val="21"/>
          <w:szCs w:val="21"/>
          <w:lang w:val="en-US"/>
        </w:rPr>
        <w:t>much below minimum required generati</w:t>
      </w:r>
      <w:r w:rsidR="005311C0" w:rsidRPr="00D025AE">
        <w:rPr>
          <w:sz w:val="21"/>
          <w:szCs w:val="21"/>
          <w:lang w:val="en-US"/>
        </w:rPr>
        <w:t>on levels as laid down by NVVN</w:t>
      </w:r>
      <w:r w:rsidR="004B2F81" w:rsidRPr="00D025AE">
        <w:rPr>
          <w:sz w:val="21"/>
          <w:szCs w:val="21"/>
          <w:lang w:val="en-US"/>
        </w:rPr>
        <w:t>, since FY 20</w:t>
      </w:r>
      <w:r w:rsidR="003F05F5" w:rsidRPr="00D025AE">
        <w:rPr>
          <w:sz w:val="21"/>
          <w:szCs w:val="21"/>
          <w:lang w:val="en-US"/>
        </w:rPr>
        <w:t>20</w:t>
      </w:r>
      <w:r w:rsidR="004B2F81" w:rsidRPr="00D025AE">
        <w:rPr>
          <w:sz w:val="21"/>
          <w:szCs w:val="21"/>
          <w:lang w:val="en-US"/>
        </w:rPr>
        <w:t>-2</w:t>
      </w:r>
      <w:r w:rsidR="003F05F5" w:rsidRPr="00D025AE">
        <w:rPr>
          <w:sz w:val="21"/>
          <w:szCs w:val="21"/>
          <w:lang w:val="en-US"/>
        </w:rPr>
        <w:t>1</w:t>
      </w:r>
      <w:r w:rsidR="004B2F81" w:rsidRPr="00D025AE">
        <w:rPr>
          <w:sz w:val="21"/>
          <w:szCs w:val="21"/>
          <w:lang w:val="en-US"/>
        </w:rPr>
        <w:t xml:space="preserve">. </w:t>
      </w:r>
      <w:r w:rsidR="003F2C4B" w:rsidRPr="00D025AE">
        <w:rPr>
          <w:bCs/>
          <w:sz w:val="21"/>
          <w:szCs w:val="21"/>
          <w:lang w:val="en-US"/>
        </w:rPr>
        <w:t xml:space="preserve">The fall in generation was mainly due to harmonics issues in TNEB supply. </w:t>
      </w:r>
      <w:r w:rsidR="003F2C4B" w:rsidRPr="00D025AE">
        <w:rPr>
          <w:bCs/>
          <w:sz w:val="21"/>
          <w:szCs w:val="21"/>
          <w:lang w:val="en-GB"/>
        </w:rPr>
        <w:t xml:space="preserve">The IEEE standards 519 for harmonic control in electric power systems lays down the harmonic voltage distortion limits to reduce potential adverse effect on user and system </w:t>
      </w:r>
      <w:r w:rsidR="003F2C4B" w:rsidRPr="00D025AE">
        <w:rPr>
          <w:sz w:val="21"/>
          <w:szCs w:val="21"/>
          <w:lang w:val="en-US"/>
        </w:rPr>
        <w:t>equipments. Due to adjoining steel mill operations, the harmonic distortion in our plant was much higher at 7.8 % against the laid down standards for 110 KV at 2.5 %. Yet TNEB standard is for average distortion and not spikes and we have represented to TNEB to change their policy to align with the said standards.</w:t>
      </w:r>
      <w:r w:rsidR="006C07C3" w:rsidRPr="00D025AE">
        <w:rPr>
          <w:sz w:val="21"/>
          <w:szCs w:val="21"/>
          <w:lang w:val="en-US"/>
        </w:rPr>
        <w:t xml:space="preserve"> After repeated representations to TNEB, they advised us to relocate our substations from Vagaikulam to Kombukaranatham, Tuticorin which we implemented during </w:t>
      </w:r>
      <w:proofErr w:type="gramStart"/>
      <w:r w:rsidR="006C07C3" w:rsidRPr="00D025AE">
        <w:rPr>
          <w:sz w:val="21"/>
          <w:szCs w:val="21"/>
          <w:lang w:val="en-US"/>
        </w:rPr>
        <w:t>2020 .</w:t>
      </w:r>
      <w:proofErr w:type="gramEnd"/>
    </w:p>
    <w:p w14:paraId="02699D92" w14:textId="77777777" w:rsidR="007A209B" w:rsidRPr="00D025AE" w:rsidRDefault="005311C0" w:rsidP="006C07C3">
      <w:pPr>
        <w:pStyle w:val="ListParagraph"/>
        <w:numPr>
          <w:ilvl w:val="0"/>
          <w:numId w:val="4"/>
        </w:numPr>
        <w:spacing w:after="200" w:line="276" w:lineRule="auto"/>
        <w:jc w:val="both"/>
        <w:rPr>
          <w:sz w:val="21"/>
          <w:szCs w:val="21"/>
          <w:lang w:val="en-US"/>
        </w:rPr>
      </w:pPr>
      <w:r w:rsidRPr="00D025AE">
        <w:rPr>
          <w:sz w:val="21"/>
          <w:szCs w:val="21"/>
          <w:lang w:val="en-US"/>
        </w:rPr>
        <w:t xml:space="preserve">Yet our </w:t>
      </w:r>
      <w:r w:rsidR="00D025AE">
        <w:rPr>
          <w:sz w:val="21"/>
          <w:szCs w:val="21"/>
          <w:lang w:val="en-US"/>
        </w:rPr>
        <w:t>6 Nos. invertors of 500 KV</w:t>
      </w:r>
      <w:r w:rsidR="007A209B" w:rsidRPr="00D025AE">
        <w:rPr>
          <w:sz w:val="21"/>
          <w:szCs w:val="21"/>
          <w:lang w:val="en-US"/>
        </w:rPr>
        <w:t xml:space="preserve"> each,</w:t>
      </w:r>
      <w:r w:rsidR="006C07C3" w:rsidRPr="00D025AE">
        <w:rPr>
          <w:sz w:val="21"/>
          <w:szCs w:val="21"/>
          <w:lang w:val="en-US"/>
        </w:rPr>
        <w:t xml:space="preserve"> </w:t>
      </w:r>
      <w:proofErr w:type="gramStart"/>
      <w:r w:rsidR="007A209B" w:rsidRPr="00D025AE">
        <w:rPr>
          <w:sz w:val="21"/>
          <w:szCs w:val="21"/>
          <w:lang w:val="en-US"/>
        </w:rPr>
        <w:t>of  total</w:t>
      </w:r>
      <w:proofErr w:type="gramEnd"/>
      <w:r w:rsidR="00D025AE">
        <w:rPr>
          <w:sz w:val="21"/>
          <w:szCs w:val="21"/>
          <w:lang w:val="en-US"/>
        </w:rPr>
        <w:t xml:space="preserve"> </w:t>
      </w:r>
      <w:r w:rsidR="007A209B" w:rsidRPr="00D025AE">
        <w:rPr>
          <w:sz w:val="21"/>
          <w:szCs w:val="21"/>
          <w:lang w:val="en-US"/>
        </w:rPr>
        <w:t xml:space="preserve">10 Nos. </w:t>
      </w:r>
      <w:r w:rsidR="00D025AE">
        <w:rPr>
          <w:sz w:val="21"/>
          <w:szCs w:val="21"/>
          <w:lang w:val="en-US"/>
        </w:rPr>
        <w:t>we</w:t>
      </w:r>
      <w:r w:rsidRPr="00D025AE">
        <w:rPr>
          <w:sz w:val="21"/>
          <w:szCs w:val="21"/>
          <w:lang w:val="en-US"/>
        </w:rPr>
        <w:t xml:space="preserve">re damaged and </w:t>
      </w:r>
      <w:r w:rsidR="004B2F81" w:rsidRPr="00D025AE">
        <w:rPr>
          <w:sz w:val="21"/>
          <w:szCs w:val="21"/>
          <w:lang w:val="en-US"/>
        </w:rPr>
        <w:t>are</w:t>
      </w:r>
      <w:r w:rsidRPr="00D025AE">
        <w:rPr>
          <w:sz w:val="21"/>
          <w:szCs w:val="21"/>
          <w:lang w:val="en-US"/>
        </w:rPr>
        <w:t xml:space="preserve"> to be  replaced / repaired. Further, </w:t>
      </w:r>
      <w:r w:rsidR="007A209B" w:rsidRPr="00D025AE">
        <w:rPr>
          <w:sz w:val="21"/>
          <w:szCs w:val="21"/>
          <w:lang w:val="en-US"/>
        </w:rPr>
        <w:t xml:space="preserve">5000 Panel modules of 150 Watts capacity each, of total 33360 panel modules, are to be replaced. Since 150 Watts are not available now in market, 330 Watts have to be considered and hence say around 3000 panel modules are to be purchased for replacement. </w:t>
      </w:r>
    </w:p>
    <w:p w14:paraId="28CEAE13" w14:textId="77777777" w:rsidR="007A209B" w:rsidRPr="00D025AE" w:rsidRDefault="007A209B" w:rsidP="00D025AE">
      <w:pPr>
        <w:pStyle w:val="ListParagraph"/>
        <w:numPr>
          <w:ilvl w:val="0"/>
          <w:numId w:val="4"/>
        </w:numPr>
        <w:spacing w:after="200" w:line="276" w:lineRule="auto"/>
        <w:jc w:val="both"/>
        <w:rPr>
          <w:sz w:val="21"/>
          <w:szCs w:val="21"/>
          <w:lang w:val="en-US"/>
        </w:rPr>
      </w:pPr>
      <w:r w:rsidRPr="00D025AE">
        <w:rPr>
          <w:sz w:val="21"/>
          <w:szCs w:val="21"/>
          <w:lang w:val="en-US"/>
        </w:rPr>
        <w:t xml:space="preserve">Existing 16 MVA TNEB Transformer, connected to Solar, is almost fully being fed. For any additional power feeding, we have to enhance the transformer capacity through TNEB. Further TNEB has confirmed that they do not have distribution </w:t>
      </w:r>
      <w:proofErr w:type="gramStart"/>
      <w:r w:rsidRPr="00D025AE">
        <w:rPr>
          <w:sz w:val="21"/>
          <w:szCs w:val="21"/>
          <w:lang w:val="en-US"/>
        </w:rPr>
        <w:t>requirement  for</w:t>
      </w:r>
      <w:proofErr w:type="gramEnd"/>
      <w:r w:rsidRPr="00D025AE">
        <w:rPr>
          <w:sz w:val="21"/>
          <w:szCs w:val="21"/>
          <w:lang w:val="en-US"/>
        </w:rPr>
        <w:t xml:space="preserve"> generation beyond 16 MVA under their current  connectivity. Hence, our</w:t>
      </w:r>
      <w:r w:rsidR="004B2F81" w:rsidRPr="00D025AE">
        <w:rPr>
          <w:sz w:val="21"/>
          <w:szCs w:val="21"/>
          <w:lang w:val="en-US"/>
        </w:rPr>
        <w:t xml:space="preserve"> enhanced</w:t>
      </w:r>
      <w:r w:rsidRPr="00D025AE">
        <w:rPr>
          <w:sz w:val="21"/>
          <w:szCs w:val="21"/>
          <w:lang w:val="en-US"/>
        </w:rPr>
        <w:t xml:space="preserve"> generation has to be connected to a new TNEB substation which has power distribution requirements. Information from TNEB is that in a 15 KM radius, all TNEB Substations are running full and do not have power distribution requirements.</w:t>
      </w:r>
    </w:p>
    <w:p w14:paraId="1BF8E60C" w14:textId="77777777" w:rsidR="005311C0" w:rsidRPr="00D025AE" w:rsidRDefault="005311C0" w:rsidP="00D025AE">
      <w:pPr>
        <w:pStyle w:val="ListParagraph"/>
        <w:numPr>
          <w:ilvl w:val="0"/>
          <w:numId w:val="4"/>
        </w:numPr>
        <w:spacing w:after="200" w:line="276" w:lineRule="auto"/>
        <w:jc w:val="both"/>
        <w:rPr>
          <w:sz w:val="21"/>
          <w:szCs w:val="21"/>
          <w:lang w:val="en-US"/>
        </w:rPr>
      </w:pPr>
      <w:r w:rsidRPr="00D025AE">
        <w:rPr>
          <w:sz w:val="21"/>
          <w:szCs w:val="21"/>
          <w:lang w:val="en-US"/>
        </w:rPr>
        <w:t xml:space="preserve">Due to current extensive flooding after rains, this month, many major components including </w:t>
      </w:r>
      <w:r w:rsidR="006524E2" w:rsidRPr="00D025AE">
        <w:rPr>
          <w:sz w:val="21"/>
          <w:szCs w:val="21"/>
          <w:lang w:val="en-US"/>
        </w:rPr>
        <w:t xml:space="preserve">outdoor breaker, one inverter, String Combiner box , underground (HT UG) cable, </w:t>
      </w:r>
      <w:r w:rsidRPr="00D025AE">
        <w:rPr>
          <w:sz w:val="21"/>
          <w:szCs w:val="21"/>
          <w:lang w:val="en-US"/>
        </w:rPr>
        <w:t>relays, etc.. are damaged and the extent of damage is being assessed. The plant has been shutdown and can be started only after draining of water and repair / replacement to damaged components.</w:t>
      </w:r>
      <w:r w:rsidR="00252F5B" w:rsidRPr="00D025AE">
        <w:rPr>
          <w:sz w:val="21"/>
          <w:szCs w:val="21"/>
          <w:lang w:val="en-US"/>
        </w:rPr>
        <w:t xml:space="preserve"> 8 News reports attached </w:t>
      </w:r>
    </w:p>
    <w:p w14:paraId="369E2E5B" w14:textId="77777777" w:rsidR="00893B49" w:rsidRDefault="00893B49" w:rsidP="00D025AE">
      <w:pPr>
        <w:pStyle w:val="ListParagraph"/>
        <w:numPr>
          <w:ilvl w:val="0"/>
          <w:numId w:val="4"/>
        </w:numPr>
        <w:spacing w:after="200" w:line="276" w:lineRule="auto"/>
        <w:jc w:val="both"/>
        <w:rPr>
          <w:sz w:val="21"/>
          <w:szCs w:val="21"/>
          <w:lang w:val="en-US"/>
        </w:rPr>
      </w:pPr>
      <w:r w:rsidRPr="00D025AE">
        <w:rPr>
          <w:sz w:val="21"/>
          <w:szCs w:val="21"/>
          <w:lang w:val="en-US"/>
        </w:rPr>
        <w:t xml:space="preserve">Our company is already a NPA and we do not have funds to address above issues. Hence our solar plant quality and power </w:t>
      </w:r>
      <w:proofErr w:type="gramStart"/>
      <w:r w:rsidRPr="00D025AE">
        <w:rPr>
          <w:sz w:val="21"/>
          <w:szCs w:val="21"/>
          <w:lang w:val="en-US"/>
        </w:rPr>
        <w:t>units</w:t>
      </w:r>
      <w:proofErr w:type="gramEnd"/>
      <w:r w:rsidRPr="00D025AE">
        <w:rPr>
          <w:sz w:val="21"/>
          <w:szCs w:val="21"/>
          <w:lang w:val="en-US"/>
        </w:rPr>
        <w:t xml:space="preserve"> generation is continuously deteriorating. </w:t>
      </w:r>
    </w:p>
    <w:p w14:paraId="6D652449" w14:textId="77777777" w:rsidR="00BB544C" w:rsidRPr="00A72D67" w:rsidRDefault="00BB544C" w:rsidP="00BB544C">
      <w:pPr>
        <w:jc w:val="both"/>
        <w:rPr>
          <w:b/>
          <w:bCs/>
        </w:rPr>
      </w:pPr>
      <w:r w:rsidRPr="00A72D67">
        <w:rPr>
          <w:b/>
          <w:bCs/>
        </w:rPr>
        <w:t>Solar-Land Related issues</w:t>
      </w:r>
    </w:p>
    <w:p w14:paraId="5C2DEC72" w14:textId="77777777" w:rsidR="00BB544C" w:rsidRPr="00D025AE" w:rsidRDefault="00BB544C" w:rsidP="00BB544C">
      <w:pPr>
        <w:jc w:val="both"/>
        <w:rPr>
          <w:b/>
          <w:bCs/>
          <w:sz w:val="21"/>
          <w:szCs w:val="21"/>
          <w:u w:val="single"/>
        </w:rPr>
      </w:pPr>
    </w:p>
    <w:p w14:paraId="68D4A8DA" w14:textId="77777777" w:rsidR="00BB544C" w:rsidRPr="00D025AE" w:rsidRDefault="00BB544C" w:rsidP="00BB544C">
      <w:pPr>
        <w:pStyle w:val="ListParagraph"/>
        <w:numPr>
          <w:ilvl w:val="0"/>
          <w:numId w:val="3"/>
        </w:numPr>
        <w:jc w:val="both"/>
        <w:rPr>
          <w:sz w:val="21"/>
          <w:szCs w:val="21"/>
          <w:lang w:val="en-US"/>
        </w:rPr>
      </w:pPr>
      <w:r w:rsidRPr="00D025AE">
        <w:rPr>
          <w:sz w:val="21"/>
          <w:szCs w:val="21"/>
          <w:lang w:val="en-US"/>
        </w:rPr>
        <w:t xml:space="preserve">At entrance from main road, we have to pass through temple lands for which the lease arrangement </w:t>
      </w:r>
      <w:proofErr w:type="gramStart"/>
      <w:r w:rsidRPr="00D025AE">
        <w:rPr>
          <w:sz w:val="21"/>
          <w:szCs w:val="21"/>
          <w:lang w:val="en-US"/>
        </w:rPr>
        <w:t>have</w:t>
      </w:r>
      <w:proofErr w:type="gramEnd"/>
      <w:r w:rsidRPr="00D025AE">
        <w:rPr>
          <w:sz w:val="21"/>
          <w:szCs w:val="21"/>
          <w:lang w:val="en-US"/>
        </w:rPr>
        <w:t xml:space="preserve"> elapsed.</w:t>
      </w:r>
    </w:p>
    <w:p w14:paraId="415EB26C" w14:textId="77777777" w:rsidR="00BB544C" w:rsidRPr="009D6067" w:rsidRDefault="00BB544C" w:rsidP="00BB544C">
      <w:pPr>
        <w:pStyle w:val="ListParagraph"/>
        <w:numPr>
          <w:ilvl w:val="0"/>
          <w:numId w:val="3"/>
        </w:numPr>
        <w:spacing w:after="200" w:line="276" w:lineRule="auto"/>
        <w:jc w:val="both"/>
        <w:rPr>
          <w:sz w:val="21"/>
          <w:szCs w:val="21"/>
        </w:rPr>
      </w:pPr>
      <w:r w:rsidRPr="009D6067">
        <w:rPr>
          <w:sz w:val="21"/>
          <w:szCs w:val="21"/>
          <w:lang w:val="en-US"/>
        </w:rPr>
        <w:t>Internal roads are not fully formed and fencing damaged in many places.</w:t>
      </w:r>
    </w:p>
    <w:sectPr w:rsidR="00BB544C" w:rsidRPr="009D6067" w:rsidSect="00363B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6410E1"/>
    <w:multiLevelType w:val="hybridMultilevel"/>
    <w:tmpl w:val="5604611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22B10A11"/>
    <w:multiLevelType w:val="hybridMultilevel"/>
    <w:tmpl w:val="CDAA9896"/>
    <w:lvl w:ilvl="0" w:tplc="547440DE">
      <w:start w:val="1"/>
      <w:numFmt w:val="bullet"/>
      <w:lvlText w:val="•"/>
      <w:lvlJc w:val="left"/>
      <w:pPr>
        <w:tabs>
          <w:tab w:val="num" w:pos="720"/>
        </w:tabs>
        <w:ind w:left="720" w:hanging="360"/>
      </w:pPr>
      <w:rPr>
        <w:rFonts w:ascii="Arial" w:hAnsi="Arial" w:hint="default"/>
      </w:rPr>
    </w:lvl>
    <w:lvl w:ilvl="1" w:tplc="0D085F0E" w:tentative="1">
      <w:start w:val="1"/>
      <w:numFmt w:val="bullet"/>
      <w:lvlText w:val="•"/>
      <w:lvlJc w:val="left"/>
      <w:pPr>
        <w:tabs>
          <w:tab w:val="num" w:pos="1440"/>
        </w:tabs>
        <w:ind w:left="1440" w:hanging="360"/>
      </w:pPr>
      <w:rPr>
        <w:rFonts w:ascii="Arial" w:hAnsi="Arial" w:hint="default"/>
      </w:rPr>
    </w:lvl>
    <w:lvl w:ilvl="2" w:tplc="2CDA2206" w:tentative="1">
      <w:start w:val="1"/>
      <w:numFmt w:val="bullet"/>
      <w:lvlText w:val="•"/>
      <w:lvlJc w:val="left"/>
      <w:pPr>
        <w:tabs>
          <w:tab w:val="num" w:pos="2160"/>
        </w:tabs>
        <w:ind w:left="2160" w:hanging="360"/>
      </w:pPr>
      <w:rPr>
        <w:rFonts w:ascii="Arial" w:hAnsi="Arial" w:hint="default"/>
      </w:rPr>
    </w:lvl>
    <w:lvl w:ilvl="3" w:tplc="B10ED2A4" w:tentative="1">
      <w:start w:val="1"/>
      <w:numFmt w:val="bullet"/>
      <w:lvlText w:val="•"/>
      <w:lvlJc w:val="left"/>
      <w:pPr>
        <w:tabs>
          <w:tab w:val="num" w:pos="2880"/>
        </w:tabs>
        <w:ind w:left="2880" w:hanging="360"/>
      </w:pPr>
      <w:rPr>
        <w:rFonts w:ascii="Arial" w:hAnsi="Arial" w:hint="default"/>
      </w:rPr>
    </w:lvl>
    <w:lvl w:ilvl="4" w:tplc="7B40BD38" w:tentative="1">
      <w:start w:val="1"/>
      <w:numFmt w:val="bullet"/>
      <w:lvlText w:val="•"/>
      <w:lvlJc w:val="left"/>
      <w:pPr>
        <w:tabs>
          <w:tab w:val="num" w:pos="3600"/>
        </w:tabs>
        <w:ind w:left="3600" w:hanging="360"/>
      </w:pPr>
      <w:rPr>
        <w:rFonts w:ascii="Arial" w:hAnsi="Arial" w:hint="default"/>
      </w:rPr>
    </w:lvl>
    <w:lvl w:ilvl="5" w:tplc="90D26C54" w:tentative="1">
      <w:start w:val="1"/>
      <w:numFmt w:val="bullet"/>
      <w:lvlText w:val="•"/>
      <w:lvlJc w:val="left"/>
      <w:pPr>
        <w:tabs>
          <w:tab w:val="num" w:pos="4320"/>
        </w:tabs>
        <w:ind w:left="4320" w:hanging="360"/>
      </w:pPr>
      <w:rPr>
        <w:rFonts w:ascii="Arial" w:hAnsi="Arial" w:hint="default"/>
      </w:rPr>
    </w:lvl>
    <w:lvl w:ilvl="6" w:tplc="55E0EEF4" w:tentative="1">
      <w:start w:val="1"/>
      <w:numFmt w:val="bullet"/>
      <w:lvlText w:val="•"/>
      <w:lvlJc w:val="left"/>
      <w:pPr>
        <w:tabs>
          <w:tab w:val="num" w:pos="5040"/>
        </w:tabs>
        <w:ind w:left="5040" w:hanging="360"/>
      </w:pPr>
      <w:rPr>
        <w:rFonts w:ascii="Arial" w:hAnsi="Arial" w:hint="default"/>
      </w:rPr>
    </w:lvl>
    <w:lvl w:ilvl="7" w:tplc="B27A62C4" w:tentative="1">
      <w:start w:val="1"/>
      <w:numFmt w:val="bullet"/>
      <w:lvlText w:val="•"/>
      <w:lvlJc w:val="left"/>
      <w:pPr>
        <w:tabs>
          <w:tab w:val="num" w:pos="5760"/>
        </w:tabs>
        <w:ind w:left="5760" w:hanging="360"/>
      </w:pPr>
      <w:rPr>
        <w:rFonts w:ascii="Arial" w:hAnsi="Arial" w:hint="default"/>
      </w:rPr>
    </w:lvl>
    <w:lvl w:ilvl="8" w:tplc="898EAA3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73028FA"/>
    <w:multiLevelType w:val="hybridMultilevel"/>
    <w:tmpl w:val="18CEE66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47152E01"/>
    <w:multiLevelType w:val="hybridMultilevel"/>
    <w:tmpl w:val="B8A8845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49655D4A"/>
    <w:multiLevelType w:val="hybridMultilevel"/>
    <w:tmpl w:val="08ECB62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5CA27255"/>
    <w:multiLevelType w:val="hybridMultilevel"/>
    <w:tmpl w:val="66AAF8F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75AA5EA7"/>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58795382">
    <w:abstractNumId w:val="0"/>
  </w:num>
  <w:num w:numId="2" w16cid:durableId="1959947300">
    <w:abstractNumId w:val="4"/>
  </w:num>
  <w:num w:numId="3" w16cid:durableId="87310279">
    <w:abstractNumId w:val="2"/>
  </w:num>
  <w:num w:numId="4" w16cid:durableId="1147210877">
    <w:abstractNumId w:val="5"/>
  </w:num>
  <w:num w:numId="5" w16cid:durableId="1093085966">
    <w:abstractNumId w:val="3"/>
  </w:num>
  <w:num w:numId="6" w16cid:durableId="1439526479">
    <w:abstractNumId w:val="1"/>
  </w:num>
  <w:num w:numId="7" w16cid:durableId="2004382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5737A"/>
    <w:rsid w:val="00013A9C"/>
    <w:rsid w:val="00052EB6"/>
    <w:rsid w:val="000C3F9E"/>
    <w:rsid w:val="002308E1"/>
    <w:rsid w:val="00252F5B"/>
    <w:rsid w:val="002D54D1"/>
    <w:rsid w:val="00363B4E"/>
    <w:rsid w:val="003A0710"/>
    <w:rsid w:val="003B4983"/>
    <w:rsid w:val="003B6FC4"/>
    <w:rsid w:val="003E69B6"/>
    <w:rsid w:val="003F05F5"/>
    <w:rsid w:val="003F2C4B"/>
    <w:rsid w:val="004526E1"/>
    <w:rsid w:val="004A221D"/>
    <w:rsid w:val="004B2F81"/>
    <w:rsid w:val="005311C0"/>
    <w:rsid w:val="00543AAF"/>
    <w:rsid w:val="00554FAD"/>
    <w:rsid w:val="005A7565"/>
    <w:rsid w:val="005C28F5"/>
    <w:rsid w:val="005E371D"/>
    <w:rsid w:val="005E49FE"/>
    <w:rsid w:val="00621D85"/>
    <w:rsid w:val="006524E2"/>
    <w:rsid w:val="006A338E"/>
    <w:rsid w:val="006C07C3"/>
    <w:rsid w:val="006E0CCE"/>
    <w:rsid w:val="006F5B88"/>
    <w:rsid w:val="007035D0"/>
    <w:rsid w:val="00705921"/>
    <w:rsid w:val="00725433"/>
    <w:rsid w:val="0075737A"/>
    <w:rsid w:val="007A209B"/>
    <w:rsid w:val="00893B49"/>
    <w:rsid w:val="008B0216"/>
    <w:rsid w:val="00957E4D"/>
    <w:rsid w:val="009D6067"/>
    <w:rsid w:val="00A609EA"/>
    <w:rsid w:val="00A72D67"/>
    <w:rsid w:val="00BB544C"/>
    <w:rsid w:val="00BE3FF0"/>
    <w:rsid w:val="00D025AE"/>
    <w:rsid w:val="00D9396D"/>
    <w:rsid w:val="00E2259D"/>
    <w:rsid w:val="00E35F7F"/>
    <w:rsid w:val="00E61581"/>
    <w:rsid w:val="00F76DF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059F6"/>
  <w15:docId w15:val="{57032CCA-0535-48F5-8D5C-6AFE9A8A3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737A"/>
    <w:pPr>
      <w:spacing w:after="0"/>
    </w:pPr>
    <w:rPr>
      <w:rFonts w:ascii="Times New Roman" w:eastAsia="Batang" w:hAnsi="Times New Roman" w:cs="Times New Roman"/>
      <w:sz w:val="24"/>
      <w:szCs w:val="24"/>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209B"/>
    <w:pPr>
      <w:spacing w:after="160" w:line="259" w:lineRule="auto"/>
      <w:ind w:left="720"/>
      <w:contextualSpacing/>
    </w:pPr>
    <w:rPr>
      <w:rFonts w:asciiTheme="minorHAnsi" w:eastAsiaTheme="minorHAnsi" w:hAnsiTheme="minorHAnsi" w:cstheme="minorBidi"/>
      <w:kern w:val="2"/>
      <w:sz w:val="22"/>
      <w:szCs w:val="22"/>
      <w:lang w:val="en-I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37911">
      <w:bodyDiv w:val="1"/>
      <w:marLeft w:val="0"/>
      <w:marRight w:val="0"/>
      <w:marTop w:val="0"/>
      <w:marBottom w:val="0"/>
      <w:divBdr>
        <w:top w:val="none" w:sz="0" w:space="0" w:color="auto"/>
        <w:left w:val="none" w:sz="0" w:space="0" w:color="auto"/>
        <w:bottom w:val="none" w:sz="0" w:space="0" w:color="auto"/>
        <w:right w:val="none" w:sz="0" w:space="0" w:color="auto"/>
      </w:divBdr>
    </w:div>
    <w:div w:id="506792414">
      <w:bodyDiv w:val="1"/>
      <w:marLeft w:val="0"/>
      <w:marRight w:val="0"/>
      <w:marTop w:val="0"/>
      <w:marBottom w:val="0"/>
      <w:divBdr>
        <w:top w:val="none" w:sz="0" w:space="0" w:color="auto"/>
        <w:left w:val="none" w:sz="0" w:space="0" w:color="auto"/>
        <w:bottom w:val="none" w:sz="0" w:space="0" w:color="auto"/>
        <w:right w:val="none" w:sz="0" w:space="0" w:color="auto"/>
      </w:divBdr>
      <w:divsChild>
        <w:div w:id="1233002097">
          <w:marLeft w:val="547"/>
          <w:marRight w:val="0"/>
          <w:marTop w:val="72"/>
          <w:marBottom w:val="0"/>
          <w:divBdr>
            <w:top w:val="none" w:sz="0" w:space="0" w:color="auto"/>
            <w:left w:val="none" w:sz="0" w:space="0" w:color="auto"/>
            <w:bottom w:val="none" w:sz="0" w:space="0" w:color="auto"/>
            <w:right w:val="none" w:sz="0" w:space="0" w:color="auto"/>
          </w:divBdr>
        </w:div>
        <w:div w:id="1898121788">
          <w:marLeft w:val="547"/>
          <w:marRight w:val="0"/>
          <w:marTop w:val="7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6DF03-E755-45ED-B0BA-4EA818A9B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482</Words>
  <Characters>2750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cccl</dc:creator>
  <cp:lastModifiedBy>Rachit</cp:lastModifiedBy>
  <cp:revision>8</cp:revision>
  <cp:lastPrinted>2023-12-23T07:09:00Z</cp:lastPrinted>
  <dcterms:created xsi:type="dcterms:W3CDTF">2024-01-06T12:42:00Z</dcterms:created>
  <dcterms:modified xsi:type="dcterms:W3CDTF">2024-02-07T09:37:00Z</dcterms:modified>
</cp:coreProperties>
</file>