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1CCEC" w14:textId="77777777" w:rsidR="00155B65" w:rsidRDefault="00155B65" w:rsidP="00155B65">
      <w:pPr>
        <w:pStyle w:val="ListParagraph"/>
        <w:spacing w:before="240" w:after="240" w:line="360" w:lineRule="auto"/>
        <w:ind w:left="709" w:right="-71"/>
        <w:jc w:val="both"/>
        <w:rPr>
          <w:rFonts w:ascii="Arial" w:hAnsi="Arial" w:cs="Arial"/>
          <w:sz w:val="22"/>
          <w:szCs w:val="22"/>
          <w:lang w:eastAsia="en-IN"/>
        </w:rPr>
      </w:pPr>
      <w:r>
        <w:rPr>
          <w:rFonts w:ascii="Arial" w:hAnsi="Arial" w:cs="Arial"/>
          <w:sz w:val="22"/>
          <w:szCs w:val="22"/>
          <w:highlight w:val="green"/>
          <w:lang w:eastAsia="en-IN"/>
        </w:rPr>
        <w:t>As per the Proposed Restructuring plan provided to us,</w:t>
      </w:r>
      <w:r w:rsidRPr="00EB3558">
        <w:rPr>
          <w:rFonts w:ascii="Arial" w:hAnsi="Arial" w:cs="Arial"/>
          <w:sz w:val="22"/>
          <w:szCs w:val="22"/>
          <w:highlight w:val="green"/>
          <w:lang w:eastAsia="en-IN"/>
        </w:rPr>
        <w:t xml:space="preserve"> The Company has encountered significant financial challenges over the past two fiscal years, primarily attributed to intense competition and recessionary pressures within the paper market.</w:t>
      </w:r>
      <w:r>
        <w:rPr>
          <w:rFonts w:ascii="Arial" w:hAnsi="Arial" w:cs="Arial"/>
          <w:sz w:val="22"/>
          <w:szCs w:val="22"/>
          <w:highlight w:val="green"/>
          <w:lang w:eastAsia="en-IN"/>
        </w:rPr>
        <w:t xml:space="preserve"> </w:t>
      </w:r>
      <w:r w:rsidRPr="00EB3558">
        <w:rPr>
          <w:rFonts w:ascii="Arial" w:hAnsi="Arial" w:cs="Arial"/>
          <w:sz w:val="22"/>
          <w:szCs w:val="22"/>
          <w:highlight w:val="green"/>
          <w:lang w:eastAsia="en-IN"/>
        </w:rPr>
        <w:t>However, with the stabilization of market situation in the last quarter of the previous financial year and with the implementation of the turbine plant in the current financial year, the Company is expected to attain financial stability in the coming financial years. The market scenario is expected to improve by mid­ FY25 when the Company expects to achieve a break-even point.</w:t>
      </w:r>
    </w:p>
    <w:p w14:paraId="13DF5B98" w14:textId="77777777" w:rsidR="00155B65" w:rsidRDefault="00155B65" w:rsidP="00155B65">
      <w:pPr>
        <w:pStyle w:val="ListParagraph"/>
        <w:spacing w:before="240" w:after="240" w:line="360" w:lineRule="auto"/>
        <w:ind w:left="709" w:right="-71"/>
        <w:jc w:val="both"/>
        <w:rPr>
          <w:rFonts w:ascii="Arial" w:hAnsi="Arial" w:cs="Arial"/>
          <w:sz w:val="22"/>
          <w:szCs w:val="22"/>
          <w:highlight w:val="green"/>
          <w:lang w:eastAsia="en-IN"/>
        </w:rPr>
      </w:pPr>
      <w:r w:rsidRPr="009F0943">
        <w:rPr>
          <w:rFonts w:ascii="Arial" w:hAnsi="Arial" w:cs="Arial"/>
          <w:sz w:val="22"/>
          <w:szCs w:val="22"/>
          <w:highlight w:val="green"/>
          <w:lang w:eastAsia="en-IN"/>
        </w:rPr>
        <w:t>The Company has invested in the Co-generation plant project since FY 2022 on which Bank has also provided Term Loan of Rs. 9.15 crores and a corporate loan of Rs. 3.00 crores. Project is expected to be effectively implemented and operating by end of Jun-24</w:t>
      </w:r>
      <w:r>
        <w:rPr>
          <w:rFonts w:ascii="Arial" w:hAnsi="Arial" w:cs="Arial"/>
          <w:sz w:val="22"/>
          <w:szCs w:val="22"/>
          <w:highlight w:val="green"/>
          <w:lang w:eastAsia="en-IN"/>
        </w:rPr>
        <w:t>.</w:t>
      </w:r>
    </w:p>
    <w:p w14:paraId="7AC9923C" w14:textId="77777777" w:rsidR="00155B65" w:rsidRDefault="00155B65" w:rsidP="00155B65">
      <w:pPr>
        <w:pStyle w:val="ListParagraph"/>
        <w:spacing w:before="240" w:after="240" w:line="360" w:lineRule="auto"/>
        <w:ind w:left="709" w:right="-71"/>
        <w:jc w:val="both"/>
        <w:rPr>
          <w:rFonts w:ascii="Arial" w:hAnsi="Arial" w:cs="Arial"/>
          <w:sz w:val="22"/>
          <w:szCs w:val="22"/>
          <w:highlight w:val="green"/>
          <w:lang w:eastAsia="en-IN"/>
        </w:rPr>
      </w:pPr>
      <w:r w:rsidRPr="009F0943">
        <w:rPr>
          <w:rFonts w:ascii="Arial" w:hAnsi="Arial" w:cs="Arial"/>
          <w:noProof/>
          <w:sz w:val="22"/>
          <w:szCs w:val="22"/>
          <w:highlight w:val="green"/>
          <w:lang w:eastAsia="en-IN"/>
        </w:rPr>
        <mc:AlternateContent>
          <mc:Choice Requires="wps">
            <w:drawing>
              <wp:anchor distT="0" distB="0" distL="114300" distR="114300" simplePos="0" relativeHeight="251659264" behindDoc="1" locked="0" layoutInCell="1" allowOverlap="1" wp14:anchorId="43417D98" wp14:editId="427C1945">
                <wp:simplePos x="0" y="0"/>
                <wp:positionH relativeFrom="page">
                  <wp:posOffset>3763010</wp:posOffset>
                </wp:positionH>
                <wp:positionV relativeFrom="paragraph">
                  <wp:posOffset>417195</wp:posOffset>
                </wp:positionV>
                <wp:extent cx="18415" cy="164465"/>
                <wp:effectExtent l="635" t="0" r="0" b="0"/>
                <wp:wrapNone/>
                <wp:docPr id="5495975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164465"/>
                        </a:xfrm>
                        <a:prstGeom prst="rect">
                          <a:avLst/>
                        </a:prstGeom>
                        <a:solidFill>
                          <a:srgbClr val="EBEB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D0E79" id="Rectangle 5" o:spid="_x0000_s1026" style="position:absolute;margin-left:296.3pt;margin-top:32.85pt;width:1.45pt;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" fillcolor="#ebebf2" stroked="f">
                <w10:wrap anchorx="page"/>
              </v:rect>
            </w:pict>
          </mc:Fallback>
        </mc:AlternateContent>
      </w:r>
      <w:r w:rsidRPr="009F0943">
        <w:rPr>
          <w:rFonts w:ascii="Arial" w:hAnsi="Arial" w:cs="Arial"/>
          <w:sz w:val="22"/>
          <w:szCs w:val="22"/>
          <w:highlight w:val="green"/>
          <w:lang w:eastAsia="en-IN"/>
        </w:rPr>
        <w:t>In the last 3 years, the company has invested Rs 21.83 crores in Capex (as provided herein), which majorly includes investment in Turbine Plant for which the Company was also sanctioned Term Loan from your Bank. The installation and implementation of the _said project will result in more than 30% saving in its Power Cost.</w:t>
      </w:r>
    </w:p>
    <w:p w14:paraId="21FBF498" w14:textId="77777777" w:rsidR="00155B65" w:rsidRPr="007866B2" w:rsidRDefault="00155B65" w:rsidP="00155B65">
      <w:pPr>
        <w:pStyle w:val="ListParagraph"/>
        <w:spacing w:before="240" w:line="360" w:lineRule="auto"/>
        <w:ind w:left="709" w:right="-71"/>
        <w:jc w:val="right"/>
        <w:rPr>
          <w:rFonts w:ascii="Arial" w:hAnsi="Arial" w:cs="Arial"/>
          <w:i/>
          <w:iCs/>
          <w:sz w:val="22"/>
          <w:szCs w:val="22"/>
          <w:highlight w:val="green"/>
          <w:lang w:eastAsia="en-IN"/>
        </w:rPr>
      </w:pPr>
      <w:r w:rsidRPr="007866B2">
        <w:rPr>
          <w:rFonts w:ascii="Arial" w:hAnsi="Arial" w:cs="Arial"/>
          <w:i/>
          <w:iCs/>
          <w:sz w:val="22"/>
          <w:szCs w:val="22"/>
          <w:highlight w:val="green"/>
          <w:lang w:eastAsia="en-IN"/>
        </w:rPr>
        <w:t>Rs. In Crores</w:t>
      </w:r>
    </w:p>
    <w:tbl>
      <w:tblPr>
        <w:tblStyle w:val="TableGrid"/>
        <w:tblW w:w="0" w:type="auto"/>
        <w:jc w:val="center"/>
        <w:tblLook w:val="04A0" w:firstRow="1" w:lastRow="0" w:firstColumn="1" w:lastColumn="0" w:noHBand="0" w:noVBand="1"/>
      </w:tblPr>
      <w:tblGrid>
        <w:gridCol w:w="1271"/>
        <w:gridCol w:w="1134"/>
        <w:gridCol w:w="1417"/>
        <w:gridCol w:w="2127"/>
      </w:tblGrid>
      <w:tr w:rsidR="00155B65" w:rsidRPr="007866B2" w14:paraId="7D61B330" w14:textId="77777777" w:rsidTr="00817872">
        <w:trPr>
          <w:trHeight w:val="439"/>
          <w:jc w:val="center"/>
        </w:trPr>
        <w:tc>
          <w:tcPr>
            <w:tcW w:w="5949" w:type="dxa"/>
            <w:gridSpan w:val="4"/>
            <w:shd w:val="clear" w:color="auto" w:fill="002060"/>
          </w:tcPr>
          <w:p w14:paraId="59E33B2A" w14:textId="77777777" w:rsidR="00155B65" w:rsidRPr="00770892" w:rsidRDefault="00155B65" w:rsidP="00817872">
            <w:pPr>
              <w:spacing w:line="360" w:lineRule="auto"/>
              <w:ind w:right="-71"/>
              <w:jc w:val="center"/>
              <w:rPr>
                <w:rFonts w:asciiTheme="minorHAnsi" w:hAnsiTheme="minorHAnsi" w:cstheme="minorHAnsi"/>
                <w:b/>
                <w:bCs/>
                <w:sz w:val="22"/>
                <w:szCs w:val="22"/>
                <w:lang w:eastAsia="en-IN"/>
              </w:rPr>
            </w:pPr>
            <w:r w:rsidRPr="00770892">
              <w:rPr>
                <w:rFonts w:asciiTheme="minorHAnsi" w:hAnsiTheme="minorHAnsi" w:cstheme="minorHAnsi"/>
                <w:b/>
                <w:bCs/>
                <w:sz w:val="22"/>
                <w:szCs w:val="22"/>
                <w:lang w:eastAsia="en-IN"/>
              </w:rPr>
              <w:t>Details of Capital expenditure incurred and Term loan</w:t>
            </w:r>
          </w:p>
        </w:tc>
      </w:tr>
      <w:tr w:rsidR="00155B65" w:rsidRPr="007866B2" w14:paraId="7C853285" w14:textId="77777777" w:rsidTr="00817872">
        <w:trPr>
          <w:trHeight w:val="139"/>
          <w:jc w:val="center"/>
        </w:trPr>
        <w:tc>
          <w:tcPr>
            <w:tcW w:w="1271" w:type="dxa"/>
            <w:shd w:val="clear" w:color="auto" w:fill="002060"/>
          </w:tcPr>
          <w:p w14:paraId="28243F16" w14:textId="77777777" w:rsidR="00155B65" w:rsidRPr="00770892" w:rsidRDefault="00155B65" w:rsidP="00817872">
            <w:pPr>
              <w:pStyle w:val="ListParagraph"/>
              <w:spacing w:line="360" w:lineRule="auto"/>
              <w:ind w:left="0" w:right="-71"/>
              <w:jc w:val="both"/>
              <w:rPr>
                <w:rFonts w:ascii="Calibri" w:hAnsi="Calibri" w:cs="Calibri"/>
                <w:b/>
                <w:bCs/>
                <w:sz w:val="22"/>
                <w:szCs w:val="22"/>
                <w:lang w:eastAsia="en-IN"/>
              </w:rPr>
            </w:pPr>
            <w:r w:rsidRPr="00770892">
              <w:rPr>
                <w:rFonts w:ascii="Calibri" w:hAnsi="Calibri" w:cs="Calibri"/>
                <w:b/>
                <w:bCs/>
                <w:sz w:val="22"/>
                <w:szCs w:val="22"/>
                <w:lang w:eastAsia="en-IN"/>
              </w:rPr>
              <w:t>Year</w:t>
            </w:r>
          </w:p>
        </w:tc>
        <w:tc>
          <w:tcPr>
            <w:tcW w:w="1134" w:type="dxa"/>
            <w:shd w:val="clear" w:color="auto" w:fill="002060"/>
          </w:tcPr>
          <w:p w14:paraId="1194F235" w14:textId="77777777" w:rsidR="00155B65" w:rsidRPr="00770892" w:rsidRDefault="00155B65" w:rsidP="00817872">
            <w:pPr>
              <w:pStyle w:val="ListParagraph"/>
              <w:spacing w:line="360" w:lineRule="auto"/>
              <w:ind w:left="0" w:right="-71"/>
              <w:jc w:val="both"/>
              <w:rPr>
                <w:rFonts w:ascii="Calibri" w:hAnsi="Calibri" w:cs="Calibri"/>
                <w:b/>
                <w:bCs/>
                <w:sz w:val="22"/>
                <w:szCs w:val="22"/>
                <w:lang w:eastAsia="en-IN"/>
              </w:rPr>
            </w:pPr>
            <w:r w:rsidRPr="00770892">
              <w:rPr>
                <w:rFonts w:ascii="Calibri" w:hAnsi="Calibri" w:cs="Calibri"/>
                <w:b/>
                <w:bCs/>
                <w:sz w:val="22"/>
                <w:szCs w:val="22"/>
                <w:lang w:eastAsia="en-IN"/>
              </w:rPr>
              <w:t>Capex</w:t>
            </w:r>
          </w:p>
        </w:tc>
        <w:tc>
          <w:tcPr>
            <w:tcW w:w="1417" w:type="dxa"/>
            <w:shd w:val="clear" w:color="auto" w:fill="002060"/>
          </w:tcPr>
          <w:p w14:paraId="1A1C8C1C" w14:textId="77777777" w:rsidR="00155B65" w:rsidRPr="00770892" w:rsidRDefault="00155B65" w:rsidP="00817872">
            <w:pPr>
              <w:pStyle w:val="ListParagraph"/>
              <w:spacing w:line="360" w:lineRule="auto"/>
              <w:ind w:left="0" w:right="-71"/>
              <w:jc w:val="both"/>
              <w:rPr>
                <w:rFonts w:ascii="Calibri" w:hAnsi="Calibri" w:cs="Calibri"/>
                <w:b/>
                <w:bCs/>
                <w:sz w:val="22"/>
                <w:szCs w:val="22"/>
                <w:lang w:eastAsia="en-IN"/>
              </w:rPr>
            </w:pPr>
            <w:r w:rsidRPr="00770892">
              <w:rPr>
                <w:rFonts w:ascii="Calibri" w:hAnsi="Calibri" w:cs="Calibri"/>
                <w:b/>
                <w:bCs/>
                <w:sz w:val="22"/>
                <w:szCs w:val="22"/>
                <w:lang w:eastAsia="en-IN"/>
              </w:rPr>
              <w:t xml:space="preserve">Term Loan </w:t>
            </w:r>
          </w:p>
        </w:tc>
        <w:tc>
          <w:tcPr>
            <w:tcW w:w="2127" w:type="dxa"/>
            <w:shd w:val="clear" w:color="auto" w:fill="002060"/>
          </w:tcPr>
          <w:p w14:paraId="5437D222" w14:textId="77777777" w:rsidR="00155B65" w:rsidRPr="00770892" w:rsidRDefault="00155B65" w:rsidP="00817872">
            <w:pPr>
              <w:pStyle w:val="ListParagraph"/>
              <w:spacing w:line="360" w:lineRule="auto"/>
              <w:ind w:left="0" w:right="-71"/>
              <w:jc w:val="both"/>
              <w:rPr>
                <w:rFonts w:ascii="Calibri" w:hAnsi="Calibri" w:cs="Calibri"/>
                <w:b/>
                <w:bCs/>
                <w:sz w:val="22"/>
                <w:szCs w:val="22"/>
                <w:lang w:eastAsia="en-IN"/>
              </w:rPr>
            </w:pPr>
            <w:r w:rsidRPr="00770892">
              <w:rPr>
                <w:rFonts w:ascii="Calibri" w:hAnsi="Calibri" w:cs="Calibri"/>
                <w:b/>
                <w:bCs/>
                <w:sz w:val="22"/>
                <w:szCs w:val="22"/>
                <w:lang w:eastAsia="en-IN"/>
              </w:rPr>
              <w:t>GECL &amp; Corp Loan</w:t>
            </w:r>
          </w:p>
        </w:tc>
      </w:tr>
      <w:tr w:rsidR="00155B65" w:rsidRPr="007866B2" w14:paraId="5EFB43A3" w14:textId="77777777" w:rsidTr="00817872">
        <w:trPr>
          <w:trHeight w:val="139"/>
          <w:jc w:val="center"/>
        </w:trPr>
        <w:tc>
          <w:tcPr>
            <w:tcW w:w="1271" w:type="dxa"/>
            <w:shd w:val="clear" w:color="auto" w:fill="auto"/>
          </w:tcPr>
          <w:p w14:paraId="1CF02628"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FY 2021</w:t>
            </w:r>
          </w:p>
        </w:tc>
        <w:tc>
          <w:tcPr>
            <w:tcW w:w="1134" w:type="dxa"/>
            <w:shd w:val="clear" w:color="auto" w:fill="auto"/>
          </w:tcPr>
          <w:p w14:paraId="43F4A087"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1.50</w:t>
            </w:r>
          </w:p>
        </w:tc>
        <w:tc>
          <w:tcPr>
            <w:tcW w:w="1417" w:type="dxa"/>
            <w:shd w:val="clear" w:color="auto" w:fill="auto"/>
          </w:tcPr>
          <w:p w14:paraId="1ABF2646"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w:t>
            </w:r>
          </w:p>
        </w:tc>
        <w:tc>
          <w:tcPr>
            <w:tcW w:w="2127" w:type="dxa"/>
            <w:shd w:val="clear" w:color="auto" w:fill="auto"/>
          </w:tcPr>
          <w:p w14:paraId="322C0CFE"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1.46</w:t>
            </w:r>
          </w:p>
        </w:tc>
      </w:tr>
      <w:tr w:rsidR="00155B65" w:rsidRPr="007866B2" w14:paraId="030089F2" w14:textId="77777777" w:rsidTr="00817872">
        <w:trPr>
          <w:trHeight w:val="139"/>
          <w:jc w:val="center"/>
        </w:trPr>
        <w:tc>
          <w:tcPr>
            <w:tcW w:w="1271" w:type="dxa"/>
            <w:shd w:val="clear" w:color="auto" w:fill="auto"/>
          </w:tcPr>
          <w:p w14:paraId="685EBC79"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FY 2022</w:t>
            </w:r>
          </w:p>
        </w:tc>
        <w:tc>
          <w:tcPr>
            <w:tcW w:w="1134" w:type="dxa"/>
            <w:shd w:val="clear" w:color="auto" w:fill="auto"/>
          </w:tcPr>
          <w:p w14:paraId="15715C41"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5.37</w:t>
            </w:r>
          </w:p>
        </w:tc>
        <w:tc>
          <w:tcPr>
            <w:tcW w:w="1417" w:type="dxa"/>
            <w:shd w:val="clear" w:color="auto" w:fill="auto"/>
          </w:tcPr>
          <w:p w14:paraId="38ECEB7A"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2.17</w:t>
            </w:r>
          </w:p>
        </w:tc>
        <w:tc>
          <w:tcPr>
            <w:tcW w:w="2127" w:type="dxa"/>
            <w:shd w:val="clear" w:color="auto" w:fill="auto"/>
          </w:tcPr>
          <w:p w14:paraId="74127432"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0.72</w:t>
            </w:r>
          </w:p>
        </w:tc>
      </w:tr>
      <w:tr w:rsidR="00155B65" w:rsidRPr="007866B2" w14:paraId="68EBEE54" w14:textId="77777777" w:rsidTr="00817872">
        <w:trPr>
          <w:trHeight w:val="139"/>
          <w:jc w:val="center"/>
        </w:trPr>
        <w:tc>
          <w:tcPr>
            <w:tcW w:w="1271" w:type="dxa"/>
            <w:shd w:val="clear" w:color="auto" w:fill="auto"/>
          </w:tcPr>
          <w:p w14:paraId="46B8AC0E"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FY 2023</w:t>
            </w:r>
          </w:p>
        </w:tc>
        <w:tc>
          <w:tcPr>
            <w:tcW w:w="1134" w:type="dxa"/>
            <w:shd w:val="clear" w:color="auto" w:fill="auto"/>
          </w:tcPr>
          <w:p w14:paraId="35AD7632"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11.25</w:t>
            </w:r>
          </w:p>
        </w:tc>
        <w:tc>
          <w:tcPr>
            <w:tcW w:w="1417" w:type="dxa"/>
            <w:shd w:val="clear" w:color="auto" w:fill="auto"/>
          </w:tcPr>
          <w:p w14:paraId="5A9C363A"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6.55</w:t>
            </w:r>
          </w:p>
        </w:tc>
        <w:tc>
          <w:tcPr>
            <w:tcW w:w="2127" w:type="dxa"/>
            <w:shd w:val="clear" w:color="auto" w:fill="auto"/>
          </w:tcPr>
          <w:p w14:paraId="35D935A6"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w:t>
            </w:r>
          </w:p>
        </w:tc>
      </w:tr>
      <w:tr w:rsidR="00155B65" w:rsidRPr="007866B2" w14:paraId="0819F143" w14:textId="77777777" w:rsidTr="00817872">
        <w:trPr>
          <w:trHeight w:val="139"/>
          <w:jc w:val="center"/>
        </w:trPr>
        <w:tc>
          <w:tcPr>
            <w:tcW w:w="1271" w:type="dxa"/>
            <w:shd w:val="clear" w:color="auto" w:fill="auto"/>
          </w:tcPr>
          <w:p w14:paraId="3E23023A"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FY 2024</w:t>
            </w:r>
          </w:p>
        </w:tc>
        <w:tc>
          <w:tcPr>
            <w:tcW w:w="1134" w:type="dxa"/>
            <w:shd w:val="clear" w:color="auto" w:fill="auto"/>
          </w:tcPr>
          <w:p w14:paraId="6019529F"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5.21</w:t>
            </w:r>
          </w:p>
        </w:tc>
        <w:tc>
          <w:tcPr>
            <w:tcW w:w="1417" w:type="dxa"/>
            <w:shd w:val="clear" w:color="auto" w:fill="auto"/>
          </w:tcPr>
          <w:p w14:paraId="468378A6"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0.36</w:t>
            </w:r>
          </w:p>
        </w:tc>
        <w:tc>
          <w:tcPr>
            <w:tcW w:w="2127" w:type="dxa"/>
            <w:shd w:val="clear" w:color="auto" w:fill="auto"/>
          </w:tcPr>
          <w:p w14:paraId="3CB85ECF" w14:textId="77777777" w:rsidR="00155B65" w:rsidRPr="00770892" w:rsidRDefault="00155B65" w:rsidP="00817872">
            <w:pPr>
              <w:pStyle w:val="ListParagraph"/>
              <w:spacing w:line="360" w:lineRule="auto"/>
              <w:ind w:left="0" w:right="-71"/>
              <w:jc w:val="both"/>
              <w:rPr>
                <w:rFonts w:ascii="Calibri" w:hAnsi="Calibri" w:cs="Calibri"/>
                <w:sz w:val="22"/>
                <w:szCs w:val="22"/>
                <w:lang w:eastAsia="en-IN"/>
              </w:rPr>
            </w:pPr>
            <w:r w:rsidRPr="00770892">
              <w:rPr>
                <w:rFonts w:ascii="Calibri" w:hAnsi="Calibri" w:cs="Calibri"/>
                <w:sz w:val="22"/>
                <w:szCs w:val="22"/>
                <w:lang w:eastAsia="en-IN"/>
              </w:rPr>
              <w:t>2.90</w:t>
            </w:r>
          </w:p>
        </w:tc>
      </w:tr>
      <w:tr w:rsidR="00155B65" w:rsidRPr="007866B2" w14:paraId="467CF7F6" w14:textId="77777777" w:rsidTr="00817872">
        <w:trPr>
          <w:trHeight w:val="139"/>
          <w:jc w:val="center"/>
        </w:trPr>
        <w:tc>
          <w:tcPr>
            <w:tcW w:w="1271" w:type="dxa"/>
            <w:shd w:val="clear" w:color="auto" w:fill="D9E2F3" w:themeFill="accent1" w:themeFillTint="33"/>
          </w:tcPr>
          <w:p w14:paraId="66494472" w14:textId="77777777" w:rsidR="00155B65" w:rsidRPr="00770892" w:rsidRDefault="00155B65" w:rsidP="00817872">
            <w:pPr>
              <w:spacing w:line="276" w:lineRule="auto"/>
              <w:rPr>
                <w:rFonts w:asciiTheme="minorHAnsi" w:hAnsiTheme="minorHAnsi" w:cstheme="minorHAnsi"/>
                <w:b/>
                <w:bCs/>
                <w:sz w:val="22"/>
                <w:szCs w:val="22"/>
              </w:rPr>
            </w:pPr>
            <w:r w:rsidRPr="00770892">
              <w:rPr>
                <w:rFonts w:asciiTheme="minorHAnsi" w:hAnsiTheme="minorHAnsi" w:cstheme="minorHAnsi"/>
                <w:b/>
                <w:bCs/>
                <w:sz w:val="22"/>
                <w:szCs w:val="22"/>
              </w:rPr>
              <w:t xml:space="preserve">Total </w:t>
            </w:r>
          </w:p>
        </w:tc>
        <w:tc>
          <w:tcPr>
            <w:tcW w:w="1134" w:type="dxa"/>
            <w:shd w:val="clear" w:color="auto" w:fill="D9E2F3" w:themeFill="accent1" w:themeFillTint="33"/>
          </w:tcPr>
          <w:p w14:paraId="23D3B098" w14:textId="77777777" w:rsidR="00155B65" w:rsidRPr="00770892" w:rsidRDefault="00155B65" w:rsidP="00817872">
            <w:pPr>
              <w:spacing w:line="276" w:lineRule="auto"/>
              <w:rPr>
                <w:rFonts w:asciiTheme="minorHAnsi" w:hAnsiTheme="minorHAnsi" w:cstheme="minorHAnsi"/>
                <w:b/>
                <w:bCs/>
                <w:sz w:val="22"/>
                <w:szCs w:val="22"/>
              </w:rPr>
            </w:pPr>
            <w:r w:rsidRPr="00770892">
              <w:rPr>
                <w:rFonts w:asciiTheme="minorHAnsi" w:hAnsiTheme="minorHAnsi" w:cstheme="minorHAnsi"/>
                <w:b/>
                <w:bCs/>
                <w:sz w:val="22"/>
                <w:szCs w:val="22"/>
              </w:rPr>
              <w:t>23.33</w:t>
            </w:r>
          </w:p>
        </w:tc>
        <w:tc>
          <w:tcPr>
            <w:tcW w:w="1417" w:type="dxa"/>
            <w:shd w:val="clear" w:color="auto" w:fill="D9E2F3" w:themeFill="accent1" w:themeFillTint="33"/>
          </w:tcPr>
          <w:p w14:paraId="0B2A6F45" w14:textId="77777777" w:rsidR="00155B65" w:rsidRPr="00770892" w:rsidRDefault="00155B65" w:rsidP="00817872">
            <w:pPr>
              <w:spacing w:line="276" w:lineRule="auto"/>
              <w:rPr>
                <w:rFonts w:asciiTheme="minorHAnsi" w:hAnsiTheme="minorHAnsi" w:cstheme="minorHAnsi"/>
                <w:b/>
                <w:bCs/>
                <w:sz w:val="22"/>
                <w:szCs w:val="22"/>
              </w:rPr>
            </w:pPr>
            <w:r w:rsidRPr="00770892">
              <w:rPr>
                <w:rFonts w:asciiTheme="minorHAnsi" w:hAnsiTheme="minorHAnsi" w:cstheme="minorHAnsi"/>
                <w:b/>
                <w:bCs/>
                <w:sz w:val="22"/>
                <w:szCs w:val="22"/>
              </w:rPr>
              <w:t>9.09</w:t>
            </w:r>
          </w:p>
        </w:tc>
        <w:tc>
          <w:tcPr>
            <w:tcW w:w="2127" w:type="dxa"/>
            <w:shd w:val="clear" w:color="auto" w:fill="D9E2F3" w:themeFill="accent1" w:themeFillTint="33"/>
          </w:tcPr>
          <w:p w14:paraId="75FB5872" w14:textId="77777777" w:rsidR="00155B65" w:rsidRPr="00770892" w:rsidRDefault="00155B65" w:rsidP="00817872">
            <w:pPr>
              <w:spacing w:line="276" w:lineRule="auto"/>
              <w:rPr>
                <w:rFonts w:asciiTheme="minorHAnsi" w:hAnsiTheme="minorHAnsi" w:cstheme="minorHAnsi"/>
                <w:b/>
                <w:bCs/>
                <w:sz w:val="22"/>
                <w:szCs w:val="22"/>
              </w:rPr>
            </w:pPr>
            <w:r w:rsidRPr="00770892">
              <w:rPr>
                <w:rFonts w:asciiTheme="minorHAnsi" w:hAnsiTheme="minorHAnsi" w:cstheme="minorHAnsi"/>
                <w:b/>
                <w:bCs/>
                <w:sz w:val="22"/>
                <w:szCs w:val="22"/>
              </w:rPr>
              <w:t>5.08</w:t>
            </w:r>
          </w:p>
        </w:tc>
      </w:tr>
    </w:tbl>
    <w:p w14:paraId="6A781B8D" w14:textId="77777777" w:rsidR="00437F15" w:rsidRDefault="00437F15"/>
    <w:sectPr w:rsidR="00437F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B65"/>
    <w:rsid w:val="00155B65"/>
    <w:rsid w:val="00437F15"/>
    <w:rsid w:val="007D1B59"/>
    <w:rsid w:val="00900BE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B9F4B"/>
  <w15:chartTrackingRefBased/>
  <w15:docId w15:val="{85CDAB9F-4106-4B77-B6E0-AA27ED96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B65"/>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155B65"/>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9,Annexure,Heading 91,List Paragraph1,Heading 911,List Paragraph2,List Paragraph11,Heading 9111,Heading 92,Heading 93,Heading 94,Heading 91111,Heading 95,WinDForce-Letter,Report Para,Bullet 05,Heading 911111,Heading 9111111,Bullet"/>
    <w:basedOn w:val="Normal"/>
    <w:link w:val="ListParagraphChar"/>
    <w:uiPriority w:val="34"/>
    <w:qFormat/>
    <w:rsid w:val="00155B65"/>
    <w:pPr>
      <w:ind w:left="720"/>
    </w:pPr>
  </w:style>
  <w:style w:type="character" w:customStyle="1" w:styleId="ListParagraphChar">
    <w:name w:val="List Paragraph Char"/>
    <w:aliases w:val="heading 9 Char,Annexure Char,Heading 91 Char,List Paragraph1 Char,Heading 911 Char,List Paragraph2 Char,List Paragraph11 Char,Heading 9111 Char,Heading 92 Char,Heading 93 Char,Heading 94 Char,Heading 91111 Char,Heading 95 Char"/>
    <w:link w:val="ListParagraph"/>
    <w:uiPriority w:val="34"/>
    <w:qFormat/>
    <w:rsid w:val="00155B65"/>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Umair</dc:creator>
  <cp:keywords/>
  <dc:description/>
  <cp:lastModifiedBy>Mohammad Umair</cp:lastModifiedBy>
  <cp:revision>1</cp:revision>
  <dcterms:created xsi:type="dcterms:W3CDTF">2024-07-10T09:42:00Z</dcterms:created>
  <dcterms:modified xsi:type="dcterms:W3CDTF">2024-07-10T09:53:00Z</dcterms:modified>
</cp:coreProperties>
</file>