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04E3" w14:textId="77777777" w:rsidR="003B29EB" w:rsidRPr="00D67CAA" w:rsidRDefault="003B29EB" w:rsidP="00931A9C">
      <w:pPr>
        <w:jc w:val="center"/>
        <w:rPr>
          <w:rFonts w:ascii="Calibri" w:hAnsi="Calibri" w:cs="Calibri"/>
          <w:b/>
          <w:bCs/>
          <w:color w:val="0D0D0D"/>
          <w:shd w:val="clear" w:color="auto" w:fill="FFFFFF"/>
        </w:rPr>
      </w:pPr>
      <w:r w:rsidRPr="00D67CAA">
        <w:rPr>
          <w:rFonts w:ascii="Calibri" w:hAnsi="Calibri" w:cs="Calibri"/>
          <w:b/>
          <w:bCs/>
          <w:color w:val="0D0D0D"/>
          <w:shd w:val="clear" w:color="auto" w:fill="FFFFFF"/>
        </w:rPr>
        <w:t>Teaser</w:t>
      </w:r>
    </w:p>
    <w:p w14:paraId="2CB2377B" w14:textId="68C1FC89" w:rsidR="003B29EB" w:rsidRDefault="005F1B57" w:rsidP="00931A9C">
      <w:pPr>
        <w:jc w:val="center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2</w:t>
      </w:r>
      <w:r w:rsidR="00A70BA4">
        <w:rPr>
          <w:rFonts w:ascii="Calibri" w:hAnsi="Calibri" w:cs="Calibri"/>
          <w:color w:val="0D0D0D"/>
          <w:shd w:val="clear" w:color="auto" w:fill="FFFFFF"/>
        </w:rPr>
        <w:t>6</w:t>
      </w:r>
      <w:r w:rsidR="003B29EB">
        <w:rPr>
          <w:rFonts w:ascii="Calibri" w:hAnsi="Calibri" w:cs="Calibri"/>
          <w:color w:val="0D0D0D"/>
          <w:shd w:val="clear" w:color="auto" w:fill="FFFFFF"/>
        </w:rPr>
        <w:t>.0</w:t>
      </w:r>
      <w:r w:rsidR="00A70BA4">
        <w:rPr>
          <w:rFonts w:ascii="Calibri" w:hAnsi="Calibri" w:cs="Calibri"/>
          <w:color w:val="0D0D0D"/>
          <w:shd w:val="clear" w:color="auto" w:fill="FFFFFF"/>
        </w:rPr>
        <w:t>7</w:t>
      </w:r>
      <w:r w:rsidR="003B29EB">
        <w:rPr>
          <w:rFonts w:ascii="Calibri" w:hAnsi="Calibri" w:cs="Calibri"/>
          <w:color w:val="0D0D0D"/>
          <w:shd w:val="clear" w:color="auto" w:fill="FFFFFF"/>
        </w:rPr>
        <w:t>.2024</w:t>
      </w:r>
    </w:p>
    <w:p w14:paraId="4C54AD42" w14:textId="77777777" w:rsidR="003B29EB" w:rsidRDefault="003B29EB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67879E88" w14:textId="77777777" w:rsidR="003B29EB" w:rsidRDefault="003B29EB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 xml:space="preserve">Brief Background </w:t>
      </w:r>
    </w:p>
    <w:p w14:paraId="58D9B447" w14:textId="77777777" w:rsidR="003B29EB" w:rsidRDefault="003B29EB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32E5DEB6" w14:textId="77777777" w:rsidR="003B29EB" w:rsidRDefault="00B952FB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 xml:space="preserve">The </w:t>
      </w:r>
      <w:r w:rsidRPr="00B952FB">
        <w:rPr>
          <w:rFonts w:ascii="Calibri" w:hAnsi="Calibri" w:cs="Calibri"/>
          <w:color w:val="0D0D0D"/>
          <w:shd w:val="clear" w:color="auto" w:fill="FFFFFF"/>
        </w:rPr>
        <w:t xml:space="preserve">PM-KUSUM </w:t>
      </w:r>
      <w:r>
        <w:rPr>
          <w:rFonts w:ascii="Calibri" w:hAnsi="Calibri" w:cs="Calibri"/>
          <w:color w:val="0D0D0D"/>
          <w:shd w:val="clear" w:color="auto" w:fill="FFFFFF"/>
        </w:rPr>
        <w:t xml:space="preserve">Yojana </w:t>
      </w:r>
      <w:r w:rsidRPr="00B952FB">
        <w:rPr>
          <w:rFonts w:ascii="Calibri" w:hAnsi="Calibri" w:cs="Calibri"/>
          <w:color w:val="0D0D0D"/>
          <w:shd w:val="clear" w:color="auto" w:fill="FFFFFF"/>
        </w:rPr>
        <w:t xml:space="preserve">(Pradhan Mantri Kisan </w:t>
      </w:r>
      <w:proofErr w:type="spellStart"/>
      <w:r w:rsidRPr="00B952FB">
        <w:rPr>
          <w:rFonts w:ascii="Calibri" w:hAnsi="Calibri" w:cs="Calibri"/>
          <w:color w:val="0D0D0D"/>
          <w:shd w:val="clear" w:color="auto" w:fill="FFFFFF"/>
        </w:rPr>
        <w:t>Urja</w:t>
      </w:r>
      <w:proofErr w:type="spellEnd"/>
      <w:r w:rsidRPr="00B952FB">
        <w:rPr>
          <w:rFonts w:ascii="Calibri" w:hAnsi="Calibri" w:cs="Calibri"/>
          <w:color w:val="0D0D0D"/>
          <w:shd w:val="clear" w:color="auto" w:fill="FFFFFF"/>
        </w:rPr>
        <w:t xml:space="preserve"> Suraksha </w:t>
      </w:r>
      <w:proofErr w:type="spellStart"/>
      <w:r w:rsidRPr="00B952FB">
        <w:rPr>
          <w:rFonts w:ascii="Calibri" w:hAnsi="Calibri" w:cs="Calibri"/>
          <w:color w:val="0D0D0D"/>
          <w:shd w:val="clear" w:color="auto" w:fill="FFFFFF"/>
        </w:rPr>
        <w:t>evam</w:t>
      </w:r>
      <w:proofErr w:type="spellEnd"/>
      <w:r w:rsidRPr="00B952FB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B952FB">
        <w:rPr>
          <w:rFonts w:ascii="Calibri" w:hAnsi="Calibri" w:cs="Calibri"/>
          <w:color w:val="0D0D0D"/>
          <w:shd w:val="clear" w:color="auto" w:fill="FFFFFF"/>
        </w:rPr>
        <w:t>Utthaan</w:t>
      </w:r>
      <w:proofErr w:type="spellEnd"/>
      <w:r w:rsidRPr="00B952FB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B952FB">
        <w:rPr>
          <w:rFonts w:ascii="Calibri" w:hAnsi="Calibri" w:cs="Calibri"/>
          <w:color w:val="0D0D0D"/>
          <w:shd w:val="clear" w:color="auto" w:fill="FFFFFF"/>
        </w:rPr>
        <w:t>Mahabhiyan</w:t>
      </w:r>
      <w:proofErr w:type="spellEnd"/>
      <w:r w:rsidRPr="00B952FB">
        <w:rPr>
          <w:rFonts w:ascii="Calibri" w:hAnsi="Calibri" w:cs="Calibri"/>
          <w:color w:val="0D0D0D"/>
          <w:shd w:val="clear" w:color="auto" w:fill="FFFFFF"/>
        </w:rPr>
        <w:t>)</w:t>
      </w:r>
      <w:r w:rsidR="00867450">
        <w:rPr>
          <w:rFonts w:ascii="Calibri" w:hAnsi="Calibri" w:cs="Calibri"/>
          <w:color w:val="0D0D0D"/>
          <w:shd w:val="clear" w:color="auto" w:fill="FFFFFF"/>
        </w:rPr>
        <w:t xml:space="preserve"> </w:t>
      </w:r>
      <w:r>
        <w:rPr>
          <w:rFonts w:ascii="Calibri" w:hAnsi="Calibri" w:cs="Calibri"/>
          <w:color w:val="0D0D0D"/>
          <w:shd w:val="clear" w:color="auto" w:fill="FFFFFF"/>
        </w:rPr>
        <w:t>is a</w:t>
      </w:r>
      <w:r w:rsidR="007364CD">
        <w:rPr>
          <w:rFonts w:ascii="Calibri" w:hAnsi="Calibri" w:cs="Calibri"/>
          <w:color w:val="0D0D0D"/>
          <w:shd w:val="clear" w:color="auto" w:fill="FFFFFF"/>
        </w:rPr>
        <w:t xml:space="preserve">n </w:t>
      </w:r>
      <w:r>
        <w:rPr>
          <w:rFonts w:ascii="Calibri" w:hAnsi="Calibri" w:cs="Calibri"/>
          <w:color w:val="0D0D0D"/>
          <w:shd w:val="clear" w:color="auto" w:fill="FFFFFF"/>
        </w:rPr>
        <w:t xml:space="preserve">initiative launched by the Hon’ble Prime Minister </w:t>
      </w:r>
      <w:r w:rsidR="00867450">
        <w:rPr>
          <w:rFonts w:ascii="Calibri" w:hAnsi="Calibri" w:cs="Calibri"/>
          <w:color w:val="0D0D0D"/>
          <w:shd w:val="clear" w:color="auto" w:fill="FFFFFF"/>
        </w:rPr>
        <w:t xml:space="preserve">and the Ministry of New and Renewable Energy (MNRE) </w:t>
      </w:r>
      <w:r>
        <w:rPr>
          <w:rFonts w:ascii="Calibri" w:hAnsi="Calibri" w:cs="Calibri"/>
          <w:color w:val="0D0D0D"/>
          <w:shd w:val="clear" w:color="auto" w:fill="FFFFFF"/>
        </w:rPr>
        <w:t>in 2019, to empower farmers and promote distributed renewable energy in the agricultural sector.</w:t>
      </w:r>
    </w:p>
    <w:p w14:paraId="379DBA91" w14:textId="77777777" w:rsidR="00931A9C" w:rsidRDefault="00931A9C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390B2D56" w14:textId="77777777" w:rsidR="00931A9C" w:rsidRPr="003B29EB" w:rsidRDefault="00931A9C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Component C of the PM-Kusum Yojana aims at solarization of grid connected agriculture pumps including Feeder Level Solarization, in order to provide reliable day-time solar power to farmers.</w:t>
      </w:r>
    </w:p>
    <w:p w14:paraId="7CD6FBDA" w14:textId="77777777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5E88E290" w14:textId="1DA695F7" w:rsidR="007364CD" w:rsidRPr="008F481D" w:rsidRDefault="007364CD" w:rsidP="00931A9C">
      <w:pPr>
        <w:jc w:val="both"/>
      </w:pPr>
      <w:r>
        <w:t xml:space="preserve">Under the PM Kusum Scheme </w:t>
      </w:r>
      <w:r w:rsidR="00E8517A">
        <w:t xml:space="preserve">(Component C) </w:t>
      </w:r>
      <w:r>
        <w:t xml:space="preserve">of </w:t>
      </w:r>
      <w:r w:rsidR="00E8517A">
        <w:t xml:space="preserve">the </w:t>
      </w:r>
      <w:r>
        <w:t xml:space="preserve">Central Government, </w:t>
      </w:r>
      <w:r w:rsidR="00931A9C" w:rsidRPr="0080140A">
        <w:t xml:space="preserve">Jodhpur Vidyut </w:t>
      </w:r>
      <w:proofErr w:type="spellStart"/>
      <w:r w:rsidR="00931A9C" w:rsidRPr="0080140A">
        <w:t>Vitran</w:t>
      </w:r>
      <w:proofErr w:type="spellEnd"/>
      <w:r w:rsidR="00931A9C" w:rsidRPr="0080140A">
        <w:t xml:space="preserve"> Nigam Limited</w:t>
      </w:r>
      <w:r w:rsidR="00931A9C">
        <w:t xml:space="preserve"> (JDVVNL), on 5</w:t>
      </w:r>
      <w:r w:rsidR="00931A9C" w:rsidRPr="0080140A">
        <w:rPr>
          <w:vertAlign w:val="superscript"/>
        </w:rPr>
        <w:t>th</w:t>
      </w:r>
      <w:r w:rsidR="00931A9C">
        <w:t xml:space="preserve"> October 2023, invited bids for setting up grid connected </w:t>
      </w:r>
      <w:r w:rsidR="00931A9C" w:rsidRPr="008F481D">
        <w:t xml:space="preserve">solar plants in the </w:t>
      </w:r>
      <w:proofErr w:type="spellStart"/>
      <w:r w:rsidR="00931A9C" w:rsidRPr="008F481D">
        <w:t>Aau</w:t>
      </w:r>
      <w:proofErr w:type="spellEnd"/>
      <w:r w:rsidR="00931A9C" w:rsidRPr="008F481D">
        <w:t xml:space="preserve"> and Bap sub-divisions of </w:t>
      </w:r>
      <w:proofErr w:type="spellStart"/>
      <w:r w:rsidR="00931A9C" w:rsidRPr="008F481D">
        <w:t>Phalodi</w:t>
      </w:r>
      <w:proofErr w:type="spellEnd"/>
      <w:r w:rsidR="00931A9C" w:rsidRPr="008F481D">
        <w:t xml:space="preserve"> division (NIT No. JDVVNL/ SE(RA&amp;C)/ TN-DSM-53). M</w:t>
      </w:r>
      <w:r w:rsidR="0048528F" w:rsidRPr="008F481D">
        <w:t>s</w:t>
      </w:r>
      <w:r w:rsidR="00931A9C" w:rsidRPr="008F481D">
        <w:t xml:space="preserve">. </w:t>
      </w:r>
      <w:proofErr w:type="spellStart"/>
      <w:r w:rsidR="0048528F" w:rsidRPr="008F481D">
        <w:t>Tripta</w:t>
      </w:r>
      <w:proofErr w:type="spellEnd"/>
      <w:r w:rsidRPr="008F481D">
        <w:t xml:space="preserve"> </w:t>
      </w:r>
      <w:proofErr w:type="spellStart"/>
      <w:r w:rsidRPr="008F481D">
        <w:t>Tanwar</w:t>
      </w:r>
      <w:proofErr w:type="spellEnd"/>
      <w:r w:rsidR="00931A9C" w:rsidRPr="008F481D">
        <w:t xml:space="preserve">, in </w:t>
      </w:r>
      <w:r w:rsidR="0048528F" w:rsidRPr="008F481D">
        <w:t>her</w:t>
      </w:r>
      <w:r w:rsidR="00931A9C" w:rsidRPr="008F481D">
        <w:t xml:space="preserve"> personal capacity, </w:t>
      </w:r>
      <w:r w:rsidRPr="008F481D">
        <w:t xml:space="preserve">applied for </w:t>
      </w:r>
      <w:r w:rsidR="00931A9C" w:rsidRPr="008F481D">
        <w:t>the tender</w:t>
      </w:r>
      <w:r w:rsidRPr="008F481D">
        <w:t xml:space="preserve"> and </w:t>
      </w:r>
      <w:r w:rsidR="00931A9C" w:rsidRPr="008F481D">
        <w:t xml:space="preserve">emerged as the successful bidder in </w:t>
      </w:r>
      <w:r w:rsidR="0048528F" w:rsidRPr="008F481D">
        <w:t>8</w:t>
      </w:r>
      <w:r w:rsidR="00931A9C" w:rsidRPr="008F481D">
        <w:t xml:space="preserve"> projects with a cumulative capacity of </w:t>
      </w:r>
      <w:r w:rsidR="0048528F" w:rsidRPr="008F481D">
        <w:t>27.04</w:t>
      </w:r>
      <w:r w:rsidR="00931A9C" w:rsidRPr="008F481D">
        <w:t xml:space="preserve"> </w:t>
      </w:r>
      <w:proofErr w:type="spellStart"/>
      <w:r w:rsidR="00931A9C" w:rsidRPr="008F481D">
        <w:t>MW</w:t>
      </w:r>
      <w:r w:rsidR="0048528F" w:rsidRPr="008F481D">
        <w:t>ac</w:t>
      </w:r>
      <w:proofErr w:type="spellEnd"/>
      <w:r w:rsidR="00931A9C" w:rsidRPr="008F481D">
        <w:t xml:space="preserve">. </w:t>
      </w:r>
    </w:p>
    <w:p w14:paraId="44689EA1" w14:textId="77777777" w:rsidR="007364CD" w:rsidRPr="008F481D" w:rsidRDefault="007364CD" w:rsidP="00931A9C">
      <w:pPr>
        <w:jc w:val="both"/>
      </w:pPr>
    </w:p>
    <w:p w14:paraId="7C9A6B0A" w14:textId="605E40F4" w:rsidR="00931A9C" w:rsidRPr="008F481D" w:rsidRDefault="00931A9C" w:rsidP="00931A9C">
      <w:pPr>
        <w:jc w:val="both"/>
      </w:pPr>
      <w:r w:rsidRPr="008F481D">
        <w:t>JDVVNL placed the Letter of Award (LOA) vide its letter with ref. no. JDVVNL/CE(HQ)/SE(RA&amp;C)/RE-DSM/TN-DSM-53/LOA No. 46</w:t>
      </w:r>
      <w:r w:rsidR="0048528F" w:rsidRPr="008F481D">
        <w:t>0</w:t>
      </w:r>
      <w:r w:rsidRPr="008F481D">
        <w:t>/ D. 43</w:t>
      </w:r>
      <w:r w:rsidR="0048528F" w:rsidRPr="008F481D">
        <w:t>83</w:t>
      </w:r>
      <w:r w:rsidRPr="008F481D">
        <w:t xml:space="preserve"> dated 16.03.2024. </w:t>
      </w:r>
    </w:p>
    <w:p w14:paraId="4640FE25" w14:textId="77777777" w:rsidR="00931A9C" w:rsidRPr="008F481D" w:rsidRDefault="00931A9C" w:rsidP="00931A9C">
      <w:pPr>
        <w:jc w:val="both"/>
      </w:pPr>
    </w:p>
    <w:p w14:paraId="46629F97" w14:textId="77777777" w:rsidR="00F23166" w:rsidRPr="008F481D" w:rsidRDefault="007364CD" w:rsidP="00931A9C">
      <w:pPr>
        <w:jc w:val="both"/>
        <w:rPr>
          <w:b/>
          <w:bCs/>
        </w:rPr>
      </w:pPr>
      <w:r w:rsidRPr="008F481D">
        <w:rPr>
          <w:b/>
          <w:bCs/>
        </w:rPr>
        <w:t>Project SPV</w:t>
      </w:r>
    </w:p>
    <w:p w14:paraId="50914F01" w14:textId="22DC5748" w:rsidR="00575145" w:rsidRPr="008F481D" w:rsidRDefault="00903C30" w:rsidP="00931A9C">
      <w:pPr>
        <w:jc w:val="both"/>
      </w:pPr>
      <w:r w:rsidRPr="008F481D">
        <w:t xml:space="preserve">As allowed vide Clause </w:t>
      </w:r>
      <w:r w:rsidR="00AD5D51" w:rsidRPr="008F481D">
        <w:t>4</w:t>
      </w:r>
      <w:r w:rsidRPr="008F481D">
        <w:t xml:space="preserve"> of the LOA, </w:t>
      </w:r>
      <w:r w:rsidR="00C95190" w:rsidRPr="008F481D">
        <w:t>the plants will be developed in multiple special purpose vehicles.</w:t>
      </w:r>
      <w:r w:rsidR="00575145" w:rsidRPr="008F481D">
        <w:t xml:space="preserve"> </w:t>
      </w:r>
      <w:r w:rsidR="00C95190" w:rsidRPr="008F481D">
        <w:t xml:space="preserve">The following projects are being developed by the company Prerak </w:t>
      </w:r>
      <w:r w:rsidR="005816B2">
        <w:t>Wind Energy</w:t>
      </w:r>
      <w:r w:rsidR="00C95190" w:rsidRPr="008F481D">
        <w:t xml:space="preserve"> Private Limited.</w:t>
      </w:r>
    </w:p>
    <w:p w14:paraId="688BDE00" w14:textId="77777777" w:rsidR="00C95190" w:rsidRPr="008F481D" w:rsidRDefault="00C95190" w:rsidP="00931A9C">
      <w:pPr>
        <w:jc w:val="both"/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2552"/>
        <w:gridCol w:w="1701"/>
      </w:tblGrid>
      <w:tr w:rsidR="00C95190" w:rsidRPr="008F481D" w14:paraId="3E9D5303" w14:textId="77777777" w:rsidTr="004D20A6">
        <w:trPr>
          <w:trHeight w:val="5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0269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32D5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33/11 KV SUBSTATION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A87" w14:textId="2240F678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Project CAPACITY (</w:t>
            </w:r>
            <w:proofErr w:type="spellStart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MWac</w:t>
            </w:r>
            <w:proofErr w:type="spellEnd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7E57" w14:textId="313C0DAC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DC Capacity of the plant (</w:t>
            </w:r>
            <w:proofErr w:type="spellStart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MWdc</w:t>
            </w:r>
            <w:proofErr w:type="spellEnd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7592AC83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(with 40% loading)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6C9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Tariff as per </w:t>
            </w:r>
            <w:proofErr w:type="spellStart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LoA</w:t>
            </w:r>
            <w:proofErr w:type="spellEnd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69B6F9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gramStart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Rs./</w:t>
            </w:r>
            <w:proofErr w:type="gramEnd"/>
            <w:r w:rsidRPr="008F481D">
              <w:rPr>
                <w:rFonts w:ascii="Calibri" w:hAnsi="Calibri" w:cs="Calibri"/>
                <w:b/>
                <w:bCs/>
                <w:sz w:val="22"/>
                <w:szCs w:val="22"/>
              </w:rPr>
              <w:t>Unit)</w:t>
            </w:r>
          </w:p>
        </w:tc>
      </w:tr>
      <w:tr w:rsidR="00C95190" w:rsidRPr="008F481D" w14:paraId="74002DC0" w14:textId="77777777" w:rsidTr="004D20A6">
        <w:trPr>
          <w:trHeight w:val="34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66ACA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92EA" w14:textId="6EA72654" w:rsidR="00C95190" w:rsidRPr="008F481D" w:rsidRDefault="008D3CAC" w:rsidP="004D20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214" w14:textId="42FB5DFF" w:rsidR="00C95190" w:rsidRPr="008F481D" w:rsidRDefault="00C95190" w:rsidP="004D2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1D"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3684" w14:textId="3EF2339F" w:rsidR="00C95190" w:rsidRPr="008F481D" w:rsidRDefault="00C95190" w:rsidP="004D2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1D">
              <w:rPr>
                <w:rFonts w:ascii="Calibri" w:hAnsi="Calibri" w:cs="Calibri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12FC" w14:textId="77777777" w:rsidR="00C95190" w:rsidRPr="008F481D" w:rsidRDefault="00C95190" w:rsidP="004D2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81D">
              <w:rPr>
                <w:rFonts w:ascii="Calibri" w:hAnsi="Calibri" w:cs="Calibri"/>
                <w:color w:val="000000"/>
                <w:sz w:val="22"/>
                <w:szCs w:val="22"/>
              </w:rPr>
              <w:t>2.970</w:t>
            </w:r>
          </w:p>
        </w:tc>
      </w:tr>
    </w:tbl>
    <w:p w14:paraId="538B5858" w14:textId="77777777" w:rsidR="00C95190" w:rsidRPr="008F481D" w:rsidRDefault="00C95190" w:rsidP="00931A9C">
      <w:pPr>
        <w:jc w:val="both"/>
      </w:pPr>
    </w:p>
    <w:p w14:paraId="7190A975" w14:textId="77777777" w:rsidR="00575145" w:rsidRPr="008F481D" w:rsidRDefault="00575145" w:rsidP="00931A9C">
      <w:pPr>
        <w:jc w:val="both"/>
      </w:pPr>
    </w:p>
    <w:p w14:paraId="55C1F460" w14:textId="15EAB1D8" w:rsidR="00AF785F" w:rsidRPr="008F481D" w:rsidRDefault="00575145" w:rsidP="00931A9C">
      <w:pPr>
        <w:jc w:val="both"/>
      </w:pPr>
      <w:r w:rsidRPr="008F481D">
        <w:t>Shareholding Patten</w:t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Pr="008F481D">
        <w:t xml:space="preserve">(as on </w:t>
      </w:r>
      <w:r w:rsidR="00FD21FB">
        <w:t>26</w:t>
      </w:r>
      <w:r w:rsidRPr="008F481D">
        <w:t>-</w:t>
      </w:r>
      <w:r w:rsidR="00FD21FB">
        <w:t>07</w:t>
      </w:r>
      <w:r w:rsidRPr="008F481D">
        <w:t>-2024)</w:t>
      </w:r>
    </w:p>
    <w:p w14:paraId="0CC8DEEB" w14:textId="77777777" w:rsidR="00AF785F" w:rsidRPr="008F481D" w:rsidRDefault="00AF785F" w:rsidP="00931A9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127"/>
      </w:tblGrid>
      <w:tr w:rsidR="00AF785F" w:rsidRPr="008F481D" w14:paraId="5E09343E" w14:textId="77777777" w:rsidTr="008670D8">
        <w:tc>
          <w:tcPr>
            <w:tcW w:w="846" w:type="dxa"/>
          </w:tcPr>
          <w:p w14:paraId="111CA142" w14:textId="77777777" w:rsidR="00AF785F" w:rsidRPr="008F481D" w:rsidRDefault="00AF785F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81D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S No.</w:t>
            </w:r>
          </w:p>
        </w:tc>
        <w:tc>
          <w:tcPr>
            <w:tcW w:w="3118" w:type="dxa"/>
          </w:tcPr>
          <w:p w14:paraId="12632A2F" w14:textId="77777777" w:rsidR="00AF785F" w:rsidRPr="008F481D" w:rsidRDefault="00AF785F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81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</w:tcPr>
          <w:p w14:paraId="01561250" w14:textId="77777777" w:rsidR="00AF785F" w:rsidRPr="008F481D" w:rsidRDefault="00AF785F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81D">
              <w:rPr>
                <w:rFonts w:asciiTheme="minorHAnsi" w:hAnsiTheme="minorHAnsi" w:cstheme="minorHAnsi"/>
                <w:sz w:val="22"/>
                <w:szCs w:val="22"/>
              </w:rPr>
              <w:t xml:space="preserve">Number of Shares </w:t>
            </w:r>
          </w:p>
        </w:tc>
      </w:tr>
      <w:tr w:rsidR="00AF785F" w:rsidRPr="008F481D" w14:paraId="5DF93DA3" w14:textId="77777777" w:rsidTr="008670D8">
        <w:tc>
          <w:tcPr>
            <w:tcW w:w="846" w:type="dxa"/>
          </w:tcPr>
          <w:p w14:paraId="22261CAC" w14:textId="77777777" w:rsidR="00AF785F" w:rsidRPr="008F481D" w:rsidRDefault="00AF785F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8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2B26B1E0" w14:textId="76CCC47B" w:rsidR="00AF785F" w:rsidRPr="008F481D" w:rsidRDefault="007A6AC1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Tripta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Tanwar</w:t>
            </w:r>
            <w:proofErr w:type="spellEnd"/>
          </w:p>
        </w:tc>
        <w:tc>
          <w:tcPr>
            <w:tcW w:w="2127" w:type="dxa"/>
          </w:tcPr>
          <w:p w14:paraId="0682AB7B" w14:textId="344E7EB4" w:rsidR="00AF785F" w:rsidRPr="008F481D" w:rsidRDefault="007A6AC1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5100 (51%)</w:t>
            </w:r>
          </w:p>
        </w:tc>
      </w:tr>
      <w:tr w:rsidR="00AF785F" w:rsidRPr="008F481D" w14:paraId="7C2275D3" w14:textId="77777777" w:rsidTr="008670D8">
        <w:tc>
          <w:tcPr>
            <w:tcW w:w="846" w:type="dxa"/>
          </w:tcPr>
          <w:p w14:paraId="3DBE79A5" w14:textId="77777777" w:rsidR="00AF785F" w:rsidRPr="008F481D" w:rsidRDefault="00AF785F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48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F4D8A34" w14:textId="588FEF3B" w:rsidR="00AF785F" w:rsidRPr="008F481D" w:rsidRDefault="007A6AC1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Aright Renewable Enterprise LLP</w:t>
            </w:r>
          </w:p>
        </w:tc>
        <w:tc>
          <w:tcPr>
            <w:tcW w:w="2127" w:type="dxa"/>
          </w:tcPr>
          <w:p w14:paraId="6CBBCFDE" w14:textId="4E2CBA25" w:rsidR="00AF785F" w:rsidRPr="008F481D" w:rsidRDefault="007A6AC1" w:rsidP="00931A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4900</w:t>
            </w:r>
            <w:r w:rsidR="00AF785F" w:rsidRPr="008F481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49%</w:t>
            </w:r>
            <w:r w:rsidR="00AF785F" w:rsidRPr="008F481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510F1B5C" w14:textId="77777777" w:rsidR="00575145" w:rsidRPr="008F481D" w:rsidRDefault="00575145" w:rsidP="00931A9C">
      <w:pPr>
        <w:jc w:val="both"/>
      </w:pPr>
    </w:p>
    <w:p w14:paraId="4B996E11" w14:textId="4CBF97B8" w:rsidR="001943B3" w:rsidRPr="008F481D" w:rsidRDefault="00575145" w:rsidP="00931A9C">
      <w:pPr>
        <w:jc w:val="both"/>
      </w:pPr>
      <w:r w:rsidRPr="008F481D">
        <w:t xml:space="preserve">Directors </w:t>
      </w:r>
      <w:r w:rsidR="001943B3" w:rsidRPr="008F481D">
        <w:t xml:space="preserve">– </w:t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</w:r>
      <w:r w:rsidR="00AF785F" w:rsidRPr="008F481D">
        <w:tab/>
        <w:t xml:space="preserve">(as on </w:t>
      </w:r>
      <w:r w:rsidR="00FD21FB">
        <w:t>26</w:t>
      </w:r>
      <w:r w:rsidR="00AF785F" w:rsidRPr="008F481D">
        <w:t>-</w:t>
      </w:r>
      <w:r w:rsidR="00FD21FB">
        <w:t>07</w:t>
      </w:r>
      <w:r w:rsidR="00AF785F" w:rsidRPr="008F481D">
        <w:t>-2024)</w:t>
      </w:r>
    </w:p>
    <w:p w14:paraId="58204D41" w14:textId="77777777" w:rsidR="00AF785F" w:rsidRPr="008F481D" w:rsidRDefault="00AF785F" w:rsidP="00931A9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2100"/>
        <w:gridCol w:w="1985"/>
        <w:gridCol w:w="2268"/>
      </w:tblGrid>
      <w:tr w:rsidR="00AF785F" w:rsidRPr="008F481D" w14:paraId="0EEA9824" w14:textId="77777777" w:rsidTr="00AF785F">
        <w:tc>
          <w:tcPr>
            <w:tcW w:w="730" w:type="dxa"/>
          </w:tcPr>
          <w:p w14:paraId="6A40909A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S No.</w:t>
            </w:r>
          </w:p>
        </w:tc>
        <w:tc>
          <w:tcPr>
            <w:tcW w:w="2100" w:type="dxa"/>
          </w:tcPr>
          <w:p w14:paraId="49F8438E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985" w:type="dxa"/>
          </w:tcPr>
          <w:p w14:paraId="54446FBB" w14:textId="77777777" w:rsidR="00AF785F" w:rsidRPr="008B43DB" w:rsidRDefault="00AF785F" w:rsidP="0039686A">
            <w:pPr>
              <w:jc w:val="both"/>
              <w:rPr>
                <w:rFonts w:cstheme="minorHAnsi"/>
                <w:sz w:val="22"/>
                <w:szCs w:val="22"/>
              </w:rPr>
            </w:pPr>
            <w:r w:rsidRPr="008B43DB">
              <w:rPr>
                <w:rFonts w:cstheme="minorHAnsi"/>
                <w:sz w:val="22"/>
                <w:szCs w:val="22"/>
              </w:rPr>
              <w:t>DIN</w:t>
            </w:r>
          </w:p>
        </w:tc>
        <w:tc>
          <w:tcPr>
            <w:tcW w:w="2268" w:type="dxa"/>
          </w:tcPr>
          <w:p w14:paraId="607F4E45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Date of Appointment</w:t>
            </w:r>
          </w:p>
        </w:tc>
      </w:tr>
      <w:tr w:rsidR="00AF785F" w:rsidRPr="00A70BA4" w14:paraId="0D1D5645" w14:textId="77777777" w:rsidTr="00AF785F">
        <w:tc>
          <w:tcPr>
            <w:tcW w:w="730" w:type="dxa"/>
          </w:tcPr>
          <w:p w14:paraId="58DB6635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73ECE3E1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Mr. Karan Tanwar</w:t>
            </w:r>
          </w:p>
        </w:tc>
        <w:tc>
          <w:tcPr>
            <w:tcW w:w="1985" w:type="dxa"/>
          </w:tcPr>
          <w:p w14:paraId="61EF2CC4" w14:textId="77777777" w:rsidR="00AF785F" w:rsidRPr="008B43DB" w:rsidRDefault="00AF785F" w:rsidP="0039686A">
            <w:pPr>
              <w:jc w:val="both"/>
              <w:rPr>
                <w:rFonts w:cstheme="minorHAnsi"/>
                <w:sz w:val="22"/>
                <w:szCs w:val="22"/>
              </w:rPr>
            </w:pPr>
            <w:r w:rsidRPr="008B43DB">
              <w:rPr>
                <w:rFonts w:cstheme="minorHAnsi"/>
                <w:sz w:val="22"/>
                <w:szCs w:val="22"/>
              </w:rPr>
              <w:t>03090027</w:t>
            </w:r>
          </w:p>
        </w:tc>
        <w:tc>
          <w:tcPr>
            <w:tcW w:w="2268" w:type="dxa"/>
          </w:tcPr>
          <w:p w14:paraId="2F9548F9" w14:textId="76765869" w:rsidR="00AF785F" w:rsidRPr="008B43DB" w:rsidRDefault="00E6039E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2F4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1A2F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/2022</w:t>
            </w:r>
          </w:p>
        </w:tc>
      </w:tr>
      <w:tr w:rsidR="00AF785F" w14:paraId="42C7AF47" w14:textId="77777777" w:rsidTr="00AF785F">
        <w:tc>
          <w:tcPr>
            <w:tcW w:w="730" w:type="dxa"/>
          </w:tcPr>
          <w:p w14:paraId="3983586D" w14:textId="77777777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14:paraId="7EE432BF" w14:textId="72C75EF0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 xml:space="preserve">Mr. </w:t>
            </w:r>
            <w:r w:rsidR="00E6039E" w:rsidRPr="008B43DB">
              <w:rPr>
                <w:rFonts w:asciiTheme="minorHAnsi" w:hAnsiTheme="minorHAnsi" w:cstheme="minorHAnsi"/>
                <w:sz w:val="22"/>
                <w:szCs w:val="22"/>
              </w:rPr>
              <w:t>Ajay Peri</w:t>
            </w:r>
          </w:p>
        </w:tc>
        <w:tc>
          <w:tcPr>
            <w:tcW w:w="1985" w:type="dxa"/>
          </w:tcPr>
          <w:p w14:paraId="137BD1D6" w14:textId="7CC10BA7" w:rsidR="00AF785F" w:rsidRPr="008B43DB" w:rsidRDefault="00E6039E" w:rsidP="0039686A">
            <w:pPr>
              <w:jc w:val="both"/>
              <w:rPr>
                <w:rFonts w:cstheme="minorHAnsi"/>
                <w:sz w:val="22"/>
                <w:szCs w:val="22"/>
              </w:rPr>
            </w:pPr>
            <w:r w:rsidRPr="008B43DB">
              <w:rPr>
                <w:rFonts w:cstheme="minorHAnsi"/>
                <w:sz w:val="22"/>
                <w:szCs w:val="22"/>
              </w:rPr>
              <w:t>10636191</w:t>
            </w:r>
          </w:p>
        </w:tc>
        <w:tc>
          <w:tcPr>
            <w:tcW w:w="2268" w:type="dxa"/>
          </w:tcPr>
          <w:p w14:paraId="102DA961" w14:textId="42AEA7FF" w:rsidR="00AF785F" w:rsidRPr="008B43DB" w:rsidRDefault="00AF785F" w:rsidP="003968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2F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E6039E" w:rsidRPr="008B43D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B43DB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</w:tr>
    </w:tbl>
    <w:p w14:paraId="59487EC4" w14:textId="77777777" w:rsidR="00F23166" w:rsidRDefault="00F23166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4D3410E0" w14:textId="0BF316D4" w:rsidR="00214AB1" w:rsidRDefault="00A70BA4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>Group</w:t>
      </w:r>
      <w:r w:rsidR="00214AB1">
        <w:rPr>
          <w:rFonts w:ascii="Calibri" w:hAnsi="Calibri" w:cs="Calibri"/>
          <w:b/>
          <w:bCs/>
          <w:color w:val="0D0D0D"/>
          <w:shd w:val="clear" w:color="auto" w:fill="FFFFFF"/>
        </w:rPr>
        <w:t xml:space="preserve"> Background</w:t>
      </w:r>
    </w:p>
    <w:p w14:paraId="6178475A" w14:textId="77777777" w:rsidR="00F23166" w:rsidRDefault="00F23166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0DFD31F0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  <w:r w:rsidRPr="0070226C">
        <w:rPr>
          <w:rFonts w:ascii="Calibri" w:hAnsi="Calibri" w:cs="Calibri"/>
          <w:color w:val="0D0D0D"/>
          <w:shd w:val="clear" w:color="auto" w:fill="FFFFFF"/>
        </w:rPr>
        <w:t>The Aright Group has extensive experience of executing large utility scale projects.</w:t>
      </w:r>
    </w:p>
    <w:p w14:paraId="45718779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2F670B25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  <w:r w:rsidRPr="0070226C">
        <w:rPr>
          <w:rFonts w:ascii="Calibri" w:hAnsi="Calibri" w:cs="Calibri"/>
          <w:color w:val="0D0D0D"/>
          <w:shd w:val="clear" w:color="auto" w:fill="FFFFFF"/>
        </w:rPr>
        <w:t xml:space="preserve">In 2016-17, as a strategic co-investor along with like-minded national and FDI investors, the Group conceptualized, funded, executed and operated a 175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MWdc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solar project in the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Bhadla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Solar Park in Rajasthan. The project had a power purchase agreement with NTPC. Aright carried out the operation and maintenance for the project for 3 years till 2020, before monetizing the project to deploy capital in more productive and new opportunities. </w:t>
      </w:r>
    </w:p>
    <w:p w14:paraId="1F234A48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27E57CB5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  <w:r w:rsidRPr="0070226C">
        <w:rPr>
          <w:rFonts w:ascii="Calibri" w:hAnsi="Calibri" w:cs="Calibri"/>
          <w:color w:val="0D0D0D"/>
          <w:shd w:val="clear" w:color="auto" w:fill="FFFFFF"/>
        </w:rPr>
        <w:t xml:space="preserve">Aright has recently finished the development of a 400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MWac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/ 550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MWdc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Solar Park in Bikaner Rajasthan, in collaboration with Brookfield Renewable. The Group aggregated 1765 acres of contiguous land for the Solar Park, and in a record timeline of less than 10 months, it constructed the requisite Solar Park infrastructure required for setting up of solar projects, including a ~28 km boundary wall, a 220kV/ 33kV pooling substation (switchyard), and a 11 km 220 kV transmission line. The Solar Park was commissioned in February 2024.</w:t>
      </w:r>
    </w:p>
    <w:p w14:paraId="29EDE959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271DBAA6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  <w:r w:rsidRPr="0070226C">
        <w:rPr>
          <w:rFonts w:ascii="Calibri" w:hAnsi="Calibri" w:cs="Calibri"/>
          <w:color w:val="0D0D0D"/>
          <w:shd w:val="clear" w:color="auto" w:fill="FFFFFF"/>
        </w:rPr>
        <w:t xml:space="preserve">The group is currently developing two more solar parks. A 400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MWac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/ 550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MWdc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Solar Park connected to the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Bhadla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-III ISTS substation and located in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Vilalge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Nokh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, District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Phalodi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, Rajasthan, is being developed in collaboration with Brookfield Renewable, and is slated to be commissioned in August 2025. </w:t>
      </w:r>
    </w:p>
    <w:p w14:paraId="3A8E3870" w14:textId="77777777" w:rsidR="0070226C" w:rsidRP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527B1A2E" w14:textId="7D17FB1F" w:rsidR="0070226C" w:rsidRDefault="0070226C" w:rsidP="0070226C">
      <w:pPr>
        <w:jc w:val="both"/>
        <w:rPr>
          <w:rFonts w:ascii="Calibri" w:hAnsi="Calibri" w:cs="Calibri"/>
          <w:color w:val="0D0D0D"/>
          <w:shd w:val="clear" w:color="auto" w:fill="FFFFFF"/>
        </w:rPr>
      </w:pPr>
      <w:r w:rsidRPr="0070226C">
        <w:rPr>
          <w:rFonts w:ascii="Calibri" w:hAnsi="Calibri" w:cs="Calibri"/>
          <w:color w:val="0D0D0D"/>
          <w:shd w:val="clear" w:color="auto" w:fill="FFFFFF"/>
        </w:rPr>
        <w:t xml:space="preserve">Further, the group is developing another 400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MWac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/ 550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MWdc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Solar Park in Village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Netawaton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 xml:space="preserve"> ki Dhani, District Bikaner, Rajasthan, which also has been granted connectivity to the </w:t>
      </w:r>
      <w:proofErr w:type="spellStart"/>
      <w:r w:rsidRPr="0070226C">
        <w:rPr>
          <w:rFonts w:ascii="Calibri" w:hAnsi="Calibri" w:cs="Calibri"/>
          <w:color w:val="0D0D0D"/>
          <w:shd w:val="clear" w:color="auto" w:fill="FFFFFF"/>
        </w:rPr>
        <w:t>Bhadla</w:t>
      </w:r>
      <w:proofErr w:type="spellEnd"/>
      <w:r w:rsidRPr="0070226C">
        <w:rPr>
          <w:rFonts w:ascii="Calibri" w:hAnsi="Calibri" w:cs="Calibri"/>
          <w:color w:val="0D0D0D"/>
          <w:shd w:val="clear" w:color="auto" w:fill="FFFFFF"/>
        </w:rPr>
        <w:t>-III ISTS substation and is slated to be commissioned in 2027-28.</w:t>
      </w:r>
    </w:p>
    <w:p w14:paraId="5689B522" w14:textId="77777777" w:rsidR="00575145" w:rsidRDefault="00575145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7BF6B56F" w14:textId="77777777" w:rsidR="003B29EB" w:rsidRPr="00575145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>Salient Features of the tender</w:t>
      </w:r>
    </w:p>
    <w:p w14:paraId="429B6C98" w14:textId="77777777" w:rsidR="004B7C4F" w:rsidRDefault="007364CD" w:rsidP="0087173B">
      <w:p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 xml:space="preserve">Under the tender, bidder </w:t>
      </w:r>
      <w:r w:rsidR="004B7C4F">
        <w:rPr>
          <w:rFonts w:ascii="Calibri" w:hAnsi="Calibri" w:cs="Calibri"/>
          <w:color w:val="0D0D0D"/>
          <w:shd w:val="clear" w:color="auto" w:fill="FFFFFF"/>
        </w:rPr>
        <w:t>will</w:t>
      </w:r>
      <w:r w:rsidR="0087173B" w:rsidRPr="0087173B">
        <w:rPr>
          <w:rFonts w:ascii="Calibri" w:hAnsi="Calibri" w:cs="Calibri"/>
          <w:color w:val="0D0D0D"/>
          <w:shd w:val="clear" w:color="auto" w:fill="FFFFFF"/>
        </w:rPr>
        <w:t xml:space="preserve"> sign </w:t>
      </w:r>
      <w:r>
        <w:rPr>
          <w:rFonts w:ascii="Calibri" w:hAnsi="Calibri" w:cs="Calibri"/>
          <w:color w:val="0D0D0D"/>
          <w:shd w:val="clear" w:color="auto" w:fill="FFFFFF"/>
        </w:rPr>
        <w:t xml:space="preserve">PPA </w:t>
      </w:r>
      <w:r w:rsidR="0087173B" w:rsidRPr="0087173B">
        <w:rPr>
          <w:rFonts w:ascii="Calibri" w:hAnsi="Calibri" w:cs="Calibri"/>
          <w:color w:val="0D0D0D"/>
          <w:shd w:val="clear" w:color="auto" w:fill="FFFFFF"/>
        </w:rPr>
        <w:t xml:space="preserve">with RUVITL (Rajasthan </w:t>
      </w:r>
      <w:proofErr w:type="spellStart"/>
      <w:r w:rsidR="0087173B" w:rsidRPr="0087173B">
        <w:rPr>
          <w:rFonts w:ascii="Calibri" w:hAnsi="Calibri" w:cs="Calibri"/>
          <w:color w:val="0D0D0D"/>
          <w:shd w:val="clear" w:color="auto" w:fill="FFFFFF"/>
        </w:rPr>
        <w:t>Urja</w:t>
      </w:r>
      <w:proofErr w:type="spellEnd"/>
      <w:r w:rsidR="0087173B" w:rsidRPr="0087173B">
        <w:rPr>
          <w:rFonts w:ascii="Calibri" w:hAnsi="Calibri" w:cs="Calibri"/>
          <w:color w:val="0D0D0D"/>
          <w:shd w:val="clear" w:color="auto" w:fill="FFFFFF"/>
        </w:rPr>
        <w:t xml:space="preserve"> Vikas and IT Services Limited) on behalf of JDVVNL</w:t>
      </w:r>
      <w:r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87173B" w:rsidRPr="0087173B">
        <w:rPr>
          <w:rFonts w:ascii="Calibri" w:hAnsi="Calibri" w:cs="Calibri"/>
          <w:color w:val="0D0D0D"/>
          <w:shd w:val="clear" w:color="auto" w:fill="FFFFFF"/>
        </w:rPr>
        <w:t>(Discom)</w:t>
      </w:r>
      <w:r w:rsidR="004B7C4F">
        <w:rPr>
          <w:rFonts w:ascii="Calibri" w:hAnsi="Calibri" w:cs="Calibri"/>
          <w:color w:val="0D0D0D"/>
          <w:shd w:val="clear" w:color="auto" w:fill="FFFFFF"/>
        </w:rPr>
        <w:t>. The tender has multiple provisions which offer assurances</w:t>
      </w:r>
      <w:r w:rsidR="00F23166">
        <w:rPr>
          <w:rFonts w:ascii="Calibri" w:hAnsi="Calibri" w:cs="Calibri"/>
          <w:color w:val="0D0D0D"/>
          <w:shd w:val="clear" w:color="auto" w:fill="FFFFFF"/>
        </w:rPr>
        <w:t xml:space="preserve"> of timely payments and grid reliability</w:t>
      </w:r>
      <w:r w:rsidR="004B7C4F">
        <w:rPr>
          <w:rFonts w:ascii="Calibri" w:hAnsi="Calibri" w:cs="Calibri"/>
          <w:color w:val="0D0D0D"/>
          <w:shd w:val="clear" w:color="auto" w:fill="FFFFFF"/>
        </w:rPr>
        <w:t xml:space="preserve"> to the Developers. </w:t>
      </w:r>
      <w:r>
        <w:rPr>
          <w:rFonts w:ascii="Calibri" w:hAnsi="Calibri" w:cs="Calibri"/>
          <w:color w:val="0D0D0D"/>
          <w:shd w:val="clear" w:color="auto" w:fill="FFFFFF"/>
        </w:rPr>
        <w:t xml:space="preserve">Some of the provisions are given below: - </w:t>
      </w:r>
    </w:p>
    <w:p w14:paraId="5FA1D411" w14:textId="77777777" w:rsidR="004B7C4F" w:rsidRPr="0087173B" w:rsidRDefault="004B7C4F" w:rsidP="0087173B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5E5169A3" w14:textId="77777777" w:rsidR="0087173B" w:rsidRDefault="0087173B" w:rsidP="007364CD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  <w:color w:val="0D0D0D"/>
          <w:shd w:val="clear" w:color="auto" w:fill="FFFFFF"/>
        </w:rPr>
      </w:pPr>
      <w:r w:rsidRPr="0087173B">
        <w:rPr>
          <w:rFonts w:ascii="Calibri" w:hAnsi="Calibri" w:cs="Calibri"/>
          <w:color w:val="0D0D0D"/>
          <w:shd w:val="clear" w:color="auto" w:fill="FFFFFF"/>
        </w:rPr>
        <w:t>RUVITL will open a</w:t>
      </w:r>
      <w:r w:rsidR="00764BA3">
        <w:rPr>
          <w:rFonts w:ascii="Calibri" w:hAnsi="Calibri" w:cs="Calibri"/>
          <w:color w:val="0D0D0D"/>
          <w:shd w:val="clear" w:color="auto" w:fill="FFFFFF"/>
        </w:rPr>
        <w:t>n unconditional, revolving and irrevocable</w:t>
      </w:r>
      <w:r w:rsidR="007364CD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87173B">
        <w:rPr>
          <w:rFonts w:ascii="Calibri" w:hAnsi="Calibri" w:cs="Calibri"/>
          <w:color w:val="0D0D0D"/>
          <w:shd w:val="clear" w:color="auto" w:fill="FFFFFF"/>
        </w:rPr>
        <w:t>Letter of Credit in favour of the Generator, with a term of 12 months</w:t>
      </w:r>
      <w:r w:rsidR="00764BA3">
        <w:rPr>
          <w:rFonts w:ascii="Calibri" w:hAnsi="Calibri" w:cs="Calibri"/>
          <w:color w:val="0D0D0D"/>
          <w:shd w:val="clear" w:color="auto" w:fill="FFFFFF"/>
        </w:rPr>
        <w:t>.</w:t>
      </w:r>
    </w:p>
    <w:p w14:paraId="744E8DC5" w14:textId="77777777" w:rsidR="0087173B" w:rsidRDefault="0087173B" w:rsidP="007364CD">
      <w:pPr>
        <w:pStyle w:val="ListParagraph"/>
        <w:ind w:left="360"/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04A1AC91" w14:textId="77777777" w:rsidR="0087173B" w:rsidRDefault="0087173B" w:rsidP="007364CD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  <w:color w:val="0D0D0D"/>
          <w:shd w:val="clear" w:color="auto" w:fill="FFFFFF"/>
        </w:rPr>
      </w:pPr>
      <w:r w:rsidRPr="0087173B">
        <w:rPr>
          <w:rFonts w:ascii="Calibri" w:hAnsi="Calibri" w:cs="Calibri"/>
          <w:color w:val="0D0D0D"/>
          <w:shd w:val="clear" w:color="auto" w:fill="FFFFFF"/>
        </w:rPr>
        <w:t>JDVVNL shall also establish an Escrow Arrangement in favour of the Solar Power Generator. Tri-Partite Escrow Agreement will be signed between RUVITL, JDVVNL and the Generator</w:t>
      </w:r>
    </w:p>
    <w:p w14:paraId="4965DCAA" w14:textId="77777777" w:rsidR="0087173B" w:rsidRPr="007364CD" w:rsidRDefault="0087173B" w:rsidP="007364CD">
      <w:pPr>
        <w:rPr>
          <w:rFonts w:ascii="Calibri" w:hAnsi="Calibri" w:cs="Calibri"/>
          <w:color w:val="0D0D0D"/>
          <w:shd w:val="clear" w:color="auto" w:fill="FFFFFF"/>
        </w:rPr>
      </w:pPr>
    </w:p>
    <w:p w14:paraId="63CF431E" w14:textId="77777777" w:rsidR="0087173B" w:rsidRPr="00BE0AD2" w:rsidRDefault="000835FF" w:rsidP="00931A9C">
      <w:pPr>
        <w:pStyle w:val="ListParagraph"/>
        <w:numPr>
          <w:ilvl w:val="0"/>
          <w:numId w:val="4"/>
        </w:numPr>
        <w:ind w:left="360"/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Grid Availability</w:t>
      </w:r>
      <w:r w:rsidR="004B7C4F">
        <w:rPr>
          <w:rFonts w:ascii="Calibri" w:hAnsi="Calibri" w:cs="Calibri"/>
          <w:color w:val="0D0D0D"/>
          <w:shd w:val="clear" w:color="auto" w:fill="FFFFFF"/>
        </w:rPr>
        <w:t xml:space="preserve"> - </w:t>
      </w:r>
      <w:r w:rsidR="0087173B" w:rsidRPr="0087173B">
        <w:rPr>
          <w:rFonts w:ascii="Calibri" w:hAnsi="Calibri" w:cs="Calibri"/>
          <w:color w:val="0D0D0D"/>
          <w:shd w:val="clear" w:color="auto" w:fill="FFFFFF"/>
        </w:rPr>
        <w:t>During the operation of the plant, JDVVNL shall endeavour to ensure 95% of grid availability in a contract year</w:t>
      </w:r>
      <w:r w:rsidR="0087173B">
        <w:rPr>
          <w:rFonts w:ascii="Calibri" w:hAnsi="Calibri" w:cs="Calibri"/>
          <w:color w:val="0D0D0D"/>
          <w:shd w:val="clear" w:color="auto" w:fill="FFFFFF"/>
        </w:rPr>
        <w:t xml:space="preserve">. </w:t>
      </w:r>
    </w:p>
    <w:p w14:paraId="0C21E536" w14:textId="77777777" w:rsidR="00915A50" w:rsidRDefault="00915A50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214EBC2E" w14:textId="46537E52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>SWOT analysis</w:t>
      </w:r>
    </w:p>
    <w:p w14:paraId="6495E1DD" w14:textId="77777777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6506BB1E" w14:textId="77777777" w:rsidR="00214AB1" w:rsidRPr="003F4F84" w:rsidRDefault="00214AB1" w:rsidP="00662802">
      <w:pPr>
        <w:ind w:firstLine="360"/>
        <w:jc w:val="both"/>
        <w:rPr>
          <w:rFonts w:ascii="Calibri" w:hAnsi="Calibri" w:cs="Calibri"/>
          <w:color w:val="0D0D0D"/>
          <w:u w:val="single"/>
          <w:shd w:val="clear" w:color="auto" w:fill="FFFFFF"/>
        </w:rPr>
      </w:pPr>
      <w:r w:rsidRPr="003F4F84">
        <w:rPr>
          <w:rFonts w:ascii="Calibri" w:hAnsi="Calibri" w:cs="Calibri"/>
          <w:color w:val="0D0D0D"/>
          <w:u w:val="single"/>
          <w:shd w:val="clear" w:color="auto" w:fill="FFFFFF"/>
        </w:rPr>
        <w:t>Strength</w:t>
      </w:r>
    </w:p>
    <w:p w14:paraId="4E4553F3" w14:textId="77777777" w:rsidR="00867450" w:rsidRPr="003F4F84" w:rsidRDefault="00867450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72FFAB55" w14:textId="7906F1F0" w:rsidR="003F4F84" w:rsidRDefault="00A76330" w:rsidP="00D14C5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As evidenced above, t</w:t>
      </w:r>
      <w:r w:rsidR="00867450" w:rsidRPr="00A76330">
        <w:rPr>
          <w:rFonts w:ascii="Calibri" w:hAnsi="Calibri" w:cs="Calibri"/>
          <w:color w:val="0D0D0D"/>
          <w:shd w:val="clear" w:color="auto" w:fill="FFFFFF"/>
        </w:rPr>
        <w:t xml:space="preserve">he </w:t>
      </w:r>
      <w:r w:rsidR="005743B5" w:rsidRPr="00A76330">
        <w:rPr>
          <w:rFonts w:ascii="Calibri" w:hAnsi="Calibri" w:cs="Calibri"/>
          <w:color w:val="0D0D0D"/>
          <w:shd w:val="clear" w:color="auto" w:fill="FFFFFF"/>
        </w:rPr>
        <w:t xml:space="preserve">Aright </w:t>
      </w:r>
      <w:r w:rsidR="00324C50" w:rsidRPr="00A76330">
        <w:rPr>
          <w:rFonts w:ascii="Calibri" w:hAnsi="Calibri" w:cs="Calibri"/>
          <w:color w:val="0D0D0D"/>
          <w:shd w:val="clear" w:color="auto" w:fill="FFFFFF"/>
        </w:rPr>
        <w:t>Group</w:t>
      </w:r>
      <w:r w:rsidR="00867450" w:rsidRPr="00A76330">
        <w:rPr>
          <w:rFonts w:ascii="Calibri" w:hAnsi="Calibri" w:cs="Calibri"/>
          <w:color w:val="0D0D0D"/>
          <w:shd w:val="clear" w:color="auto" w:fill="FFFFFF"/>
        </w:rPr>
        <w:t xml:space="preserve"> has extensive experience of executing large utility scale projects in the area. </w:t>
      </w:r>
    </w:p>
    <w:p w14:paraId="33FA5D5E" w14:textId="77777777" w:rsidR="00A76330" w:rsidRPr="00A76330" w:rsidRDefault="00A76330" w:rsidP="00A76330">
      <w:pPr>
        <w:pStyle w:val="ListParagraph"/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555CC574" w14:textId="77777777" w:rsidR="00867450" w:rsidRPr="003F4F84" w:rsidRDefault="000332C6" w:rsidP="00324C5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lastRenderedPageBreak/>
        <w:t>The group</w:t>
      </w:r>
      <w:r w:rsidR="00867450" w:rsidRPr="003F4F84">
        <w:rPr>
          <w:rFonts w:ascii="Calibri" w:hAnsi="Calibri" w:cs="Calibri"/>
          <w:color w:val="0D0D0D"/>
          <w:shd w:val="clear" w:color="auto" w:fill="FFFFFF"/>
        </w:rPr>
        <w:t xml:space="preserve"> has a long-term association with experienced and reliable partners for execution and O&amp;M services in the region</w:t>
      </w:r>
      <w:r w:rsidR="00324C50" w:rsidRPr="003F4F84">
        <w:rPr>
          <w:rFonts w:ascii="Calibri" w:hAnsi="Calibri" w:cs="Calibri"/>
          <w:color w:val="0D0D0D"/>
          <w:shd w:val="clear" w:color="auto" w:fill="FFFFFF"/>
        </w:rPr>
        <w:t xml:space="preserve">, along with </w:t>
      </w:r>
      <w:r w:rsidR="00867450" w:rsidRPr="003F4F84">
        <w:rPr>
          <w:rFonts w:ascii="Calibri" w:hAnsi="Calibri" w:cs="Calibri"/>
          <w:color w:val="0D0D0D"/>
          <w:shd w:val="clear" w:color="auto" w:fill="FFFFFF"/>
        </w:rPr>
        <w:t>strong working relationships with best-in-class vendors, supplying modern equipment/ services.</w:t>
      </w:r>
    </w:p>
    <w:p w14:paraId="630FCA6E" w14:textId="77777777" w:rsidR="00324C50" w:rsidRPr="003F4F84" w:rsidRDefault="00324C50" w:rsidP="00867450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6FD5CF40" w14:textId="77777777" w:rsidR="00324C50" w:rsidRDefault="00324C50" w:rsidP="0086745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color w:val="0D0D0D"/>
          <w:shd w:val="clear" w:color="auto" w:fill="FFFFFF"/>
        </w:rPr>
      </w:pPr>
      <w:r w:rsidRPr="003F4F84">
        <w:rPr>
          <w:rFonts w:ascii="Calibri" w:hAnsi="Calibri" w:cs="Calibri"/>
          <w:color w:val="0D0D0D"/>
          <w:shd w:val="clear" w:color="auto" w:fill="FFFFFF"/>
        </w:rPr>
        <w:t xml:space="preserve">Senior Management has </w:t>
      </w:r>
      <w:r w:rsidR="003F4F84" w:rsidRPr="003F4F84">
        <w:rPr>
          <w:rFonts w:ascii="Calibri" w:hAnsi="Calibri" w:cs="Calibri"/>
          <w:color w:val="0D0D0D"/>
          <w:shd w:val="clear" w:color="auto" w:fill="FFFFFF"/>
        </w:rPr>
        <w:t>extensive</w:t>
      </w:r>
      <w:r w:rsidRPr="003F4F84">
        <w:rPr>
          <w:rFonts w:ascii="Calibri" w:hAnsi="Calibri" w:cs="Calibri"/>
          <w:color w:val="0D0D0D"/>
          <w:shd w:val="clear" w:color="auto" w:fill="FFFFFF"/>
        </w:rPr>
        <w:t xml:space="preserve"> experience in renewable</w:t>
      </w:r>
      <w:r w:rsidRPr="00324C50">
        <w:rPr>
          <w:rFonts w:ascii="Calibri" w:hAnsi="Calibri" w:cs="Calibri"/>
          <w:color w:val="0D0D0D"/>
          <w:shd w:val="clear" w:color="auto" w:fill="FFFFFF"/>
        </w:rPr>
        <w:t xml:space="preserve"> energy and evacuation infra development, and includes experienced power sector professionals who have previously worked at leading public sector undertakings like POWERGRID and NTPC</w:t>
      </w:r>
      <w:r>
        <w:rPr>
          <w:rFonts w:ascii="Calibri" w:hAnsi="Calibri" w:cs="Calibri"/>
          <w:color w:val="0D0D0D"/>
          <w:shd w:val="clear" w:color="auto" w:fill="FFFFFF"/>
        </w:rPr>
        <w:t xml:space="preserve">. </w:t>
      </w:r>
      <w:r w:rsidRPr="00324C50">
        <w:rPr>
          <w:rFonts w:ascii="Calibri" w:hAnsi="Calibri" w:cs="Calibri"/>
          <w:color w:val="0D0D0D"/>
          <w:shd w:val="clear" w:color="auto" w:fill="FFFFFF"/>
        </w:rPr>
        <w:t>Further,</w:t>
      </w:r>
      <w:r w:rsidR="004B7C4F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735103">
        <w:rPr>
          <w:rFonts w:ascii="Calibri" w:hAnsi="Calibri" w:cs="Calibri"/>
          <w:color w:val="0D0D0D"/>
          <w:shd w:val="clear" w:color="auto" w:fill="FFFFFF"/>
        </w:rPr>
        <w:t>Aright</w:t>
      </w:r>
      <w:r w:rsidRPr="00324C50">
        <w:rPr>
          <w:rFonts w:ascii="Calibri" w:hAnsi="Calibri" w:cs="Calibri"/>
          <w:color w:val="0D0D0D"/>
          <w:shd w:val="clear" w:color="auto" w:fill="FFFFFF"/>
        </w:rPr>
        <w:t xml:space="preserve"> already has on-ground teams in Bikaner and Jodhpur, Rajasthan.</w:t>
      </w:r>
    </w:p>
    <w:p w14:paraId="1F39EA05" w14:textId="77777777" w:rsidR="008B44C7" w:rsidRPr="008B44C7" w:rsidRDefault="008B44C7" w:rsidP="008B44C7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0BD37452" w14:textId="77777777" w:rsidR="00324C50" w:rsidRPr="000332C6" w:rsidRDefault="00324C50" w:rsidP="00AD6EB5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 w:rsidRPr="004B7C4F">
        <w:rPr>
          <w:rFonts w:ascii="Calibri" w:hAnsi="Calibri" w:cs="Calibri"/>
          <w:color w:val="0D0D0D"/>
          <w:shd w:val="clear" w:color="auto" w:fill="FFFFFF"/>
        </w:rPr>
        <w:t xml:space="preserve">High irradiance – the projects are located in </w:t>
      </w:r>
      <w:r w:rsidR="004B7C4F" w:rsidRPr="004B7C4F">
        <w:rPr>
          <w:rFonts w:ascii="Calibri" w:hAnsi="Calibri" w:cs="Calibri"/>
          <w:color w:val="0D0D0D"/>
          <w:shd w:val="clear" w:color="auto" w:fill="FFFFFF"/>
        </w:rPr>
        <w:t>District Jodhpur</w:t>
      </w:r>
      <w:r w:rsidR="002F6626">
        <w:rPr>
          <w:rFonts w:ascii="Calibri" w:hAnsi="Calibri" w:cs="Calibri"/>
          <w:color w:val="0D0D0D"/>
          <w:shd w:val="clear" w:color="auto" w:fill="FFFFFF"/>
        </w:rPr>
        <w:t xml:space="preserve">/ </w:t>
      </w:r>
      <w:proofErr w:type="spellStart"/>
      <w:r w:rsidR="002F6626">
        <w:rPr>
          <w:rFonts w:ascii="Calibri" w:hAnsi="Calibri" w:cs="Calibri"/>
          <w:color w:val="0D0D0D"/>
          <w:shd w:val="clear" w:color="auto" w:fill="FFFFFF"/>
        </w:rPr>
        <w:t>Phalodi</w:t>
      </w:r>
      <w:proofErr w:type="spellEnd"/>
      <w:r w:rsidR="004B7C4F" w:rsidRPr="004B7C4F">
        <w:rPr>
          <w:rFonts w:ascii="Calibri" w:hAnsi="Calibri" w:cs="Calibri"/>
          <w:color w:val="0D0D0D"/>
          <w:shd w:val="clear" w:color="auto" w:fill="FFFFFF"/>
        </w:rPr>
        <w:t>, Rajasthan,</w:t>
      </w:r>
      <w:r w:rsidR="002F6626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4B7C4F" w:rsidRPr="004B7C4F">
        <w:rPr>
          <w:rFonts w:ascii="Calibri" w:hAnsi="Calibri" w:cs="Calibri"/>
          <w:color w:val="0D0D0D"/>
          <w:shd w:val="clear" w:color="auto" w:fill="FFFFFF"/>
        </w:rPr>
        <w:t xml:space="preserve">which is one </w:t>
      </w:r>
      <w:r w:rsidR="000332C6">
        <w:rPr>
          <w:rFonts w:ascii="Calibri" w:hAnsi="Calibri" w:cs="Calibri"/>
          <w:color w:val="0D0D0D"/>
          <w:shd w:val="clear" w:color="auto" w:fill="FFFFFF"/>
        </w:rPr>
        <w:t xml:space="preserve">of </w:t>
      </w:r>
      <w:r w:rsidR="004B7C4F" w:rsidRPr="004B7C4F">
        <w:rPr>
          <w:rFonts w:ascii="Calibri" w:hAnsi="Calibri" w:cs="Calibri"/>
          <w:color w:val="0D0D0D"/>
          <w:shd w:val="clear" w:color="auto" w:fill="FFFFFF"/>
        </w:rPr>
        <w:t xml:space="preserve">the areas with </w:t>
      </w:r>
      <w:r w:rsidRPr="004B7C4F">
        <w:rPr>
          <w:rFonts w:ascii="Calibri" w:hAnsi="Calibri" w:cs="Calibri"/>
          <w:color w:val="0D0D0D"/>
          <w:shd w:val="clear" w:color="auto" w:fill="FFFFFF"/>
        </w:rPr>
        <w:t xml:space="preserve">the highest irradiance </w:t>
      </w:r>
      <w:r w:rsidR="004B7C4F" w:rsidRPr="004B7C4F">
        <w:rPr>
          <w:rFonts w:ascii="Calibri" w:hAnsi="Calibri" w:cs="Calibri"/>
          <w:color w:val="0D0D0D"/>
          <w:shd w:val="clear" w:color="auto" w:fill="FFFFFF"/>
        </w:rPr>
        <w:t xml:space="preserve">in </w:t>
      </w:r>
      <w:r w:rsidRPr="004B7C4F">
        <w:rPr>
          <w:rFonts w:ascii="Calibri" w:hAnsi="Calibri" w:cs="Calibri"/>
          <w:color w:val="0D0D0D"/>
          <w:shd w:val="clear" w:color="auto" w:fill="FFFFFF"/>
        </w:rPr>
        <w:t>India</w:t>
      </w:r>
      <w:r w:rsidR="004B7C4F">
        <w:rPr>
          <w:rFonts w:ascii="Calibri" w:hAnsi="Calibri" w:cs="Calibri"/>
          <w:color w:val="0D0D0D"/>
          <w:shd w:val="clear" w:color="auto" w:fill="FFFFFF"/>
        </w:rPr>
        <w:t xml:space="preserve"> </w:t>
      </w:r>
    </w:p>
    <w:p w14:paraId="4A223199" w14:textId="77777777" w:rsidR="000332C6" w:rsidRPr="000332C6" w:rsidRDefault="000332C6" w:rsidP="000332C6">
      <w:pPr>
        <w:pStyle w:val="ListParagraph"/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1CD5A32F" w14:textId="77777777" w:rsidR="004B7C4F" w:rsidRPr="000332C6" w:rsidRDefault="000332C6" w:rsidP="009506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 w:rsidRPr="000332C6">
        <w:rPr>
          <w:rFonts w:ascii="Calibri" w:hAnsi="Calibri" w:cs="Calibri"/>
          <w:color w:val="0D0D0D"/>
          <w:shd w:val="clear" w:color="auto" w:fill="FFFFFF"/>
        </w:rPr>
        <w:t xml:space="preserve">The Solar Projects set up under PM-Kusum </w:t>
      </w:r>
      <w:proofErr w:type="spellStart"/>
      <w:r w:rsidRPr="000332C6">
        <w:rPr>
          <w:rFonts w:ascii="Calibri" w:hAnsi="Calibri" w:cs="Calibri"/>
          <w:color w:val="0D0D0D"/>
          <w:shd w:val="clear" w:color="auto" w:fill="FFFFFF"/>
        </w:rPr>
        <w:t>Yojna</w:t>
      </w:r>
      <w:proofErr w:type="spellEnd"/>
      <w:r w:rsidRPr="000332C6">
        <w:rPr>
          <w:rFonts w:ascii="Calibri" w:hAnsi="Calibri" w:cs="Calibri"/>
          <w:color w:val="0D0D0D"/>
          <w:shd w:val="clear" w:color="auto" w:fill="FFFFFF"/>
        </w:rPr>
        <w:t xml:space="preserve"> receive </w:t>
      </w:r>
      <w:r>
        <w:rPr>
          <w:rFonts w:ascii="Calibri" w:hAnsi="Calibri" w:cs="Calibri"/>
          <w:color w:val="0D0D0D"/>
          <w:shd w:val="clear" w:color="auto" w:fill="FFFFFF"/>
        </w:rPr>
        <w:t>remarkable</w:t>
      </w:r>
      <w:r w:rsidRPr="000332C6">
        <w:rPr>
          <w:rFonts w:ascii="Calibri" w:hAnsi="Calibri" w:cs="Calibri"/>
          <w:color w:val="0D0D0D"/>
          <w:shd w:val="clear" w:color="auto" w:fill="FFFFFF"/>
        </w:rPr>
        <w:t xml:space="preserve"> support from the </w:t>
      </w:r>
      <w:r w:rsidR="005977F3">
        <w:rPr>
          <w:rFonts w:ascii="Calibri" w:hAnsi="Calibri" w:cs="Calibri"/>
          <w:color w:val="0D0D0D"/>
          <w:shd w:val="clear" w:color="auto" w:fill="FFFFFF"/>
        </w:rPr>
        <w:t>G</w:t>
      </w:r>
      <w:r w:rsidRPr="000332C6">
        <w:rPr>
          <w:rFonts w:ascii="Calibri" w:hAnsi="Calibri" w:cs="Calibri"/>
          <w:color w:val="0D0D0D"/>
          <w:shd w:val="clear" w:color="auto" w:fill="FFFFFF"/>
        </w:rPr>
        <w:t xml:space="preserve">ovt. of India, </w:t>
      </w:r>
      <w:r>
        <w:rPr>
          <w:rFonts w:ascii="Calibri" w:hAnsi="Calibri" w:cs="Calibri"/>
          <w:color w:val="0D0D0D"/>
          <w:shd w:val="clear" w:color="auto" w:fill="FFFFFF"/>
        </w:rPr>
        <w:t>including in the form of Central Financial Assistance.</w:t>
      </w:r>
    </w:p>
    <w:p w14:paraId="4AE20B6E" w14:textId="77777777" w:rsidR="000332C6" w:rsidRPr="000332C6" w:rsidRDefault="000332C6" w:rsidP="000332C6">
      <w:pPr>
        <w:pStyle w:val="ListParagraph"/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5CDD4E21" w14:textId="77777777" w:rsidR="00214AB1" w:rsidRPr="008B44C7" w:rsidRDefault="00214AB1" w:rsidP="00662802">
      <w:pPr>
        <w:ind w:firstLine="360"/>
        <w:jc w:val="both"/>
        <w:rPr>
          <w:rFonts w:ascii="Calibri" w:hAnsi="Calibri" w:cs="Calibri"/>
          <w:color w:val="0D0D0D"/>
          <w:u w:val="single"/>
          <w:shd w:val="clear" w:color="auto" w:fill="FFFFFF"/>
        </w:rPr>
      </w:pPr>
      <w:r w:rsidRPr="008B44C7">
        <w:rPr>
          <w:rFonts w:ascii="Calibri" w:hAnsi="Calibri" w:cs="Calibri"/>
          <w:color w:val="0D0D0D"/>
          <w:u w:val="single"/>
          <w:shd w:val="clear" w:color="auto" w:fill="FFFFFF"/>
        </w:rPr>
        <w:t>Weakness</w:t>
      </w:r>
    </w:p>
    <w:p w14:paraId="310B39A8" w14:textId="77777777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16AFAA91" w14:textId="5CCF2876" w:rsidR="00F535C1" w:rsidRDefault="00F535C1" w:rsidP="00931A9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D0D0D"/>
          <w:shd w:val="clear" w:color="auto" w:fill="FFFFFF"/>
        </w:rPr>
      </w:pPr>
      <w:proofErr w:type="spellStart"/>
      <w:r>
        <w:rPr>
          <w:rFonts w:ascii="Calibri" w:hAnsi="Calibri" w:cs="Calibri"/>
          <w:color w:val="0D0D0D"/>
          <w:shd w:val="clear" w:color="auto" w:fill="FFFFFF"/>
        </w:rPr>
        <w:t>MiniGrids</w:t>
      </w:r>
      <w:proofErr w:type="spellEnd"/>
      <w:r>
        <w:rPr>
          <w:rFonts w:ascii="Calibri" w:hAnsi="Calibri" w:cs="Calibri"/>
          <w:color w:val="0D0D0D"/>
          <w:shd w:val="clear" w:color="auto" w:fill="FFFFFF"/>
        </w:rPr>
        <w:t xml:space="preserve"> generally attract higher expenses due to their smaller project capacities. However, s</w:t>
      </w:r>
      <w:r w:rsidR="00324C50" w:rsidRPr="00F535C1">
        <w:rPr>
          <w:rFonts w:ascii="Calibri" w:hAnsi="Calibri" w:cs="Calibri"/>
          <w:color w:val="0D0D0D"/>
          <w:shd w:val="clear" w:color="auto" w:fill="FFFFFF"/>
        </w:rPr>
        <w:t>ince all the projects</w:t>
      </w:r>
      <w:r w:rsidR="001770A3">
        <w:rPr>
          <w:rFonts w:ascii="Calibri" w:hAnsi="Calibri" w:cs="Calibri"/>
          <w:color w:val="0D0D0D"/>
          <w:shd w:val="clear" w:color="auto" w:fill="FFFFFF"/>
        </w:rPr>
        <w:t xml:space="preserve"> awarded by JDVVNL</w:t>
      </w:r>
      <w:r w:rsidR="00324C50" w:rsidRPr="00F535C1">
        <w:rPr>
          <w:rFonts w:ascii="Calibri" w:hAnsi="Calibri" w:cs="Calibri"/>
          <w:color w:val="0D0D0D"/>
          <w:shd w:val="clear" w:color="auto" w:fill="FFFFFF"/>
        </w:rPr>
        <w:t xml:space="preserve"> are spread across a concentrated area,</w:t>
      </w:r>
      <w:r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324C50" w:rsidRPr="00F535C1">
        <w:rPr>
          <w:rFonts w:ascii="Calibri" w:hAnsi="Calibri" w:cs="Calibri"/>
          <w:color w:val="0D0D0D"/>
          <w:shd w:val="clear" w:color="auto" w:fill="FFFFFF"/>
        </w:rPr>
        <w:t xml:space="preserve">the operation and maintenance expenses will be lower compared to conventional Kusum </w:t>
      </w:r>
      <w:proofErr w:type="spellStart"/>
      <w:r w:rsidR="00324C50" w:rsidRPr="00F535C1">
        <w:rPr>
          <w:rFonts w:ascii="Calibri" w:hAnsi="Calibri" w:cs="Calibri"/>
          <w:color w:val="0D0D0D"/>
          <w:shd w:val="clear" w:color="auto" w:fill="FFFFFF"/>
        </w:rPr>
        <w:t>MiniGrid</w:t>
      </w:r>
      <w:proofErr w:type="spellEnd"/>
      <w:r w:rsidR="00324C50" w:rsidRPr="00F535C1">
        <w:rPr>
          <w:rFonts w:ascii="Calibri" w:hAnsi="Calibri" w:cs="Calibri"/>
          <w:color w:val="0D0D0D"/>
          <w:shd w:val="clear" w:color="auto" w:fill="FFFFFF"/>
        </w:rPr>
        <w:t xml:space="preserve"> projects.</w:t>
      </w:r>
    </w:p>
    <w:p w14:paraId="6C2F298E" w14:textId="77777777" w:rsidR="00F535C1" w:rsidRDefault="00F535C1" w:rsidP="00F535C1">
      <w:pPr>
        <w:pStyle w:val="ListParagraph"/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685A2538" w14:textId="77777777" w:rsidR="00F535C1" w:rsidRDefault="00F535C1" w:rsidP="00931A9C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The distribution grid in rural areas tend to suffer from frequent outages. However, the DISCOM will endeavour to ensure availability of 95%, in addition to</w:t>
      </w:r>
      <w:r w:rsidR="00662802">
        <w:rPr>
          <w:rFonts w:ascii="Calibri" w:hAnsi="Calibri" w:cs="Calibri"/>
          <w:color w:val="0D0D0D"/>
          <w:shd w:val="clear" w:color="auto" w:fill="FFFFFF"/>
        </w:rPr>
        <w:t xml:space="preserve"> offering provisions for compensation in case </w:t>
      </w:r>
      <w:r w:rsidR="00903C30">
        <w:rPr>
          <w:rFonts w:ascii="Calibri" w:hAnsi="Calibri" w:cs="Calibri"/>
          <w:color w:val="0D0D0D"/>
          <w:shd w:val="clear" w:color="auto" w:fill="FFFFFF"/>
        </w:rPr>
        <w:t>the</w:t>
      </w:r>
      <w:r w:rsidR="00662802">
        <w:rPr>
          <w:rFonts w:ascii="Calibri" w:hAnsi="Calibri" w:cs="Calibri"/>
          <w:color w:val="0D0D0D"/>
          <w:shd w:val="clear" w:color="auto" w:fill="FFFFFF"/>
        </w:rPr>
        <w:t xml:space="preserve"> grid availability drops below 95%.</w:t>
      </w:r>
      <w:r>
        <w:rPr>
          <w:rFonts w:ascii="Calibri" w:hAnsi="Calibri" w:cs="Calibri"/>
          <w:color w:val="0D0D0D"/>
          <w:shd w:val="clear" w:color="auto" w:fill="FFFFFF"/>
        </w:rPr>
        <w:t xml:space="preserve"> </w:t>
      </w:r>
    </w:p>
    <w:p w14:paraId="6552C01D" w14:textId="77777777" w:rsidR="00F535C1" w:rsidRPr="00662802" w:rsidRDefault="00F535C1" w:rsidP="00662802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32A11285" w14:textId="77777777" w:rsidR="00214AB1" w:rsidRPr="00F535C1" w:rsidRDefault="00214AB1" w:rsidP="00662802">
      <w:pPr>
        <w:ind w:firstLine="360"/>
        <w:jc w:val="both"/>
        <w:rPr>
          <w:rFonts w:ascii="Calibri" w:hAnsi="Calibri" w:cs="Calibri"/>
          <w:color w:val="0D0D0D"/>
          <w:shd w:val="clear" w:color="auto" w:fill="FFFFFF"/>
        </w:rPr>
      </w:pPr>
      <w:r w:rsidRPr="00F535C1">
        <w:rPr>
          <w:rFonts w:ascii="Calibri" w:hAnsi="Calibri" w:cs="Calibri"/>
          <w:color w:val="0D0D0D"/>
          <w:u w:val="single"/>
          <w:shd w:val="clear" w:color="auto" w:fill="FFFFFF"/>
        </w:rPr>
        <w:t>Opportunity</w:t>
      </w:r>
    </w:p>
    <w:p w14:paraId="68504710" w14:textId="77777777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6AC32D57" w14:textId="77777777" w:rsidR="00DF0AA0" w:rsidRPr="00DF0AA0" w:rsidRDefault="00100F1C" w:rsidP="00DF0AA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 w:rsidRPr="002F6626">
        <w:rPr>
          <w:rFonts w:ascii="Calibri" w:hAnsi="Calibri" w:cs="Calibri"/>
          <w:color w:val="0D0D0D"/>
          <w:shd w:val="clear" w:color="auto" w:fill="FFFFFF"/>
        </w:rPr>
        <w:t xml:space="preserve">The KUSUM Scheme, by enabling the shifting of agricultural loads to solar hours, </w:t>
      </w:r>
      <w:r w:rsidR="005977F3">
        <w:rPr>
          <w:rFonts w:ascii="Calibri" w:hAnsi="Calibri" w:cs="Calibri"/>
          <w:color w:val="0D0D0D"/>
          <w:shd w:val="clear" w:color="auto" w:fill="FFFFFF"/>
        </w:rPr>
        <w:t xml:space="preserve">will improve Discom finances significantly while also playing a key role in the helping India reach </w:t>
      </w:r>
      <w:r w:rsidR="00DF0AA0">
        <w:rPr>
          <w:rFonts w:ascii="Calibri" w:hAnsi="Calibri" w:cs="Calibri"/>
          <w:color w:val="0D0D0D"/>
          <w:shd w:val="clear" w:color="auto" w:fill="FFFFFF"/>
        </w:rPr>
        <w:t>its</w:t>
      </w:r>
      <w:r w:rsidR="005977F3">
        <w:rPr>
          <w:rFonts w:ascii="Calibri" w:hAnsi="Calibri" w:cs="Calibri"/>
          <w:color w:val="0D0D0D"/>
          <w:shd w:val="clear" w:color="auto" w:fill="FFFFFF"/>
        </w:rPr>
        <w:t xml:space="preserve"> target of 500 GW RE </w:t>
      </w:r>
      <w:r w:rsidR="00DF0AA0">
        <w:rPr>
          <w:rFonts w:ascii="Calibri" w:hAnsi="Calibri" w:cs="Calibri"/>
          <w:color w:val="0D0D0D"/>
          <w:shd w:val="clear" w:color="auto" w:fill="FFFFFF"/>
        </w:rPr>
        <w:t>installations</w:t>
      </w:r>
      <w:r w:rsidR="005977F3">
        <w:rPr>
          <w:rFonts w:ascii="Calibri" w:hAnsi="Calibri" w:cs="Calibri"/>
          <w:color w:val="0D0D0D"/>
          <w:shd w:val="clear" w:color="auto" w:fill="FFFFFF"/>
        </w:rPr>
        <w:t xml:space="preserve"> by 2030. </w:t>
      </w:r>
    </w:p>
    <w:p w14:paraId="5CAF5E76" w14:textId="77777777" w:rsidR="00DF0AA0" w:rsidRDefault="00DF0AA0" w:rsidP="005977F3">
      <w:pPr>
        <w:pStyle w:val="ListParagraph"/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4EC7B85F" w14:textId="77777777" w:rsidR="00DF0AA0" w:rsidRPr="00DF0AA0" w:rsidRDefault="005977F3" w:rsidP="00DF0AA0">
      <w:pPr>
        <w:pStyle w:val="ListParagraph"/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 xml:space="preserve">Hence, the Government of India will likely further promote and enable the setting up </w:t>
      </w:r>
      <w:r w:rsidRPr="00DF0AA0">
        <w:rPr>
          <w:rFonts w:ascii="Calibri" w:hAnsi="Calibri" w:cs="Calibri"/>
          <w:color w:val="0D0D0D"/>
          <w:shd w:val="clear" w:color="auto" w:fill="FFFFFF"/>
        </w:rPr>
        <w:t xml:space="preserve">of solar projects under the Scheme, presenting the opportunity to Developers to scale </w:t>
      </w:r>
    </w:p>
    <w:p w14:paraId="5EF8F6BE" w14:textId="77777777" w:rsidR="005977F3" w:rsidRPr="005977F3" w:rsidRDefault="005977F3" w:rsidP="005977F3">
      <w:pPr>
        <w:pStyle w:val="ListParagraph"/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 xml:space="preserve">up the installation of </w:t>
      </w:r>
      <w:proofErr w:type="spellStart"/>
      <w:r>
        <w:rPr>
          <w:rFonts w:ascii="Calibri" w:hAnsi="Calibri" w:cs="Calibri"/>
          <w:color w:val="0D0D0D"/>
          <w:shd w:val="clear" w:color="auto" w:fill="FFFFFF"/>
        </w:rPr>
        <w:t>MiniGrid</w:t>
      </w:r>
      <w:proofErr w:type="spellEnd"/>
      <w:r>
        <w:rPr>
          <w:rFonts w:ascii="Calibri" w:hAnsi="Calibri" w:cs="Calibri"/>
          <w:color w:val="0D0D0D"/>
          <w:shd w:val="clear" w:color="auto" w:fill="FFFFFF"/>
        </w:rPr>
        <w:t xml:space="preserve"> Solar Projects massively.</w:t>
      </w:r>
    </w:p>
    <w:p w14:paraId="101EB5E3" w14:textId="77777777" w:rsidR="00DF0AA0" w:rsidRDefault="00DF0AA0" w:rsidP="00662802">
      <w:pPr>
        <w:ind w:firstLine="360"/>
        <w:jc w:val="both"/>
        <w:rPr>
          <w:rFonts w:ascii="Calibri" w:hAnsi="Calibri" w:cs="Calibri"/>
          <w:color w:val="0D0D0D"/>
          <w:u w:val="single"/>
          <w:shd w:val="clear" w:color="auto" w:fill="FFFFFF"/>
        </w:rPr>
      </w:pPr>
    </w:p>
    <w:p w14:paraId="0534774C" w14:textId="77777777" w:rsidR="00214AB1" w:rsidRPr="008B44C7" w:rsidRDefault="00214AB1" w:rsidP="00662802">
      <w:pPr>
        <w:ind w:firstLine="360"/>
        <w:jc w:val="both"/>
        <w:rPr>
          <w:rFonts w:ascii="Calibri" w:hAnsi="Calibri" w:cs="Calibri"/>
          <w:color w:val="0D0D0D"/>
          <w:u w:val="single"/>
          <w:shd w:val="clear" w:color="auto" w:fill="FFFFFF"/>
        </w:rPr>
      </w:pPr>
      <w:r w:rsidRPr="008B44C7">
        <w:rPr>
          <w:rFonts w:ascii="Calibri" w:hAnsi="Calibri" w:cs="Calibri"/>
          <w:color w:val="0D0D0D"/>
          <w:u w:val="single"/>
          <w:shd w:val="clear" w:color="auto" w:fill="FFFFFF"/>
        </w:rPr>
        <w:t>Threat</w:t>
      </w:r>
    </w:p>
    <w:p w14:paraId="48D14A11" w14:textId="77777777" w:rsidR="00214AB1" w:rsidRDefault="00214AB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20135581" w14:textId="77777777" w:rsidR="008B44C7" w:rsidRDefault="008B44C7" w:rsidP="00662802">
      <w:pPr>
        <w:ind w:left="360"/>
        <w:jc w:val="both"/>
        <w:rPr>
          <w:rFonts w:ascii="Calibri" w:hAnsi="Calibri" w:cs="Calibri"/>
          <w:color w:val="0D0D0D"/>
          <w:shd w:val="clear" w:color="auto" w:fill="FFFFFF"/>
        </w:rPr>
      </w:pPr>
      <w:r>
        <w:rPr>
          <w:rFonts w:ascii="Calibri" w:hAnsi="Calibri" w:cs="Calibri"/>
          <w:color w:val="0D0D0D"/>
          <w:shd w:val="clear" w:color="auto" w:fill="FFFFFF"/>
        </w:rPr>
        <w:t>The extensive experience of the Group in developing solar projects in the region significantly minimises any threats to the smooth execution and operations of the projects.</w:t>
      </w:r>
    </w:p>
    <w:p w14:paraId="20C3FBD9" w14:textId="77777777" w:rsidR="008B44C7" w:rsidRDefault="008B44C7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19A18056" w14:textId="77777777" w:rsidR="005977F3" w:rsidRDefault="005977F3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211B3A9C" w14:textId="77777777" w:rsidR="00A368D9" w:rsidRDefault="00A368D9" w:rsidP="00931A9C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4E9F1E0C" w14:textId="4F294BA4" w:rsidR="008B44C7" w:rsidRDefault="001F7AE9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>Projects Snapshots with key financial indicators</w:t>
      </w:r>
    </w:p>
    <w:tbl>
      <w:tblPr>
        <w:tblpPr w:leftFromText="180" w:rightFromText="180" w:vertAnchor="text" w:horzAnchor="margin" w:tblpXSpec="center" w:tblpY="343"/>
        <w:tblW w:w="93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4"/>
        <w:gridCol w:w="7512"/>
      </w:tblGrid>
      <w:tr w:rsidR="00775974" w:rsidRPr="00570D30" w14:paraId="14F49B92" w14:textId="77777777" w:rsidTr="004D20A6">
        <w:trPr>
          <w:trHeight w:val="341"/>
        </w:trPr>
        <w:tc>
          <w:tcPr>
            <w:tcW w:w="1884" w:type="dxa"/>
            <w:tcBorders>
              <w:top w:val="single" w:sz="8" w:space="0" w:color="4472C4"/>
              <w:left w:val="single" w:sz="8" w:space="0" w:color="4472C4"/>
              <w:bottom w:val="single" w:sz="8" w:space="0" w:color="FFFFFF" w:themeColor="background1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8B92D3F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lastRenderedPageBreak/>
              <w:t>Borrower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309AB12" w14:textId="3B9546BB" w:rsidR="00775974" w:rsidRPr="001F685E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1F685E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Prerak </w:t>
            </w:r>
            <w:r w:rsidR="006C322E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Wind Energy</w:t>
            </w:r>
            <w:r w:rsidRPr="001F685E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 Private Limited </w:t>
            </w:r>
          </w:p>
        </w:tc>
      </w:tr>
      <w:tr w:rsidR="00775974" w:rsidRPr="00570D30" w14:paraId="6B16BD07" w14:textId="77777777" w:rsidTr="004D20A6">
        <w:trPr>
          <w:trHeight w:val="341"/>
        </w:trPr>
        <w:tc>
          <w:tcPr>
            <w:tcW w:w="1884" w:type="dxa"/>
            <w:tcBorders>
              <w:top w:val="single" w:sz="8" w:space="0" w:color="FFFFFF" w:themeColor="background1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</w:tcPr>
          <w:p w14:paraId="0700F534" w14:textId="438E87C7" w:rsidR="00775974" w:rsidRPr="00570D30" w:rsidRDefault="00775974" w:rsidP="004D20A6">
            <w:pPr>
              <w:textAlignment w:val="center"/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Shareholder</w:t>
            </w:r>
            <w:r w:rsidR="006B003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s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</w:tcPr>
          <w:p w14:paraId="4ACB721B" w14:textId="77777777" w:rsidR="00775974" w:rsidRPr="00861C8C" w:rsidRDefault="00775974" w:rsidP="004D20A6">
            <w:pPr>
              <w:textAlignment w:val="bottom"/>
            </w:pPr>
            <w:r w:rsidRPr="00861C8C">
              <w:t xml:space="preserve">Ms </w:t>
            </w:r>
            <w:proofErr w:type="spellStart"/>
            <w:r w:rsidRPr="00861C8C">
              <w:t>Tripta</w:t>
            </w:r>
            <w:proofErr w:type="spellEnd"/>
            <w:r w:rsidRPr="00861C8C">
              <w:t xml:space="preserve"> </w:t>
            </w:r>
            <w:proofErr w:type="spellStart"/>
            <w:r w:rsidRPr="00861C8C">
              <w:t>Tanwar</w:t>
            </w:r>
            <w:proofErr w:type="spellEnd"/>
            <w:r w:rsidRPr="00861C8C">
              <w:t xml:space="preserve"> (51.0%)</w:t>
            </w:r>
          </w:p>
          <w:p w14:paraId="79E541B5" w14:textId="77777777" w:rsidR="00775974" w:rsidRPr="00861C8C" w:rsidRDefault="00775974" w:rsidP="004D20A6">
            <w:pPr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</w:pPr>
            <w:r w:rsidRPr="00861C8C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Aright Renewable Enterprise LLP (49.0%)</w:t>
            </w:r>
          </w:p>
        </w:tc>
      </w:tr>
      <w:tr w:rsidR="00775974" w:rsidRPr="00570D30" w14:paraId="6E7C8475" w14:textId="77777777" w:rsidTr="004D20A6">
        <w:trPr>
          <w:trHeight w:val="249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25EB48B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Project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6413433" w14:textId="61844C44" w:rsidR="00775974" w:rsidRPr="00F22CB2" w:rsidRDefault="00775974" w:rsidP="004D20A6">
            <w:pPr>
              <w:textAlignment w:val="bottom"/>
            </w:pPr>
            <w:r w:rsidRPr="00F22CB2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Solar Projects of </w:t>
            </w:r>
            <w:r w:rsidR="0024167B">
              <w:t>4.00</w:t>
            </w:r>
            <w:r w:rsidRPr="00F22CB2">
              <w:t xml:space="preserve"> </w:t>
            </w:r>
            <w:proofErr w:type="spellStart"/>
            <w:r w:rsidRPr="00F22CB2">
              <w:t>MWac</w:t>
            </w:r>
            <w:proofErr w:type="spellEnd"/>
            <w:r w:rsidRPr="00F22CB2">
              <w:t xml:space="preserve"> / </w:t>
            </w:r>
            <w:r w:rsidR="00F41B64">
              <w:t>5.60</w:t>
            </w:r>
            <w:r w:rsidRPr="00F22CB2">
              <w:t xml:space="preserve"> </w:t>
            </w:r>
            <w:proofErr w:type="spellStart"/>
            <w:r w:rsidRPr="00F22CB2">
              <w:t>MWdc</w:t>
            </w:r>
            <w:proofErr w:type="spellEnd"/>
          </w:p>
        </w:tc>
      </w:tr>
      <w:tr w:rsidR="00775974" w:rsidRPr="00570D30" w14:paraId="03940392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9F266FA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Location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23656302" w14:textId="77777777" w:rsidR="00775974" w:rsidRPr="00DE47D5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DE47D5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District </w:t>
            </w:r>
            <w:proofErr w:type="spellStart"/>
            <w:r w:rsidRPr="00DE47D5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Phalodi</w:t>
            </w:r>
            <w:proofErr w:type="spellEnd"/>
            <w:r w:rsidRPr="00DE47D5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, Rajasthan</w:t>
            </w:r>
          </w:p>
        </w:tc>
      </w:tr>
      <w:tr w:rsidR="00775974" w:rsidRPr="00570D30" w14:paraId="513D6112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059A239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Project Cost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9B148A9" w14:textId="660B6564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₹ </w:t>
            </w:r>
            <w:r w:rsidR="00F41B64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21.00</w:t>
            </w: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 crore</w:t>
            </w:r>
          </w:p>
        </w:tc>
      </w:tr>
      <w:tr w:rsidR="00775974" w:rsidRPr="00570D30" w14:paraId="708445CE" w14:textId="77777777" w:rsidTr="004D20A6">
        <w:trPr>
          <w:trHeight w:val="114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AC1DC09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Equity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A231FB5" w14:textId="2171B1ED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₹ </w:t>
            </w:r>
            <w:r w:rsidR="00336C57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6.30</w:t>
            </w: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 crore</w:t>
            </w:r>
          </w:p>
        </w:tc>
      </w:tr>
      <w:tr w:rsidR="00775974" w:rsidRPr="00570D30" w14:paraId="7F0E9360" w14:textId="77777777" w:rsidTr="004D20A6">
        <w:trPr>
          <w:trHeight w:val="262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1D76F4FC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Debt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77A138D7" w14:textId="0F3D2F79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₹ </w:t>
            </w:r>
            <w:r w:rsidR="00F41B64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14.70</w:t>
            </w: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 crore </w:t>
            </w:r>
          </w:p>
        </w:tc>
      </w:tr>
      <w:tr w:rsidR="00775974" w:rsidRPr="00570D30" w14:paraId="5E8C7D67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D38D311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D:E</w:t>
            </w:r>
            <w:proofErr w:type="gramEnd"/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 xml:space="preserve"> Ratio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3806237E" w14:textId="3C7915CF" w:rsidR="00775974" w:rsidRPr="000A0EB9" w:rsidRDefault="00E47C69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70</w:t>
            </w:r>
            <w:r w:rsidR="00775974"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 xml:space="preserve"> :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30</w:t>
            </w:r>
          </w:p>
        </w:tc>
      </w:tr>
      <w:tr w:rsidR="00775974" w:rsidRPr="00570D30" w14:paraId="16CA3DDE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4EB3B015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Collateral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5E770366" w14:textId="77777777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All physical assets of the project</w:t>
            </w:r>
          </w:p>
        </w:tc>
      </w:tr>
      <w:tr w:rsidR="00775974" w:rsidRPr="00570D30" w14:paraId="67E6DFD1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67B43102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Moratorium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06C8FEE2" w14:textId="77777777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1 year</w:t>
            </w:r>
          </w:p>
        </w:tc>
      </w:tr>
      <w:tr w:rsidR="00775974" w:rsidRPr="00570D30" w14:paraId="3FE187CC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FFFFFF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1F254C37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Interest Rate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74E9940C" w14:textId="77777777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As applicable to the Priority Sector</w:t>
            </w:r>
          </w:p>
        </w:tc>
      </w:tr>
      <w:tr w:rsidR="00775974" w:rsidRPr="00570D30" w14:paraId="3354E6B1" w14:textId="77777777" w:rsidTr="004D20A6">
        <w:trPr>
          <w:trHeight w:val="290"/>
        </w:trPr>
        <w:tc>
          <w:tcPr>
            <w:tcW w:w="1884" w:type="dxa"/>
            <w:tcBorders>
              <w:top w:val="single" w:sz="8" w:space="0" w:color="FFFFFF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4A23651D" w14:textId="77777777" w:rsidR="00775974" w:rsidRPr="00570D30" w:rsidRDefault="00775974" w:rsidP="004D20A6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r w:rsidRPr="00570D3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en-GB"/>
              </w:rPr>
              <w:t>Term</w:t>
            </w:r>
          </w:p>
        </w:tc>
        <w:tc>
          <w:tcPr>
            <w:tcW w:w="7512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72" w:type="dxa"/>
              <w:left w:w="216" w:type="dxa"/>
              <w:bottom w:w="72" w:type="dxa"/>
              <w:right w:w="72" w:type="dxa"/>
            </w:tcMar>
            <w:vAlign w:val="center"/>
            <w:hideMark/>
          </w:tcPr>
          <w:p w14:paraId="4AEAF8BA" w14:textId="77777777" w:rsidR="00775974" w:rsidRPr="000A0EB9" w:rsidRDefault="00775974" w:rsidP="004D20A6">
            <w:pPr>
              <w:textAlignment w:val="bottom"/>
              <w:rPr>
                <w:rFonts w:ascii="Arial" w:eastAsia="Times New Roman" w:hAnsi="Arial" w:cs="Arial"/>
                <w:lang w:eastAsia="en-GB"/>
              </w:rPr>
            </w:pPr>
            <w:r w:rsidRPr="000A0EB9">
              <w:rPr>
                <w:rFonts w:ascii="Calibri" w:eastAsia="Times New Roman" w:hAnsi="Calibri" w:cs="Calibri"/>
                <w:color w:val="000000"/>
                <w:kern w:val="24"/>
                <w:lang w:eastAsia="en-GB"/>
              </w:rPr>
              <w:t>15 years (Door to Door)</w:t>
            </w:r>
          </w:p>
        </w:tc>
      </w:tr>
    </w:tbl>
    <w:p w14:paraId="1F3E6BC5" w14:textId="77777777" w:rsidR="00775974" w:rsidRDefault="00775974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4950A12E" w14:textId="77777777" w:rsidR="00F535C1" w:rsidRDefault="00F535C1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</w:p>
    <w:p w14:paraId="35442DFD" w14:textId="77777777" w:rsidR="001F7AE9" w:rsidRDefault="001F7AE9" w:rsidP="00931A9C">
      <w:pPr>
        <w:jc w:val="both"/>
        <w:rPr>
          <w:rFonts w:ascii="Calibri" w:hAnsi="Calibri" w:cs="Calibri"/>
          <w:b/>
          <w:bCs/>
          <w:color w:val="0D0D0D"/>
          <w:shd w:val="clear" w:color="auto" w:fill="FFFFFF"/>
        </w:rPr>
      </w:pPr>
      <w:r>
        <w:rPr>
          <w:rFonts w:ascii="Calibri" w:hAnsi="Calibri" w:cs="Calibri"/>
          <w:b/>
          <w:bCs/>
          <w:color w:val="0D0D0D"/>
          <w:shd w:val="clear" w:color="auto" w:fill="FFFFFF"/>
        </w:rPr>
        <w:t>Security</w:t>
      </w:r>
    </w:p>
    <w:p w14:paraId="13A5194E" w14:textId="77777777" w:rsidR="00F535C1" w:rsidRDefault="00F535C1" w:rsidP="005743B5">
      <w:pPr>
        <w:jc w:val="both"/>
        <w:rPr>
          <w:rFonts w:ascii="Calibri" w:hAnsi="Calibri" w:cs="Calibri"/>
          <w:color w:val="0D0D0D"/>
          <w:shd w:val="clear" w:color="auto" w:fill="FFFFFF"/>
        </w:rPr>
      </w:pPr>
    </w:p>
    <w:p w14:paraId="3FC8895F" w14:textId="4445379D" w:rsidR="001F7AE9" w:rsidRPr="00DB4948" w:rsidRDefault="001F7AE9" w:rsidP="005743B5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color w:val="0D0D0D"/>
          <w:shd w:val="clear" w:color="auto" w:fill="FFFFFF"/>
        </w:rPr>
      </w:pPr>
      <w:r w:rsidRPr="00DB4948">
        <w:rPr>
          <w:rFonts w:ascii="Calibri" w:hAnsi="Calibri" w:cs="Calibri"/>
          <w:color w:val="0D0D0D"/>
          <w:shd w:val="clear" w:color="auto" w:fill="FFFFFF"/>
        </w:rPr>
        <w:t xml:space="preserve">Personal Guarantee </w:t>
      </w:r>
      <w:r w:rsidR="00975781" w:rsidRPr="00DB4948">
        <w:rPr>
          <w:rFonts w:ascii="Calibri" w:hAnsi="Calibri" w:cs="Calibri"/>
          <w:color w:val="0D0D0D"/>
          <w:shd w:val="clear" w:color="auto" w:fill="FFFFFF"/>
        </w:rPr>
        <w:t>of the Promoter</w:t>
      </w:r>
    </w:p>
    <w:p w14:paraId="0B4AD8A8" w14:textId="77777777" w:rsidR="00F535C1" w:rsidRPr="00DB4948" w:rsidRDefault="00F535C1" w:rsidP="005743B5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color w:val="0D0D0D"/>
          <w:shd w:val="clear" w:color="auto" w:fill="FFFFFF"/>
        </w:rPr>
      </w:pPr>
      <w:r w:rsidRPr="00DB4948">
        <w:rPr>
          <w:rFonts w:ascii="Calibri" w:hAnsi="Calibri" w:cs="Calibri"/>
          <w:color w:val="0D0D0D"/>
          <w:shd w:val="clear" w:color="auto" w:fill="FFFFFF"/>
        </w:rPr>
        <w:t>Co-obligor model</w:t>
      </w:r>
    </w:p>
    <w:p w14:paraId="51666206" w14:textId="77777777" w:rsidR="00F535C1" w:rsidRPr="00DB4948" w:rsidRDefault="001F7AE9" w:rsidP="005743B5">
      <w:pPr>
        <w:pStyle w:val="ListParagraph"/>
        <w:numPr>
          <w:ilvl w:val="0"/>
          <w:numId w:val="5"/>
        </w:numPr>
        <w:ind w:left="426"/>
        <w:jc w:val="both"/>
        <w:rPr>
          <w:rFonts w:ascii="Calibri" w:hAnsi="Calibri" w:cs="Calibri"/>
          <w:color w:val="0D0D0D"/>
          <w:shd w:val="clear" w:color="auto" w:fill="FFFFFF"/>
        </w:rPr>
      </w:pPr>
      <w:r w:rsidRPr="00DB4948">
        <w:rPr>
          <w:rFonts w:ascii="Calibri" w:hAnsi="Calibri" w:cs="Calibri"/>
          <w:color w:val="0D0D0D"/>
          <w:shd w:val="clear" w:color="auto" w:fill="FFFFFF"/>
        </w:rPr>
        <w:t xml:space="preserve">Mortgage / charge over projects assets including current assets </w:t>
      </w:r>
    </w:p>
    <w:sectPr w:rsidR="00F535C1" w:rsidRPr="00DB4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50B"/>
    <w:multiLevelType w:val="hybridMultilevel"/>
    <w:tmpl w:val="20DA9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1FC4"/>
    <w:multiLevelType w:val="hybridMultilevel"/>
    <w:tmpl w:val="1E40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52AB"/>
    <w:multiLevelType w:val="hybridMultilevel"/>
    <w:tmpl w:val="623A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746A"/>
    <w:multiLevelType w:val="hybridMultilevel"/>
    <w:tmpl w:val="98E0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3649"/>
    <w:multiLevelType w:val="hybridMultilevel"/>
    <w:tmpl w:val="AFB4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2283"/>
    <w:multiLevelType w:val="hybridMultilevel"/>
    <w:tmpl w:val="B09C0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A2969"/>
    <w:multiLevelType w:val="hybridMultilevel"/>
    <w:tmpl w:val="1BD6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77853">
    <w:abstractNumId w:val="0"/>
  </w:num>
  <w:num w:numId="2" w16cid:durableId="1695768731">
    <w:abstractNumId w:val="5"/>
  </w:num>
  <w:num w:numId="3" w16cid:durableId="1229531400">
    <w:abstractNumId w:val="4"/>
  </w:num>
  <w:num w:numId="4" w16cid:durableId="1280992974">
    <w:abstractNumId w:val="3"/>
  </w:num>
  <w:num w:numId="5" w16cid:durableId="334655508">
    <w:abstractNumId w:val="6"/>
  </w:num>
  <w:num w:numId="6" w16cid:durableId="1637637183">
    <w:abstractNumId w:val="2"/>
  </w:num>
  <w:num w:numId="7" w16cid:durableId="195613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EB"/>
    <w:rsid w:val="000332C6"/>
    <w:rsid w:val="00055FC1"/>
    <w:rsid w:val="000835FF"/>
    <w:rsid w:val="00085A8F"/>
    <w:rsid w:val="00100F1C"/>
    <w:rsid w:val="00104E38"/>
    <w:rsid w:val="001418BD"/>
    <w:rsid w:val="001770A3"/>
    <w:rsid w:val="001943B3"/>
    <w:rsid w:val="001A2F4C"/>
    <w:rsid w:val="001F7AE9"/>
    <w:rsid w:val="00214AB1"/>
    <w:rsid w:val="0024167B"/>
    <w:rsid w:val="002533F1"/>
    <w:rsid w:val="002F6626"/>
    <w:rsid w:val="00324C50"/>
    <w:rsid w:val="00336C57"/>
    <w:rsid w:val="003B29EB"/>
    <w:rsid w:val="003E3F3E"/>
    <w:rsid w:val="003F4F84"/>
    <w:rsid w:val="003F5AF8"/>
    <w:rsid w:val="00410172"/>
    <w:rsid w:val="0048528F"/>
    <w:rsid w:val="00487EE6"/>
    <w:rsid w:val="004B7C4F"/>
    <w:rsid w:val="004C47D9"/>
    <w:rsid w:val="00556621"/>
    <w:rsid w:val="005743B5"/>
    <w:rsid w:val="00575145"/>
    <w:rsid w:val="005816B2"/>
    <w:rsid w:val="005949BE"/>
    <w:rsid w:val="005977F3"/>
    <w:rsid w:val="005F1B57"/>
    <w:rsid w:val="00662802"/>
    <w:rsid w:val="006B003D"/>
    <w:rsid w:val="006C322E"/>
    <w:rsid w:val="0070226C"/>
    <w:rsid w:val="00735103"/>
    <w:rsid w:val="007364CD"/>
    <w:rsid w:val="00764BA3"/>
    <w:rsid w:val="00775974"/>
    <w:rsid w:val="007A6AC1"/>
    <w:rsid w:val="008670D8"/>
    <w:rsid w:val="00867450"/>
    <w:rsid w:val="0087173B"/>
    <w:rsid w:val="008B009E"/>
    <w:rsid w:val="008B43DB"/>
    <w:rsid w:val="008B44C7"/>
    <w:rsid w:val="008D3CAC"/>
    <w:rsid w:val="008F481D"/>
    <w:rsid w:val="00903AA4"/>
    <w:rsid w:val="00903C30"/>
    <w:rsid w:val="00915A50"/>
    <w:rsid w:val="00931A9C"/>
    <w:rsid w:val="00945AAD"/>
    <w:rsid w:val="00975781"/>
    <w:rsid w:val="009D20A2"/>
    <w:rsid w:val="00A368D9"/>
    <w:rsid w:val="00A70BA4"/>
    <w:rsid w:val="00A76330"/>
    <w:rsid w:val="00AD5D51"/>
    <w:rsid w:val="00AF785F"/>
    <w:rsid w:val="00B1110D"/>
    <w:rsid w:val="00B93533"/>
    <w:rsid w:val="00B952FB"/>
    <w:rsid w:val="00BE0AD2"/>
    <w:rsid w:val="00C324EE"/>
    <w:rsid w:val="00C544D9"/>
    <w:rsid w:val="00C5549C"/>
    <w:rsid w:val="00C64601"/>
    <w:rsid w:val="00C8714C"/>
    <w:rsid w:val="00C95190"/>
    <w:rsid w:val="00D16A26"/>
    <w:rsid w:val="00D42B4F"/>
    <w:rsid w:val="00D53BD6"/>
    <w:rsid w:val="00D67CAA"/>
    <w:rsid w:val="00D77B49"/>
    <w:rsid w:val="00DB4948"/>
    <w:rsid w:val="00DE0502"/>
    <w:rsid w:val="00DF0AA0"/>
    <w:rsid w:val="00E15C81"/>
    <w:rsid w:val="00E47C69"/>
    <w:rsid w:val="00E6039E"/>
    <w:rsid w:val="00E8517A"/>
    <w:rsid w:val="00EF1AA3"/>
    <w:rsid w:val="00EF7AC0"/>
    <w:rsid w:val="00F23166"/>
    <w:rsid w:val="00F30502"/>
    <w:rsid w:val="00F41B64"/>
    <w:rsid w:val="00F535C1"/>
    <w:rsid w:val="00FC75D2"/>
    <w:rsid w:val="00F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44FE5"/>
  <w15:chartTrackingRefBased/>
  <w15:docId w15:val="{387A9B17-8E3D-3140-9B20-BD1A879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EB"/>
    <w:pPr>
      <w:ind w:left="720"/>
      <w:contextualSpacing/>
    </w:pPr>
  </w:style>
  <w:style w:type="table" w:styleId="TableGrid">
    <w:name w:val="Table Grid"/>
    <w:basedOn w:val="TableNormal"/>
    <w:uiPriority w:val="39"/>
    <w:rsid w:val="001943B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6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9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1117</Words>
  <Characters>5891</Characters>
  <Application>Microsoft Office Word</Application>
  <DocSecurity>0</DocSecurity>
  <Lines>267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69</cp:revision>
  <dcterms:created xsi:type="dcterms:W3CDTF">2024-04-19T13:05:00Z</dcterms:created>
  <dcterms:modified xsi:type="dcterms:W3CDTF">2024-07-28T10:58:00Z</dcterms:modified>
</cp:coreProperties>
</file>