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837" w14:textId="77777777" w:rsidR="00B31F9E" w:rsidRDefault="00B31F9E" w:rsidP="00B31F9E">
      <w:pPr>
        <w:spacing w:line="360" w:lineRule="auto"/>
        <w:ind w:right="-164"/>
        <w:jc w:val="center"/>
        <w:rPr>
          <w:rFonts w:ascii="Arial" w:hAnsi="Arial" w:cs="Arial"/>
          <w:b/>
          <w:sz w:val="20"/>
          <w:szCs w:val="20"/>
        </w:rPr>
      </w:pPr>
    </w:p>
    <w:p w14:paraId="3FE132AB" w14:textId="77777777" w:rsidR="00B31F9E" w:rsidRDefault="00B31F9E" w:rsidP="00B31F9E">
      <w:pPr>
        <w:spacing w:line="360" w:lineRule="auto"/>
        <w:ind w:right="-164"/>
        <w:jc w:val="center"/>
        <w:rPr>
          <w:rFonts w:ascii="Arial" w:hAnsi="Arial" w:cs="Arial"/>
          <w:b/>
          <w:sz w:val="20"/>
          <w:szCs w:val="20"/>
        </w:rPr>
      </w:pPr>
    </w:p>
    <w:p w14:paraId="362D66DD" w14:textId="37011722" w:rsidR="00001CE0" w:rsidRPr="005C6FC8" w:rsidRDefault="00001CE0" w:rsidP="00B31F9E">
      <w:pPr>
        <w:spacing w:line="360" w:lineRule="auto"/>
        <w:ind w:right="-164"/>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B31F9E">
      <w:pPr>
        <w:spacing w:line="360" w:lineRule="auto"/>
        <w:ind w:right="-164"/>
        <w:rPr>
          <w:rFonts w:ascii="Arial" w:hAnsi="Arial" w:cs="Arial"/>
          <w:b/>
        </w:rPr>
      </w:pPr>
      <w:r w:rsidRPr="005C6FC8">
        <w:rPr>
          <w:rFonts w:ascii="Arial" w:hAnsi="Arial" w:cs="Arial"/>
          <w:b/>
        </w:rPr>
        <w:tab/>
      </w:r>
      <w:r w:rsidRPr="005C6FC8">
        <w:rPr>
          <w:rFonts w:ascii="Arial" w:hAnsi="Arial" w:cs="Arial"/>
          <w:b/>
        </w:rPr>
        <w:tab/>
      </w:r>
    </w:p>
    <w:p w14:paraId="732666B6" w14:textId="663BC89C" w:rsidR="00001CE0" w:rsidRPr="005C6FC8" w:rsidRDefault="00001CE0" w:rsidP="00B31F9E">
      <w:pPr>
        <w:spacing w:line="360" w:lineRule="auto"/>
        <w:ind w:right="-164"/>
        <w:rPr>
          <w:b/>
        </w:rPr>
      </w:pPr>
      <w:r w:rsidRPr="00EE4A8E">
        <w:rPr>
          <w:rFonts w:ascii="Arial" w:hAnsi="Arial" w:cs="Arial"/>
          <w:b/>
        </w:rPr>
        <w:t xml:space="preserve">File No.: </w:t>
      </w:r>
      <w:r w:rsidR="00FF5BE7" w:rsidRPr="00FF5BE7">
        <w:rPr>
          <w:rFonts w:ascii="Arial" w:hAnsi="Arial" w:cs="Arial"/>
          <w:b/>
        </w:rPr>
        <w:t>VIS</w:t>
      </w:r>
      <w:r w:rsidR="00B31F9E">
        <w:rPr>
          <w:rFonts w:ascii="Arial" w:hAnsi="Arial" w:cs="Arial"/>
          <w:b/>
        </w:rPr>
        <w:t xml:space="preserve"> </w:t>
      </w:r>
      <w:r w:rsidR="00FF5BE7" w:rsidRPr="00FF5BE7">
        <w:rPr>
          <w:rFonts w:ascii="Arial" w:hAnsi="Arial" w:cs="Arial"/>
          <w:b/>
        </w:rPr>
        <w:t>(2024-25)</w:t>
      </w:r>
      <w:r w:rsidR="00FF5BE7">
        <w:rPr>
          <w:rFonts w:ascii="Arial" w:hAnsi="Arial" w:cs="Arial"/>
          <w:b/>
        </w:rPr>
        <w:t>-</w:t>
      </w:r>
      <w:r w:rsidR="00FF5BE7" w:rsidRPr="00FF5BE7">
        <w:rPr>
          <w:rFonts w:ascii="Arial" w:hAnsi="Arial" w:cs="Arial"/>
          <w:b/>
        </w:rPr>
        <w:t>PL290-Q033-252-33</w:t>
      </w:r>
      <w:r w:rsidR="00F74544">
        <w:rPr>
          <w:rFonts w:ascii="Arial" w:hAnsi="Arial" w:cs="Arial"/>
          <w:b/>
        </w:rPr>
        <w:t>0</w:t>
      </w:r>
      <w:r>
        <w:rPr>
          <w:rFonts w:ascii="Arial" w:hAnsi="Arial" w:cs="Arial"/>
          <w:b/>
        </w:rPr>
        <w:tab/>
        <w:t xml:space="preserve">                  </w:t>
      </w:r>
      <w:r w:rsidR="00B31F9E">
        <w:rPr>
          <w:rFonts w:ascii="Arial" w:hAnsi="Arial" w:cs="Arial"/>
          <w:b/>
        </w:rPr>
        <w:t xml:space="preserve">  </w:t>
      </w:r>
      <w:r w:rsidR="00B31F9E">
        <w:rPr>
          <w:rFonts w:ascii="Arial" w:hAnsi="Arial" w:cs="Arial"/>
          <w:b/>
        </w:rPr>
        <w:tab/>
        <w:t xml:space="preserve">          </w:t>
      </w:r>
      <w:r w:rsidRPr="005C6FC8">
        <w:rPr>
          <w:rFonts w:ascii="Arial" w:hAnsi="Arial" w:cs="Arial"/>
          <w:b/>
        </w:rPr>
        <w:t>Dated</w:t>
      </w:r>
      <w:r w:rsidRPr="00437A7B">
        <w:rPr>
          <w:rFonts w:ascii="Arial" w:hAnsi="Arial" w:cs="Arial"/>
          <w:b/>
        </w:rPr>
        <w:t xml:space="preserve">: </w:t>
      </w:r>
      <w:r w:rsidR="00BB7D51">
        <w:rPr>
          <w:rFonts w:ascii="Arial" w:hAnsi="Arial" w:cs="Arial"/>
          <w:b/>
        </w:rPr>
        <w:t>04</w:t>
      </w:r>
      <w:r w:rsidR="00B31F9E">
        <w:rPr>
          <w:rFonts w:ascii="Arial" w:hAnsi="Arial" w:cs="Arial"/>
          <w:b/>
        </w:rPr>
        <w:t>.0</w:t>
      </w:r>
      <w:r w:rsidR="00BB7D51">
        <w:rPr>
          <w:rFonts w:ascii="Arial" w:hAnsi="Arial" w:cs="Arial"/>
          <w:b/>
        </w:rPr>
        <w:t>9</w:t>
      </w:r>
      <w:r w:rsidR="00B31F9E">
        <w:rPr>
          <w:rFonts w:ascii="Arial" w:hAnsi="Arial" w:cs="Arial"/>
          <w:b/>
        </w:rPr>
        <w:t>.2024</w:t>
      </w:r>
    </w:p>
    <w:p w14:paraId="3A949565" w14:textId="77777777" w:rsidR="00C01760" w:rsidRDefault="00C01760" w:rsidP="00B31F9E">
      <w:pPr>
        <w:spacing w:line="276" w:lineRule="auto"/>
        <w:ind w:right="-164"/>
        <w:jc w:val="center"/>
        <w:rPr>
          <w:rFonts w:ascii="Arial" w:hAnsi="Arial" w:cs="Arial"/>
          <w:b/>
          <w:sz w:val="48"/>
        </w:rPr>
      </w:pPr>
    </w:p>
    <w:p w14:paraId="0B3F2BCD" w14:textId="06C8F74E" w:rsidR="002D0E09" w:rsidRDefault="00FF5BE7" w:rsidP="00B31F9E">
      <w:pPr>
        <w:spacing w:after="0" w:line="360" w:lineRule="auto"/>
        <w:ind w:right="-164"/>
        <w:jc w:val="center"/>
        <w:rPr>
          <w:rFonts w:ascii="Arial" w:hAnsi="Arial" w:cs="Arial"/>
          <w:b/>
        </w:rPr>
      </w:pPr>
      <w:r>
        <w:rPr>
          <w:rFonts w:ascii="Arial" w:hAnsi="Arial" w:cs="Arial"/>
          <w:b/>
          <w:sz w:val="48"/>
        </w:rPr>
        <w:t>SHARE</w:t>
      </w:r>
      <w:r w:rsidR="00001CE0" w:rsidRPr="005C6FC8">
        <w:rPr>
          <w:rFonts w:ascii="Arial" w:hAnsi="Arial" w:cs="Arial"/>
          <w:b/>
          <w:sz w:val="48"/>
        </w:rPr>
        <w:t xml:space="preserve"> VALUATION REPORT</w:t>
      </w:r>
    </w:p>
    <w:p w14:paraId="637B359C" w14:textId="77777777" w:rsidR="00A6569E" w:rsidRDefault="00A6569E" w:rsidP="00B31F9E">
      <w:pPr>
        <w:spacing w:after="0" w:line="360" w:lineRule="auto"/>
        <w:ind w:right="-164"/>
        <w:jc w:val="center"/>
        <w:rPr>
          <w:rFonts w:ascii="Arial" w:hAnsi="Arial" w:cs="Arial"/>
          <w:b/>
        </w:rPr>
      </w:pPr>
    </w:p>
    <w:p w14:paraId="55CF43C0" w14:textId="7A0185DD" w:rsidR="002D0E09" w:rsidRDefault="00001CE0" w:rsidP="00B31F9E">
      <w:pPr>
        <w:spacing w:after="0" w:line="360" w:lineRule="auto"/>
        <w:ind w:right="-164"/>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B31F9E">
      <w:pPr>
        <w:spacing w:after="0" w:line="360" w:lineRule="auto"/>
        <w:ind w:right="-164"/>
        <w:jc w:val="center"/>
        <w:outlineLvl w:val="0"/>
        <w:rPr>
          <w:rFonts w:ascii="Arial" w:hAnsi="Arial" w:cs="Arial"/>
          <w:b/>
        </w:rPr>
      </w:pPr>
    </w:p>
    <w:p w14:paraId="33C8225B" w14:textId="0D4D7AD5" w:rsidR="009242FE" w:rsidRPr="00B36C32" w:rsidRDefault="00B31F9E" w:rsidP="00B31F9E">
      <w:pPr>
        <w:spacing w:after="0" w:line="360" w:lineRule="auto"/>
        <w:ind w:right="-164"/>
        <w:jc w:val="center"/>
        <w:outlineLvl w:val="0"/>
        <w:rPr>
          <w:rFonts w:ascii="Arial" w:hAnsi="Arial" w:cs="Arial"/>
          <w:b/>
          <w:sz w:val="44"/>
          <w:szCs w:val="32"/>
        </w:rPr>
      </w:pPr>
      <w:r>
        <w:rPr>
          <w:rFonts w:ascii="Arial" w:hAnsi="Arial" w:cs="Arial"/>
          <w:b/>
          <w:sz w:val="44"/>
          <w:szCs w:val="32"/>
        </w:rPr>
        <w:t xml:space="preserve">G. D. </w:t>
      </w:r>
      <w:r w:rsidR="00F74544">
        <w:rPr>
          <w:rFonts w:ascii="Arial" w:hAnsi="Arial" w:cs="Arial"/>
          <w:b/>
          <w:sz w:val="44"/>
          <w:szCs w:val="32"/>
        </w:rPr>
        <w:t>CONTRACTORS</w:t>
      </w:r>
      <w:r>
        <w:rPr>
          <w:rFonts w:ascii="Arial" w:hAnsi="Arial" w:cs="Arial"/>
          <w:b/>
          <w:sz w:val="44"/>
          <w:szCs w:val="32"/>
        </w:rPr>
        <w:t xml:space="preserve"> </w:t>
      </w:r>
      <w:r w:rsidR="00F74544">
        <w:rPr>
          <w:rFonts w:ascii="Arial" w:hAnsi="Arial" w:cs="Arial"/>
          <w:b/>
          <w:sz w:val="44"/>
          <w:szCs w:val="32"/>
        </w:rPr>
        <w:t>PRIVATE</w:t>
      </w:r>
      <w:r>
        <w:rPr>
          <w:rFonts w:ascii="Arial" w:hAnsi="Arial" w:cs="Arial"/>
          <w:b/>
          <w:sz w:val="44"/>
          <w:szCs w:val="32"/>
        </w:rPr>
        <w:t xml:space="preserve"> LIMITED</w:t>
      </w:r>
    </w:p>
    <w:p w14:paraId="1FDAD0D5" w14:textId="2BB03FDB" w:rsidR="00835E7B" w:rsidRPr="00990E19" w:rsidRDefault="00835E7B" w:rsidP="00B31F9E">
      <w:pPr>
        <w:spacing w:after="0" w:line="360" w:lineRule="auto"/>
        <w:ind w:right="-164"/>
        <w:outlineLvl w:val="0"/>
        <w:rPr>
          <w:rFonts w:ascii="Arial" w:hAnsi="Arial" w:cs="Arial"/>
          <w:b/>
          <w:sz w:val="16"/>
          <w:szCs w:val="10"/>
        </w:rPr>
      </w:pPr>
    </w:p>
    <w:p w14:paraId="238E85A2" w14:textId="77777777" w:rsidR="002D0E09" w:rsidRPr="00990E19" w:rsidRDefault="002D0E09" w:rsidP="00B31F9E">
      <w:pPr>
        <w:spacing w:after="0" w:line="360" w:lineRule="auto"/>
        <w:ind w:right="-164"/>
        <w:outlineLvl w:val="0"/>
        <w:rPr>
          <w:rFonts w:ascii="Arial" w:hAnsi="Arial" w:cs="Arial"/>
          <w:b/>
          <w:sz w:val="22"/>
          <w:szCs w:val="16"/>
        </w:rPr>
      </w:pPr>
    </w:p>
    <w:p w14:paraId="288A31B4" w14:textId="77777777" w:rsidR="00001CE0" w:rsidRPr="006E141E" w:rsidRDefault="00001CE0" w:rsidP="00B31F9E">
      <w:pPr>
        <w:spacing w:line="360" w:lineRule="auto"/>
        <w:ind w:right="-164"/>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EndPr/>
      <w:sdtContent>
        <w:p w14:paraId="49C3BDAB" w14:textId="7ED9A85C" w:rsidR="009242FE" w:rsidRDefault="00B31F9E" w:rsidP="00B31F9E">
          <w:pPr>
            <w:spacing w:line="360" w:lineRule="auto"/>
            <w:ind w:right="-164"/>
            <w:jc w:val="center"/>
            <w:rPr>
              <w:rFonts w:ascii="Arial" w:hAnsi="Arial" w:cs="Arial"/>
              <w:b/>
              <w:sz w:val="28"/>
              <w:szCs w:val="28"/>
            </w:rPr>
          </w:pPr>
          <w:r w:rsidRPr="00B31F9E">
            <w:rPr>
              <w:rFonts w:ascii="Arial" w:hAnsi="Arial" w:cs="Arial"/>
              <w:b/>
              <w:sz w:val="28"/>
              <w:szCs w:val="28"/>
            </w:rPr>
            <w:t>A - 09, GD-ITL NORTHEX TOWER, NETAJI SUBHASH PLACE, PITAMPURA, NORTH</w:t>
          </w:r>
          <w:r>
            <w:rPr>
              <w:rFonts w:ascii="Arial" w:hAnsi="Arial" w:cs="Arial"/>
              <w:b/>
              <w:sz w:val="28"/>
              <w:szCs w:val="28"/>
            </w:rPr>
            <w:t>-</w:t>
          </w:r>
          <w:r w:rsidRPr="00B31F9E">
            <w:rPr>
              <w:rFonts w:ascii="Arial" w:hAnsi="Arial" w:cs="Arial"/>
              <w:b/>
              <w:sz w:val="28"/>
              <w:szCs w:val="28"/>
            </w:rPr>
            <w:t>WEST</w:t>
          </w:r>
          <w:r>
            <w:rPr>
              <w:rFonts w:ascii="Arial" w:hAnsi="Arial" w:cs="Arial"/>
              <w:b/>
              <w:sz w:val="28"/>
              <w:szCs w:val="28"/>
            </w:rPr>
            <w:t xml:space="preserve"> </w:t>
          </w:r>
          <w:r w:rsidRPr="00B31F9E">
            <w:rPr>
              <w:rFonts w:ascii="Arial" w:hAnsi="Arial" w:cs="Arial"/>
              <w:b/>
              <w:sz w:val="28"/>
              <w:szCs w:val="28"/>
            </w:rPr>
            <w:t>DELHI, DELHI, INDIA</w:t>
          </w:r>
          <w:r>
            <w:rPr>
              <w:rFonts w:ascii="Arial" w:hAnsi="Arial" w:cs="Arial"/>
              <w:b/>
              <w:sz w:val="28"/>
              <w:szCs w:val="28"/>
            </w:rPr>
            <w:t>-</w:t>
          </w:r>
          <w:r w:rsidRPr="00B31F9E">
            <w:rPr>
              <w:rFonts w:ascii="Arial" w:hAnsi="Arial" w:cs="Arial"/>
              <w:b/>
              <w:sz w:val="28"/>
              <w:szCs w:val="28"/>
            </w:rPr>
            <w:t>110034</w:t>
          </w:r>
        </w:p>
      </w:sdtContent>
    </w:sdt>
    <w:p w14:paraId="546A4004" w14:textId="77777777" w:rsidR="00BE5BDB" w:rsidRPr="00990E19" w:rsidRDefault="00BE5BDB" w:rsidP="00B31F9E">
      <w:pPr>
        <w:tabs>
          <w:tab w:val="left" w:pos="8190"/>
        </w:tabs>
        <w:spacing w:line="360" w:lineRule="auto"/>
        <w:ind w:right="-164"/>
        <w:outlineLvl w:val="0"/>
        <w:rPr>
          <w:rFonts w:ascii="Arial" w:hAnsi="Arial" w:cs="Arial"/>
          <w:b/>
          <w:sz w:val="14"/>
          <w:szCs w:val="14"/>
        </w:rPr>
      </w:pPr>
    </w:p>
    <w:p w14:paraId="64D5AF56" w14:textId="77777777" w:rsidR="00001CE0" w:rsidRPr="00A30DF0" w:rsidRDefault="00001CE0" w:rsidP="00B31F9E">
      <w:pPr>
        <w:tabs>
          <w:tab w:val="left" w:pos="8190"/>
        </w:tabs>
        <w:spacing w:line="360" w:lineRule="auto"/>
        <w:ind w:right="-164"/>
        <w:jc w:val="center"/>
        <w:outlineLvl w:val="0"/>
        <w:rPr>
          <w:rFonts w:ascii="Arial" w:hAnsi="Arial" w:cs="Arial"/>
          <w:b/>
        </w:rPr>
      </w:pPr>
      <w:r w:rsidRPr="00A30DF0">
        <w:rPr>
          <w:rFonts w:ascii="Arial" w:hAnsi="Arial" w:cs="Arial"/>
          <w:b/>
        </w:rPr>
        <w:t>REPORT PREPARED FOR</w:t>
      </w:r>
    </w:p>
    <w:p w14:paraId="74B470AC" w14:textId="40FC4AA8" w:rsidR="00001CE0" w:rsidRPr="00A30DF0" w:rsidRDefault="00B31F9E" w:rsidP="00B31F9E">
      <w:pPr>
        <w:spacing w:before="240" w:line="360" w:lineRule="auto"/>
        <w:ind w:right="-164"/>
        <w:jc w:val="center"/>
        <w:rPr>
          <w:rFonts w:ascii="Arial" w:hAnsi="Arial" w:cs="Arial"/>
          <w:b/>
        </w:rPr>
      </w:pPr>
      <w:r w:rsidRPr="00A30DF0">
        <w:rPr>
          <w:rFonts w:ascii="Arial" w:hAnsi="Arial" w:cs="Arial"/>
          <w:b/>
        </w:rPr>
        <w:t>INDUS TUBES LIMITED</w:t>
      </w:r>
      <w:r w:rsidR="00001CE0" w:rsidRPr="00A30DF0">
        <w:rPr>
          <w:rFonts w:ascii="Arial" w:hAnsi="Arial" w:cs="Arial"/>
          <w:b/>
        </w:rPr>
        <w:t xml:space="preserve">, </w:t>
      </w:r>
      <w:r w:rsidRPr="00A30DF0">
        <w:rPr>
          <w:rFonts w:ascii="Arial" w:hAnsi="Arial" w:cs="Arial"/>
          <w:b/>
        </w:rPr>
        <w:t>B - 08, GD - ITL TOWER, TOP FLOOR, NETAJI SUBHASH PLACE, WAZIRPUR DISTRICT CENTRE, PITAMPURA, DELHI, INDIA</w:t>
      </w:r>
      <w:r w:rsidR="00A30DF0" w:rsidRPr="00A30DF0">
        <w:rPr>
          <w:rFonts w:ascii="Arial" w:hAnsi="Arial" w:cs="Arial"/>
          <w:b/>
        </w:rPr>
        <w:t>-</w:t>
      </w:r>
      <w:r w:rsidRPr="00A30DF0">
        <w:rPr>
          <w:rFonts w:ascii="Arial" w:hAnsi="Arial" w:cs="Arial"/>
          <w:b/>
        </w:rPr>
        <w:t xml:space="preserve"> 110034</w:t>
      </w:r>
    </w:p>
    <w:p w14:paraId="330A0F91" w14:textId="77777777" w:rsidR="00990E19" w:rsidRDefault="00990E19" w:rsidP="00B31F9E">
      <w:pPr>
        <w:spacing w:line="360" w:lineRule="auto"/>
        <w:ind w:right="-164"/>
        <w:jc w:val="center"/>
        <w:rPr>
          <w:rFonts w:ascii="Arial" w:hAnsi="Arial" w:cs="Arial"/>
          <w:b/>
        </w:rPr>
      </w:pPr>
    </w:p>
    <w:p w14:paraId="20D7DCE1" w14:textId="1A5D32FE" w:rsidR="00001CE0"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**Important - In case of any query/ issue or escalation you may please contact Incident Manager at valuers@rkassociates.org. We will appreciate your feedback in order to improve our services.</w:t>
      </w:r>
    </w:p>
    <w:p w14:paraId="0479FAF1" w14:textId="77777777" w:rsidR="00990E19" w:rsidRPr="00B31F9E" w:rsidRDefault="00990E19" w:rsidP="00B31F9E">
      <w:pPr>
        <w:spacing w:after="0" w:line="360" w:lineRule="auto"/>
        <w:ind w:right="-164"/>
        <w:jc w:val="center"/>
        <w:rPr>
          <w:rFonts w:ascii="Arial" w:hAnsi="Arial" w:cs="Arial"/>
          <w:b/>
          <w:i/>
          <w:sz w:val="18"/>
          <w:szCs w:val="14"/>
        </w:rPr>
      </w:pPr>
    </w:p>
    <w:p w14:paraId="14415C16" w14:textId="77777777" w:rsidR="001F44AB"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NOTE: As per IBA Guidelines please provide your feedback on the report within 15 days of its submission after which report will be considered to be correct.</w:t>
      </w:r>
    </w:p>
    <w:p w14:paraId="0F57FC3D" w14:textId="62E7E80D" w:rsidR="00B31F9E" w:rsidRDefault="00B31F9E">
      <w:pPr>
        <w:rPr>
          <w:rFonts w:ascii="Arial" w:eastAsia="Arial" w:hAnsi="Arial" w:cs="Arial"/>
          <w:b/>
          <w:sz w:val="22"/>
          <w:szCs w:val="22"/>
          <w:u w:val="single"/>
        </w:rPr>
      </w:pPr>
    </w:p>
    <w:p w14:paraId="75BE1DC6" w14:textId="77777777" w:rsidR="00B31F9E" w:rsidRDefault="00B31F9E">
      <w:pPr>
        <w:rPr>
          <w:rFonts w:ascii="Arial" w:eastAsia="Arial" w:hAnsi="Arial" w:cs="Arial"/>
          <w:b/>
          <w:sz w:val="22"/>
          <w:szCs w:val="22"/>
          <w:u w:val="single"/>
        </w:rPr>
      </w:pPr>
    </w:p>
    <w:p w14:paraId="300218D5" w14:textId="7F1CCFAC" w:rsidR="005C15C9" w:rsidRDefault="005C15C9" w:rsidP="00B31F9E">
      <w:pPr>
        <w:tabs>
          <w:tab w:val="left" w:pos="360"/>
        </w:tabs>
        <w:spacing w:line="360" w:lineRule="auto"/>
        <w:ind w:right="-164"/>
        <w:jc w:val="center"/>
        <w:rPr>
          <w:rFonts w:ascii="Arial" w:eastAsia="Arial" w:hAnsi="Arial" w:cs="Arial"/>
          <w:b/>
          <w:sz w:val="22"/>
          <w:szCs w:val="22"/>
          <w:u w:val="single"/>
        </w:rPr>
      </w:pPr>
      <w:r>
        <w:rPr>
          <w:rFonts w:ascii="Arial" w:eastAsia="Arial" w:hAnsi="Arial" w:cs="Arial"/>
          <w:b/>
          <w:sz w:val="22"/>
          <w:szCs w:val="22"/>
          <w:u w:val="single"/>
        </w:rPr>
        <w:t>IMPORTANT NOTICE</w:t>
      </w:r>
    </w:p>
    <w:p w14:paraId="50BFC561" w14:textId="77777777" w:rsidR="00990E19" w:rsidRDefault="00990E19" w:rsidP="00B31F9E">
      <w:pPr>
        <w:tabs>
          <w:tab w:val="left" w:pos="360"/>
        </w:tabs>
        <w:spacing w:line="360" w:lineRule="auto"/>
        <w:ind w:right="-164"/>
        <w:jc w:val="center"/>
        <w:rPr>
          <w:rFonts w:ascii="Arial" w:eastAsia="Arial" w:hAnsi="Arial" w:cs="Arial"/>
          <w:b/>
          <w:sz w:val="22"/>
          <w:szCs w:val="22"/>
          <w:u w:val="single"/>
        </w:rPr>
      </w:pPr>
    </w:p>
    <w:p w14:paraId="43CB8C56"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B31F9E">
      <w:pPr>
        <w:tabs>
          <w:tab w:val="left" w:pos="360"/>
        </w:tabs>
        <w:spacing w:line="360" w:lineRule="auto"/>
        <w:ind w:right="-164"/>
        <w:jc w:val="center"/>
        <w:rPr>
          <w:rFonts w:ascii="Arial" w:eastAsia="Arial" w:hAnsi="Arial" w:cs="Arial"/>
          <w:i/>
          <w:sz w:val="22"/>
          <w:szCs w:val="22"/>
        </w:rPr>
      </w:pPr>
    </w:p>
    <w:p w14:paraId="77146A7B" w14:textId="0174D35E" w:rsidR="005C15C9" w:rsidRDefault="005C15C9" w:rsidP="00B31F9E">
      <w:pPr>
        <w:spacing w:line="360" w:lineRule="auto"/>
        <w:ind w:right="-164"/>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B31F9E">
      <w:pPr>
        <w:spacing w:line="360" w:lineRule="auto"/>
        <w:ind w:right="-164"/>
        <w:rPr>
          <w:rFonts w:ascii="Arial" w:eastAsia="Arial" w:hAnsi="Arial" w:cs="Arial"/>
          <w:b/>
          <w:sz w:val="22"/>
          <w:szCs w:val="22"/>
          <w:u w:val="single"/>
        </w:rPr>
      </w:pPr>
    </w:p>
    <w:p w14:paraId="4808DCB2" w14:textId="6D107D6E" w:rsidR="005C15C9" w:rsidRDefault="005C15C9" w:rsidP="00B31F9E">
      <w:pPr>
        <w:spacing w:line="360" w:lineRule="auto"/>
        <w:ind w:right="-164"/>
        <w:jc w:val="both"/>
        <w:rPr>
          <w:rFonts w:ascii="Arial" w:eastAsia="Arial" w:hAnsi="Arial" w:cs="Arial"/>
          <w:b/>
          <w:i/>
          <w:sz w:val="20"/>
          <w:szCs w:val="20"/>
        </w:rPr>
      </w:pPr>
      <w:r w:rsidRPr="00BB7D51">
        <w:rPr>
          <w:rFonts w:ascii="Arial" w:eastAsia="Arial" w:hAnsi="Arial" w:cs="Arial"/>
          <w:b/>
          <w:i/>
          <w:sz w:val="22"/>
          <w:szCs w:val="22"/>
          <w:u w:val="single"/>
        </w:rPr>
        <w:t xml:space="preserve">Part </w:t>
      </w:r>
      <w:r w:rsidR="00382F20">
        <w:rPr>
          <w:rFonts w:ascii="Arial" w:eastAsia="Arial" w:hAnsi="Arial" w:cs="Arial"/>
          <w:b/>
          <w:i/>
          <w:sz w:val="22"/>
          <w:szCs w:val="22"/>
          <w:u w:val="single"/>
        </w:rPr>
        <w:t>E</w:t>
      </w:r>
      <w:r w:rsidRPr="00BB7D51">
        <w:rPr>
          <w:rFonts w:ascii="Arial" w:eastAsia="Arial" w:hAnsi="Arial" w:cs="Arial"/>
          <w:b/>
          <w:i/>
          <w:sz w:val="22"/>
          <w:szCs w:val="22"/>
          <w:u w:val="single"/>
        </w:rPr>
        <w:t>: R. K. Associates Important Disclaimer and Remarks</w:t>
      </w:r>
      <w:r w:rsidRPr="00BB7D51">
        <w:rPr>
          <w:rFonts w:ascii="Arial" w:eastAsia="Arial" w:hAnsi="Arial" w:cs="Arial"/>
          <w:b/>
          <w:i/>
          <w:sz w:val="22"/>
          <w:szCs w:val="22"/>
        </w:rPr>
        <w:t xml:space="preserve"> </w:t>
      </w:r>
      <w:r w:rsidRPr="00BB7D51">
        <w:rPr>
          <w:rFonts w:ascii="Arial" w:eastAsia="Arial" w:hAnsi="Arial" w:cs="Arial"/>
          <w:i/>
          <w:sz w:val="22"/>
          <w:szCs w:val="22"/>
        </w:rPr>
        <w:t>are integral part of this report</w:t>
      </w:r>
      <w:r>
        <w:rPr>
          <w:rFonts w:ascii="Arial" w:eastAsia="Arial" w:hAnsi="Arial" w:cs="Arial"/>
          <w:i/>
          <w:sz w:val="22"/>
          <w:szCs w:val="22"/>
        </w:rPr>
        <w:t xml:space="preserve">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pPr w:leftFromText="180" w:rightFromText="180" w:vertAnchor="text" w:tblpX="-15"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6"/>
        <w:gridCol w:w="6402"/>
        <w:gridCol w:w="1335"/>
      </w:tblGrid>
      <w:tr w:rsidR="00A30DF0" w:rsidRPr="00A30DF0" w14:paraId="1CE508F1" w14:textId="77777777" w:rsidTr="00A30DF0">
        <w:trPr>
          <w:trHeight w:val="246"/>
          <w:tblHeader/>
        </w:trPr>
        <w:tc>
          <w:tcPr>
            <w:tcW w:w="5000" w:type="pct"/>
            <w:gridSpan w:val="3"/>
            <w:shd w:val="clear" w:color="auto" w:fill="002060"/>
            <w:vAlign w:val="center"/>
          </w:tcPr>
          <w:p w14:paraId="04571C4B" w14:textId="77777777" w:rsidR="00A30DF0" w:rsidRPr="00A30DF0" w:rsidRDefault="00A30DF0" w:rsidP="001A412A">
            <w:pPr>
              <w:spacing w:after="0" w:line="276" w:lineRule="auto"/>
              <w:jc w:val="center"/>
              <w:rPr>
                <w:rFonts w:ascii="Arial" w:hAnsi="Arial" w:cs="Arial"/>
                <w:b/>
                <w:sz w:val="22"/>
                <w:szCs w:val="22"/>
              </w:rPr>
            </w:pPr>
            <w:r w:rsidRPr="00A30DF0">
              <w:rPr>
                <w:rFonts w:ascii="Arial" w:hAnsi="Arial" w:cs="Arial"/>
                <w:b/>
                <w:sz w:val="22"/>
                <w:szCs w:val="22"/>
              </w:rPr>
              <w:lastRenderedPageBreak/>
              <w:t>TABLE OF CONTENTS</w:t>
            </w:r>
          </w:p>
        </w:tc>
      </w:tr>
      <w:tr w:rsidR="00A30DF0" w:rsidRPr="00A30DF0" w14:paraId="7E567BFD" w14:textId="77777777" w:rsidTr="001A412A">
        <w:trPr>
          <w:trHeight w:val="80"/>
          <w:tblHeader/>
        </w:trPr>
        <w:tc>
          <w:tcPr>
            <w:tcW w:w="5000" w:type="pct"/>
            <w:gridSpan w:val="3"/>
            <w:shd w:val="clear" w:color="auto" w:fill="FFFFFF"/>
            <w:vAlign w:val="center"/>
          </w:tcPr>
          <w:p w14:paraId="1994D906" w14:textId="77777777" w:rsidR="00A30DF0" w:rsidRPr="00A30DF0" w:rsidRDefault="00A30DF0" w:rsidP="001A412A">
            <w:pPr>
              <w:spacing w:after="0" w:line="276" w:lineRule="auto"/>
              <w:jc w:val="center"/>
              <w:rPr>
                <w:rFonts w:ascii="Arial" w:hAnsi="Arial" w:cs="Arial"/>
                <w:b/>
                <w:sz w:val="22"/>
                <w:szCs w:val="22"/>
              </w:rPr>
            </w:pPr>
          </w:p>
        </w:tc>
      </w:tr>
      <w:tr w:rsidR="00A30DF0" w:rsidRPr="00A30DF0" w14:paraId="103FFD8A" w14:textId="77777777" w:rsidTr="00A30DF0">
        <w:trPr>
          <w:trHeight w:val="42"/>
          <w:tblHeader/>
        </w:trPr>
        <w:tc>
          <w:tcPr>
            <w:tcW w:w="855" w:type="pct"/>
            <w:shd w:val="clear" w:color="auto" w:fill="DEEAF6" w:themeFill="accent1" w:themeFillTint="33"/>
            <w:vAlign w:val="center"/>
          </w:tcPr>
          <w:p w14:paraId="56DF9DAF"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SECTIONS</w:t>
            </w:r>
          </w:p>
        </w:tc>
        <w:tc>
          <w:tcPr>
            <w:tcW w:w="3430" w:type="pct"/>
            <w:shd w:val="clear" w:color="auto" w:fill="DEEAF6" w:themeFill="accent1" w:themeFillTint="33"/>
            <w:vAlign w:val="center"/>
          </w:tcPr>
          <w:p w14:paraId="5BB11751"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PARTICULARS</w:t>
            </w:r>
          </w:p>
        </w:tc>
        <w:tc>
          <w:tcPr>
            <w:tcW w:w="715" w:type="pct"/>
            <w:shd w:val="clear" w:color="auto" w:fill="DEEAF6" w:themeFill="accent1" w:themeFillTint="33"/>
            <w:vAlign w:val="center"/>
          </w:tcPr>
          <w:p w14:paraId="33D868FA"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PAGE NO.</w:t>
            </w:r>
          </w:p>
        </w:tc>
      </w:tr>
      <w:tr w:rsidR="00A30DF0" w:rsidRPr="00A30DF0" w14:paraId="10C3FB1A" w14:textId="77777777" w:rsidTr="00A30DF0">
        <w:trPr>
          <w:trHeight w:val="288"/>
        </w:trPr>
        <w:tc>
          <w:tcPr>
            <w:tcW w:w="855" w:type="pct"/>
            <w:vMerge w:val="restart"/>
            <w:shd w:val="clear" w:color="auto" w:fill="DEEAF6" w:themeFill="accent1" w:themeFillTint="33"/>
            <w:vAlign w:val="center"/>
          </w:tcPr>
          <w:p w14:paraId="01EE4BE3"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 A</w:t>
            </w:r>
          </w:p>
        </w:tc>
        <w:tc>
          <w:tcPr>
            <w:tcW w:w="3430" w:type="pct"/>
            <w:shd w:val="clear" w:color="auto" w:fill="auto"/>
            <w:vAlign w:val="center"/>
          </w:tcPr>
          <w:p w14:paraId="2DE1F226" w14:textId="77777777" w:rsidR="00A30DF0" w:rsidRPr="00A30DF0" w:rsidRDefault="00A30DF0" w:rsidP="00A30DF0">
            <w:pPr>
              <w:spacing w:after="0" w:line="360" w:lineRule="auto"/>
              <w:rPr>
                <w:rFonts w:ascii="Arial" w:hAnsi="Arial" w:cs="Arial"/>
                <w:b/>
                <w:sz w:val="22"/>
                <w:szCs w:val="22"/>
              </w:rPr>
            </w:pPr>
            <w:r w:rsidRPr="00A30DF0">
              <w:rPr>
                <w:rFonts w:ascii="Arial" w:hAnsi="Arial" w:cs="Arial"/>
                <w:b/>
                <w:sz w:val="22"/>
                <w:szCs w:val="22"/>
              </w:rPr>
              <w:t>INTRODUCTION</w:t>
            </w:r>
          </w:p>
        </w:tc>
        <w:tc>
          <w:tcPr>
            <w:tcW w:w="715" w:type="pct"/>
            <w:shd w:val="clear" w:color="auto" w:fill="auto"/>
          </w:tcPr>
          <w:p w14:paraId="50135580"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3</w:t>
            </w:r>
          </w:p>
        </w:tc>
      </w:tr>
      <w:tr w:rsidR="00A30DF0" w:rsidRPr="00A30DF0" w14:paraId="446F322D" w14:textId="77777777" w:rsidTr="00A30DF0">
        <w:trPr>
          <w:trHeight w:val="288"/>
        </w:trPr>
        <w:tc>
          <w:tcPr>
            <w:tcW w:w="855" w:type="pct"/>
            <w:vMerge/>
            <w:shd w:val="clear" w:color="auto" w:fill="DEEAF6" w:themeFill="accent1" w:themeFillTint="33"/>
          </w:tcPr>
          <w:p w14:paraId="4984C1A0"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5050546"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About the Report</w:t>
            </w:r>
          </w:p>
        </w:tc>
        <w:tc>
          <w:tcPr>
            <w:tcW w:w="715" w:type="pct"/>
            <w:shd w:val="clear" w:color="auto" w:fill="auto"/>
          </w:tcPr>
          <w:p w14:paraId="2CA8025B"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7C676A0A" w14:textId="77777777" w:rsidTr="00A30DF0">
        <w:trPr>
          <w:trHeight w:val="288"/>
        </w:trPr>
        <w:tc>
          <w:tcPr>
            <w:tcW w:w="855" w:type="pct"/>
            <w:vMerge/>
            <w:shd w:val="clear" w:color="auto" w:fill="DEEAF6" w:themeFill="accent1" w:themeFillTint="33"/>
          </w:tcPr>
          <w:p w14:paraId="78E4CF5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CF46658"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Background of the Project</w:t>
            </w:r>
          </w:p>
        </w:tc>
        <w:tc>
          <w:tcPr>
            <w:tcW w:w="715" w:type="pct"/>
            <w:shd w:val="clear" w:color="auto" w:fill="auto"/>
          </w:tcPr>
          <w:p w14:paraId="47074178"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3361FEC6" w14:textId="77777777" w:rsidTr="00A30DF0">
        <w:trPr>
          <w:trHeight w:val="288"/>
        </w:trPr>
        <w:tc>
          <w:tcPr>
            <w:tcW w:w="855" w:type="pct"/>
            <w:vMerge/>
            <w:shd w:val="clear" w:color="auto" w:fill="DEEAF6" w:themeFill="accent1" w:themeFillTint="33"/>
          </w:tcPr>
          <w:p w14:paraId="265BEC7C"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F8C056C"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Type of Report</w:t>
            </w:r>
          </w:p>
        </w:tc>
        <w:tc>
          <w:tcPr>
            <w:tcW w:w="715" w:type="pct"/>
            <w:shd w:val="clear" w:color="auto" w:fill="auto"/>
          </w:tcPr>
          <w:p w14:paraId="29B8D8CD" w14:textId="452C9415"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AC35B55" w14:textId="77777777" w:rsidTr="00A30DF0">
        <w:trPr>
          <w:trHeight w:val="288"/>
        </w:trPr>
        <w:tc>
          <w:tcPr>
            <w:tcW w:w="855" w:type="pct"/>
            <w:vMerge/>
            <w:shd w:val="clear" w:color="auto" w:fill="DEEAF6" w:themeFill="accent1" w:themeFillTint="33"/>
          </w:tcPr>
          <w:p w14:paraId="5177C4A6"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AC00285"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Purpose of the Report</w:t>
            </w:r>
          </w:p>
        </w:tc>
        <w:tc>
          <w:tcPr>
            <w:tcW w:w="715" w:type="pct"/>
            <w:shd w:val="clear" w:color="auto" w:fill="auto"/>
          </w:tcPr>
          <w:p w14:paraId="332DAFF0" w14:textId="73A5546E"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4</w:t>
            </w:r>
          </w:p>
        </w:tc>
      </w:tr>
      <w:tr w:rsidR="00A30DF0" w:rsidRPr="00A30DF0" w14:paraId="7F230663" w14:textId="77777777" w:rsidTr="00A30DF0">
        <w:trPr>
          <w:trHeight w:val="288"/>
        </w:trPr>
        <w:tc>
          <w:tcPr>
            <w:tcW w:w="855" w:type="pct"/>
            <w:vMerge/>
            <w:shd w:val="clear" w:color="auto" w:fill="DEEAF6" w:themeFill="accent1" w:themeFillTint="33"/>
          </w:tcPr>
          <w:p w14:paraId="3393C13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46684634"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Scope of the Report</w:t>
            </w:r>
          </w:p>
        </w:tc>
        <w:tc>
          <w:tcPr>
            <w:tcW w:w="715" w:type="pct"/>
            <w:shd w:val="clear" w:color="auto" w:fill="auto"/>
          </w:tcPr>
          <w:p w14:paraId="295A0FF6" w14:textId="59A8A399"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0AD5D476" w14:textId="77777777" w:rsidTr="00A30DF0">
        <w:trPr>
          <w:trHeight w:val="288"/>
        </w:trPr>
        <w:tc>
          <w:tcPr>
            <w:tcW w:w="855" w:type="pct"/>
            <w:vMerge/>
            <w:shd w:val="clear" w:color="auto" w:fill="DEEAF6" w:themeFill="accent1" w:themeFillTint="33"/>
          </w:tcPr>
          <w:p w14:paraId="7DB902BD"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3DAB19C0"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Methodology/ Model Adopted</w:t>
            </w:r>
          </w:p>
        </w:tc>
        <w:tc>
          <w:tcPr>
            <w:tcW w:w="715" w:type="pct"/>
            <w:shd w:val="clear" w:color="auto" w:fill="auto"/>
          </w:tcPr>
          <w:p w14:paraId="6807B5C9" w14:textId="4A035FCB" w:rsidR="00A30DF0" w:rsidRPr="00A30DF0" w:rsidRDefault="000A3A81"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123374C" w14:textId="77777777" w:rsidTr="00A30DF0">
        <w:trPr>
          <w:trHeight w:val="292"/>
        </w:trPr>
        <w:tc>
          <w:tcPr>
            <w:tcW w:w="855" w:type="pct"/>
            <w:vMerge/>
            <w:shd w:val="clear" w:color="auto" w:fill="DEEAF6" w:themeFill="accent1" w:themeFillTint="33"/>
          </w:tcPr>
          <w:p w14:paraId="484470A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4A3BDCC" w14:textId="77777777" w:rsidR="00A30DF0" w:rsidRPr="00A30DF0" w:rsidRDefault="00A30DF0" w:rsidP="00DE2E0C">
            <w:pPr>
              <w:pStyle w:val="ListParagraph"/>
              <w:numPr>
                <w:ilvl w:val="0"/>
                <w:numId w:val="13"/>
              </w:numPr>
              <w:spacing w:after="0" w:line="360" w:lineRule="auto"/>
              <w:ind w:left="459"/>
              <w:rPr>
                <w:rFonts w:ascii="Arial" w:hAnsi="Arial" w:cs="Arial"/>
                <w:sz w:val="22"/>
                <w:szCs w:val="22"/>
              </w:rPr>
            </w:pPr>
            <w:r w:rsidRPr="00A30DF0">
              <w:rPr>
                <w:rFonts w:ascii="Arial" w:hAnsi="Arial" w:cs="Arial"/>
                <w:sz w:val="22"/>
                <w:szCs w:val="22"/>
              </w:rPr>
              <w:t>Documents/ Data Referred</w:t>
            </w:r>
          </w:p>
        </w:tc>
        <w:tc>
          <w:tcPr>
            <w:tcW w:w="715" w:type="pct"/>
            <w:shd w:val="clear" w:color="auto" w:fill="auto"/>
          </w:tcPr>
          <w:p w14:paraId="18B4F4E2" w14:textId="33F342CB" w:rsidR="00A30DF0" w:rsidRPr="00A30DF0" w:rsidRDefault="00F90CE2" w:rsidP="00A30DF0">
            <w:pPr>
              <w:spacing w:after="0" w:line="360" w:lineRule="auto"/>
              <w:jc w:val="center"/>
              <w:rPr>
                <w:rFonts w:ascii="Arial" w:hAnsi="Arial" w:cs="Arial"/>
                <w:sz w:val="22"/>
                <w:szCs w:val="22"/>
              </w:rPr>
            </w:pPr>
            <w:r>
              <w:rPr>
                <w:rFonts w:ascii="Arial" w:hAnsi="Arial" w:cs="Arial"/>
                <w:sz w:val="22"/>
                <w:szCs w:val="22"/>
              </w:rPr>
              <w:t>6</w:t>
            </w:r>
          </w:p>
        </w:tc>
      </w:tr>
      <w:tr w:rsidR="00A30DF0" w:rsidRPr="00A30DF0" w14:paraId="0BDE3BDA" w14:textId="77777777" w:rsidTr="00274DC1">
        <w:trPr>
          <w:trHeight w:val="288"/>
        </w:trPr>
        <w:tc>
          <w:tcPr>
            <w:tcW w:w="855" w:type="pct"/>
            <w:shd w:val="clear" w:color="auto" w:fill="DEEAF6" w:themeFill="accent1" w:themeFillTint="33"/>
            <w:vAlign w:val="center"/>
          </w:tcPr>
          <w:p w14:paraId="6F0D5D76" w14:textId="77777777" w:rsidR="00A30DF0" w:rsidRPr="00A30DF0" w:rsidRDefault="00A30DF0" w:rsidP="00274DC1">
            <w:pPr>
              <w:spacing w:after="0" w:line="360" w:lineRule="auto"/>
              <w:jc w:val="center"/>
              <w:rPr>
                <w:rFonts w:ascii="Arial" w:hAnsi="Arial" w:cs="Arial"/>
                <w:b/>
                <w:sz w:val="22"/>
                <w:szCs w:val="22"/>
                <w:u w:val="single"/>
              </w:rPr>
            </w:pPr>
            <w:r w:rsidRPr="00A30DF0">
              <w:rPr>
                <w:rFonts w:ascii="Arial" w:hAnsi="Arial" w:cs="Arial"/>
                <w:b/>
                <w:sz w:val="22"/>
                <w:szCs w:val="22"/>
              </w:rPr>
              <w:t>PART B</w:t>
            </w:r>
          </w:p>
        </w:tc>
        <w:tc>
          <w:tcPr>
            <w:tcW w:w="3430" w:type="pct"/>
            <w:shd w:val="clear" w:color="auto" w:fill="auto"/>
            <w:vAlign w:val="center"/>
          </w:tcPr>
          <w:p w14:paraId="6EC765A2" w14:textId="1BAAE2B5" w:rsidR="00A30DF0" w:rsidRPr="00A30DF0" w:rsidRDefault="000A3A81" w:rsidP="00A30DF0">
            <w:pPr>
              <w:tabs>
                <w:tab w:val="left" w:pos="0"/>
              </w:tabs>
              <w:spacing w:after="0" w:line="360" w:lineRule="auto"/>
              <w:rPr>
                <w:rFonts w:ascii="Arial" w:hAnsi="Arial" w:cs="Arial"/>
                <w:b/>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c>
          <w:tcPr>
            <w:tcW w:w="715" w:type="pct"/>
            <w:shd w:val="clear" w:color="auto" w:fill="auto"/>
          </w:tcPr>
          <w:p w14:paraId="7292FC19" w14:textId="3E3A0EB7" w:rsidR="00A30DF0" w:rsidRPr="00A30DF0" w:rsidRDefault="000A3A81" w:rsidP="00A30DF0">
            <w:pPr>
              <w:spacing w:after="0" w:line="360" w:lineRule="auto"/>
              <w:jc w:val="center"/>
              <w:rPr>
                <w:rFonts w:ascii="Arial" w:hAnsi="Arial" w:cs="Arial"/>
                <w:b/>
                <w:sz w:val="22"/>
                <w:szCs w:val="22"/>
              </w:rPr>
            </w:pPr>
            <w:r>
              <w:rPr>
                <w:rFonts w:ascii="Arial" w:hAnsi="Arial" w:cs="Arial"/>
                <w:b/>
                <w:sz w:val="22"/>
                <w:szCs w:val="22"/>
              </w:rPr>
              <w:t>7</w:t>
            </w:r>
          </w:p>
        </w:tc>
      </w:tr>
      <w:tr w:rsidR="00382F20" w:rsidRPr="00A30DF0" w14:paraId="5499267C" w14:textId="77777777" w:rsidTr="00382F20">
        <w:trPr>
          <w:trHeight w:val="149"/>
        </w:trPr>
        <w:tc>
          <w:tcPr>
            <w:tcW w:w="855" w:type="pct"/>
            <w:vMerge w:val="restart"/>
            <w:shd w:val="clear" w:color="auto" w:fill="DEEAF6" w:themeFill="accent1" w:themeFillTint="33"/>
            <w:vAlign w:val="center"/>
          </w:tcPr>
          <w:p w14:paraId="67AADBE8" w14:textId="61B1B634" w:rsidR="00382F20" w:rsidRPr="00A30DF0" w:rsidRDefault="00382F20" w:rsidP="00382F20">
            <w:pPr>
              <w:spacing w:after="0" w:line="360" w:lineRule="auto"/>
              <w:jc w:val="center"/>
              <w:rPr>
                <w:rFonts w:ascii="Arial" w:hAnsi="Arial" w:cs="Arial"/>
                <w:b/>
                <w:sz w:val="22"/>
                <w:szCs w:val="22"/>
                <w:u w:val="single"/>
              </w:rPr>
            </w:pPr>
            <w:r w:rsidRPr="00A30DF0">
              <w:rPr>
                <w:rFonts w:ascii="Arial" w:hAnsi="Arial" w:cs="Arial"/>
                <w:b/>
                <w:sz w:val="22"/>
                <w:szCs w:val="22"/>
              </w:rPr>
              <w:t>PART C</w:t>
            </w:r>
          </w:p>
        </w:tc>
        <w:tc>
          <w:tcPr>
            <w:tcW w:w="3430" w:type="pct"/>
            <w:shd w:val="clear" w:color="auto" w:fill="auto"/>
            <w:vAlign w:val="center"/>
          </w:tcPr>
          <w:p w14:paraId="20C33896" w14:textId="6BAFB89D" w:rsidR="00382F20" w:rsidRPr="00A30DF0" w:rsidRDefault="00382F20" w:rsidP="00382F20">
            <w:pPr>
              <w:tabs>
                <w:tab w:val="left" w:pos="0"/>
              </w:tabs>
              <w:spacing w:after="0" w:line="360" w:lineRule="auto"/>
              <w:rPr>
                <w:rFonts w:ascii="Arial" w:hAnsi="Arial" w:cs="Arial"/>
                <w:sz w:val="22"/>
                <w:szCs w:val="22"/>
              </w:rPr>
            </w:pPr>
            <w:r w:rsidRPr="00A30DF0">
              <w:rPr>
                <w:rFonts w:ascii="Arial" w:hAnsi="Arial" w:cs="Arial"/>
                <w:b/>
                <w:sz w:val="22"/>
                <w:szCs w:val="22"/>
              </w:rPr>
              <w:t xml:space="preserve">VALUATION OF THE </w:t>
            </w:r>
            <w:r>
              <w:rPr>
                <w:rFonts w:ascii="Arial" w:hAnsi="Arial" w:cs="Arial"/>
                <w:b/>
                <w:sz w:val="22"/>
                <w:szCs w:val="22"/>
              </w:rPr>
              <w:t>SHARES</w:t>
            </w:r>
            <w:r w:rsidRPr="00A30DF0">
              <w:rPr>
                <w:rFonts w:ascii="Arial" w:hAnsi="Arial" w:cs="Arial"/>
                <w:b/>
                <w:sz w:val="22"/>
                <w:szCs w:val="22"/>
              </w:rPr>
              <w:t xml:space="preserve"> OF THE COMPANY</w:t>
            </w:r>
          </w:p>
        </w:tc>
        <w:tc>
          <w:tcPr>
            <w:tcW w:w="715" w:type="pct"/>
            <w:shd w:val="clear" w:color="auto" w:fill="auto"/>
          </w:tcPr>
          <w:p w14:paraId="7C5E9C25" w14:textId="18422311" w:rsidR="00382F20" w:rsidRPr="000A3A81" w:rsidRDefault="00382F20" w:rsidP="00382F20">
            <w:pPr>
              <w:spacing w:after="0" w:line="360" w:lineRule="auto"/>
              <w:jc w:val="center"/>
              <w:rPr>
                <w:rFonts w:ascii="Arial" w:hAnsi="Arial" w:cs="Arial"/>
                <w:b/>
                <w:bCs/>
                <w:sz w:val="22"/>
                <w:szCs w:val="22"/>
              </w:rPr>
            </w:pPr>
            <w:r w:rsidRPr="000A3A81">
              <w:rPr>
                <w:rFonts w:ascii="Arial" w:hAnsi="Arial" w:cs="Arial"/>
                <w:b/>
                <w:bCs/>
                <w:sz w:val="22"/>
                <w:szCs w:val="22"/>
              </w:rPr>
              <w:t>9</w:t>
            </w:r>
          </w:p>
        </w:tc>
      </w:tr>
      <w:tr w:rsidR="00382F20" w:rsidRPr="00A30DF0" w14:paraId="2EA61863" w14:textId="77777777" w:rsidTr="00A30DF0">
        <w:trPr>
          <w:trHeight w:val="288"/>
        </w:trPr>
        <w:tc>
          <w:tcPr>
            <w:tcW w:w="855" w:type="pct"/>
            <w:vMerge/>
            <w:shd w:val="clear" w:color="auto" w:fill="DEEAF6" w:themeFill="accent1" w:themeFillTint="33"/>
            <w:vAlign w:val="center"/>
          </w:tcPr>
          <w:p w14:paraId="12664462" w14:textId="3CA275DB" w:rsidR="00382F20" w:rsidRPr="00A30DF0" w:rsidRDefault="00382F20" w:rsidP="00382F20">
            <w:pPr>
              <w:spacing w:after="0" w:line="360" w:lineRule="auto"/>
              <w:jc w:val="center"/>
              <w:rPr>
                <w:rFonts w:ascii="Arial" w:hAnsi="Arial" w:cs="Arial"/>
                <w:b/>
                <w:sz w:val="22"/>
                <w:szCs w:val="22"/>
              </w:rPr>
            </w:pPr>
          </w:p>
        </w:tc>
        <w:tc>
          <w:tcPr>
            <w:tcW w:w="3430" w:type="pct"/>
            <w:shd w:val="clear" w:color="auto" w:fill="auto"/>
            <w:vAlign w:val="center"/>
          </w:tcPr>
          <w:p w14:paraId="785A1533" w14:textId="4F4A4264" w:rsidR="00382F20" w:rsidRPr="00A30DF0" w:rsidRDefault="00382F20" w:rsidP="00382F20">
            <w:pPr>
              <w:tabs>
                <w:tab w:val="left" w:pos="0"/>
              </w:tabs>
              <w:spacing w:after="0" w:line="360" w:lineRule="auto"/>
              <w:rPr>
                <w:rFonts w:ascii="Arial" w:hAnsi="Arial" w:cs="Arial"/>
                <w:b/>
                <w:sz w:val="22"/>
                <w:szCs w:val="22"/>
              </w:rPr>
            </w:pPr>
            <w:r w:rsidRPr="00A30DF0">
              <w:rPr>
                <w:rFonts w:ascii="Arial" w:hAnsi="Arial" w:cs="Arial"/>
                <w:sz w:val="22"/>
                <w:szCs w:val="22"/>
              </w:rPr>
              <w:t xml:space="preserve">M/s </w:t>
            </w:r>
            <w:r>
              <w:rPr>
                <w:rFonts w:ascii="Arial" w:hAnsi="Arial" w:cs="Arial"/>
                <w:sz w:val="22"/>
                <w:szCs w:val="22"/>
              </w:rPr>
              <w:t>G. D. Contractors Private</w:t>
            </w:r>
            <w:r w:rsidRPr="00A30DF0">
              <w:rPr>
                <w:rFonts w:ascii="Arial" w:hAnsi="Arial" w:cs="Arial"/>
                <w:sz w:val="22"/>
                <w:szCs w:val="22"/>
              </w:rPr>
              <w:t xml:space="preserve"> Limited</w:t>
            </w:r>
          </w:p>
        </w:tc>
        <w:tc>
          <w:tcPr>
            <w:tcW w:w="715" w:type="pct"/>
            <w:shd w:val="clear" w:color="auto" w:fill="auto"/>
          </w:tcPr>
          <w:p w14:paraId="32EC4F2C" w14:textId="312CE690" w:rsidR="00382F20" w:rsidRPr="000A3A81" w:rsidRDefault="00382F20" w:rsidP="00382F20">
            <w:pPr>
              <w:spacing w:after="0" w:line="360" w:lineRule="auto"/>
              <w:jc w:val="center"/>
              <w:rPr>
                <w:rFonts w:ascii="Arial" w:hAnsi="Arial" w:cs="Arial"/>
                <w:sz w:val="22"/>
                <w:szCs w:val="22"/>
              </w:rPr>
            </w:pPr>
            <w:r w:rsidRPr="000A3A81">
              <w:rPr>
                <w:rFonts w:ascii="Arial" w:hAnsi="Arial" w:cs="Arial"/>
                <w:sz w:val="22"/>
                <w:szCs w:val="22"/>
              </w:rPr>
              <w:t>9</w:t>
            </w:r>
          </w:p>
        </w:tc>
      </w:tr>
      <w:tr w:rsidR="00382F20" w:rsidRPr="00A30DF0" w14:paraId="37ED7B3F" w14:textId="77777777" w:rsidTr="00A30DF0">
        <w:trPr>
          <w:trHeight w:val="288"/>
        </w:trPr>
        <w:tc>
          <w:tcPr>
            <w:tcW w:w="855" w:type="pct"/>
            <w:shd w:val="clear" w:color="auto" w:fill="DEEAF6" w:themeFill="accent1" w:themeFillTint="33"/>
            <w:vAlign w:val="center"/>
          </w:tcPr>
          <w:p w14:paraId="71299AA9" w14:textId="3B7BFC0B" w:rsidR="00382F20" w:rsidRPr="00A30DF0" w:rsidRDefault="00382F20" w:rsidP="00382F20">
            <w:pPr>
              <w:spacing w:after="0" w:line="360" w:lineRule="auto"/>
              <w:jc w:val="center"/>
              <w:rPr>
                <w:rFonts w:ascii="Arial" w:hAnsi="Arial" w:cs="Arial"/>
                <w:b/>
                <w:sz w:val="22"/>
                <w:szCs w:val="22"/>
              </w:rPr>
            </w:pPr>
            <w:r w:rsidRPr="00A30DF0">
              <w:rPr>
                <w:rFonts w:ascii="Arial" w:hAnsi="Arial" w:cs="Arial"/>
                <w:b/>
                <w:sz w:val="22"/>
                <w:szCs w:val="22"/>
              </w:rPr>
              <w:t xml:space="preserve">PART </w:t>
            </w:r>
            <w:r>
              <w:rPr>
                <w:rFonts w:ascii="Arial" w:hAnsi="Arial" w:cs="Arial"/>
                <w:b/>
                <w:sz w:val="22"/>
                <w:szCs w:val="22"/>
              </w:rPr>
              <w:t>D</w:t>
            </w:r>
          </w:p>
        </w:tc>
        <w:tc>
          <w:tcPr>
            <w:tcW w:w="3430" w:type="pct"/>
            <w:shd w:val="clear" w:color="auto" w:fill="auto"/>
            <w:vAlign w:val="center"/>
          </w:tcPr>
          <w:p w14:paraId="641F4299" w14:textId="7ACCE46C" w:rsidR="00382F20" w:rsidRPr="003B6472" w:rsidRDefault="00382F20" w:rsidP="00382F20">
            <w:pPr>
              <w:tabs>
                <w:tab w:val="left" w:pos="0"/>
              </w:tabs>
              <w:spacing w:after="0" w:line="360" w:lineRule="auto"/>
              <w:rPr>
                <w:rFonts w:ascii="Arial" w:eastAsia="Arial" w:hAnsi="Arial" w:cs="Arial"/>
                <w:b/>
                <w:color w:val="000000"/>
                <w:sz w:val="22"/>
                <w:szCs w:val="22"/>
              </w:rPr>
            </w:pPr>
            <w:r>
              <w:rPr>
                <w:rFonts w:ascii="Arial" w:eastAsia="Arial" w:hAnsi="Arial" w:cs="Arial"/>
                <w:b/>
                <w:color w:val="000000"/>
                <w:sz w:val="22"/>
                <w:szCs w:val="22"/>
              </w:rPr>
              <w:t>IMPORTANT DEFINITION</w:t>
            </w:r>
          </w:p>
        </w:tc>
        <w:tc>
          <w:tcPr>
            <w:tcW w:w="715" w:type="pct"/>
            <w:shd w:val="clear" w:color="auto" w:fill="auto"/>
          </w:tcPr>
          <w:p w14:paraId="1E4AD581" w14:textId="0D2BADD0" w:rsidR="00382F20" w:rsidRPr="00A30DF0" w:rsidRDefault="00382F20" w:rsidP="00382F20">
            <w:pPr>
              <w:spacing w:after="0" w:line="360" w:lineRule="auto"/>
              <w:jc w:val="center"/>
              <w:rPr>
                <w:rFonts w:ascii="Arial" w:hAnsi="Arial" w:cs="Arial"/>
                <w:b/>
                <w:bCs/>
                <w:sz w:val="22"/>
                <w:szCs w:val="22"/>
              </w:rPr>
            </w:pPr>
            <w:r>
              <w:rPr>
                <w:rFonts w:ascii="Arial" w:hAnsi="Arial" w:cs="Arial"/>
                <w:b/>
                <w:bCs/>
                <w:sz w:val="22"/>
                <w:szCs w:val="22"/>
              </w:rPr>
              <w:t>16</w:t>
            </w:r>
          </w:p>
        </w:tc>
      </w:tr>
      <w:tr w:rsidR="00382F20" w:rsidRPr="00A30DF0" w14:paraId="1913BF11" w14:textId="77777777" w:rsidTr="00A30DF0">
        <w:trPr>
          <w:trHeight w:val="288"/>
        </w:trPr>
        <w:tc>
          <w:tcPr>
            <w:tcW w:w="855" w:type="pct"/>
            <w:shd w:val="clear" w:color="auto" w:fill="DEEAF6" w:themeFill="accent1" w:themeFillTint="33"/>
            <w:vAlign w:val="center"/>
          </w:tcPr>
          <w:p w14:paraId="133DC857" w14:textId="56489294" w:rsidR="00382F20" w:rsidRPr="00A30DF0" w:rsidRDefault="00382F20" w:rsidP="00382F20">
            <w:pPr>
              <w:spacing w:after="0" w:line="360" w:lineRule="auto"/>
              <w:jc w:val="center"/>
              <w:rPr>
                <w:rFonts w:ascii="Arial" w:hAnsi="Arial" w:cs="Arial"/>
                <w:b/>
                <w:sz w:val="22"/>
                <w:szCs w:val="22"/>
              </w:rPr>
            </w:pPr>
            <w:r w:rsidRPr="00A30DF0">
              <w:rPr>
                <w:rFonts w:ascii="Arial" w:hAnsi="Arial" w:cs="Arial"/>
                <w:b/>
                <w:sz w:val="22"/>
                <w:szCs w:val="22"/>
              </w:rPr>
              <w:t xml:space="preserve">PART </w:t>
            </w:r>
            <w:r>
              <w:rPr>
                <w:rFonts w:ascii="Arial" w:hAnsi="Arial" w:cs="Arial"/>
                <w:b/>
                <w:sz w:val="22"/>
                <w:szCs w:val="22"/>
              </w:rPr>
              <w:t>E</w:t>
            </w:r>
          </w:p>
        </w:tc>
        <w:tc>
          <w:tcPr>
            <w:tcW w:w="3430" w:type="pct"/>
            <w:shd w:val="clear" w:color="auto" w:fill="auto"/>
            <w:vAlign w:val="center"/>
          </w:tcPr>
          <w:p w14:paraId="443B7DF5" w14:textId="15E485DA" w:rsidR="00382F20" w:rsidRPr="003B6472" w:rsidRDefault="00382F20" w:rsidP="00382F20">
            <w:pPr>
              <w:tabs>
                <w:tab w:val="left" w:pos="0"/>
              </w:tabs>
              <w:spacing w:after="0" w:line="360" w:lineRule="auto"/>
              <w:rPr>
                <w:rFonts w:ascii="Arial" w:eastAsia="Arial" w:hAnsi="Arial" w:cs="Arial"/>
                <w:b/>
                <w:color w:val="000000"/>
                <w:sz w:val="22"/>
                <w:szCs w:val="22"/>
              </w:rPr>
            </w:pPr>
            <w:r w:rsidRPr="003B6472">
              <w:rPr>
                <w:rFonts w:ascii="Arial" w:eastAsia="Arial" w:hAnsi="Arial" w:cs="Arial"/>
                <w:b/>
                <w:color w:val="000000"/>
                <w:sz w:val="22"/>
                <w:szCs w:val="22"/>
              </w:rPr>
              <w:t xml:space="preserve">DISCLAIMER </w:t>
            </w:r>
            <w:r>
              <w:rPr>
                <w:rFonts w:ascii="Arial" w:eastAsia="Arial" w:hAnsi="Arial" w:cs="Arial"/>
                <w:b/>
                <w:color w:val="000000"/>
                <w:sz w:val="22"/>
                <w:szCs w:val="22"/>
              </w:rPr>
              <w:t xml:space="preserve">&amp; </w:t>
            </w:r>
            <w:r w:rsidRPr="003B6472">
              <w:rPr>
                <w:rFonts w:ascii="Arial" w:eastAsia="Arial" w:hAnsi="Arial" w:cs="Arial"/>
                <w:b/>
                <w:color w:val="000000"/>
                <w:sz w:val="22"/>
                <w:szCs w:val="22"/>
              </w:rPr>
              <w:t>REMARKS</w:t>
            </w:r>
          </w:p>
        </w:tc>
        <w:tc>
          <w:tcPr>
            <w:tcW w:w="715" w:type="pct"/>
            <w:shd w:val="clear" w:color="auto" w:fill="auto"/>
          </w:tcPr>
          <w:p w14:paraId="395BFD5E" w14:textId="60D84D9F" w:rsidR="00382F20" w:rsidRDefault="00382F20" w:rsidP="00382F20">
            <w:pPr>
              <w:spacing w:after="0" w:line="360" w:lineRule="auto"/>
              <w:jc w:val="center"/>
              <w:rPr>
                <w:rFonts w:ascii="Arial" w:hAnsi="Arial" w:cs="Arial"/>
                <w:b/>
                <w:bCs/>
                <w:sz w:val="22"/>
                <w:szCs w:val="22"/>
              </w:rPr>
            </w:pPr>
            <w:r>
              <w:rPr>
                <w:rFonts w:ascii="Arial" w:hAnsi="Arial" w:cs="Arial"/>
                <w:b/>
                <w:bCs/>
                <w:sz w:val="22"/>
                <w:szCs w:val="22"/>
              </w:rPr>
              <w:t>18</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70BFA" w:rsidRPr="005C6FC8" w14:paraId="5D398DF5" w14:textId="77777777" w:rsidTr="00796E39">
        <w:trPr>
          <w:trHeight w:val="548"/>
        </w:trPr>
        <w:tc>
          <w:tcPr>
            <w:tcW w:w="782" w:type="pct"/>
            <w:shd w:val="clear" w:color="auto" w:fill="17365D"/>
            <w:vAlign w:val="center"/>
          </w:tcPr>
          <w:p w14:paraId="3A160E09"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18" w:type="pct"/>
            <w:shd w:val="clear" w:color="auto" w:fill="DBE5F1"/>
            <w:vAlign w:val="center"/>
          </w:tcPr>
          <w:p w14:paraId="7B25339A"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t>INTRODUCTION</w:t>
            </w:r>
          </w:p>
        </w:tc>
      </w:tr>
    </w:tbl>
    <w:p w14:paraId="280D7015" w14:textId="77777777" w:rsidR="007B5756" w:rsidRPr="007B5756" w:rsidRDefault="007B5756" w:rsidP="00052CCE">
      <w:pPr>
        <w:pStyle w:val="ListParagraph"/>
        <w:spacing w:after="0" w:line="360" w:lineRule="auto"/>
        <w:ind w:left="0" w:right="-306"/>
        <w:jc w:val="both"/>
        <w:rPr>
          <w:rFonts w:ascii="Arial" w:hAnsi="Arial" w:cs="Arial"/>
          <w:sz w:val="22"/>
          <w:szCs w:val="22"/>
        </w:rPr>
      </w:pPr>
    </w:p>
    <w:p w14:paraId="33721393" w14:textId="77777777" w:rsidR="00CD3E1C" w:rsidRPr="00CD3E1C" w:rsidRDefault="00001CE0" w:rsidP="00DE2E0C">
      <w:pPr>
        <w:pStyle w:val="ListParagraph"/>
        <w:numPr>
          <w:ilvl w:val="0"/>
          <w:numId w:val="1"/>
        </w:numPr>
        <w:spacing w:after="0" w:line="360" w:lineRule="auto"/>
        <w:ind w:left="426" w:right="-306" w:hanging="426"/>
        <w:jc w:val="both"/>
        <w:rPr>
          <w:rFonts w:ascii="Arial" w:hAnsi="Arial" w:cs="Arial"/>
          <w:sz w:val="22"/>
          <w:szCs w:val="22"/>
        </w:rPr>
      </w:pPr>
      <w:r w:rsidRPr="00CB2C80">
        <w:rPr>
          <w:rFonts w:ascii="Arial" w:hAnsi="Arial" w:cs="Arial"/>
          <w:b/>
          <w:sz w:val="22"/>
          <w:szCs w:val="22"/>
          <w:lang w:val="en-IN"/>
        </w:rPr>
        <w:t xml:space="preserve">ABOUT THE REPORT: </w:t>
      </w:r>
    </w:p>
    <w:p w14:paraId="33A8B2A8" w14:textId="159439A9" w:rsidR="00CB2C80" w:rsidRDefault="003D40B9" w:rsidP="00CD3E1C">
      <w:pPr>
        <w:pStyle w:val="ListParagraph"/>
        <w:spacing w:before="240" w:after="0" w:line="360" w:lineRule="auto"/>
        <w:ind w:left="426" w:right="-306"/>
        <w:jc w:val="both"/>
        <w:rPr>
          <w:rFonts w:ascii="Arial" w:hAnsi="Arial" w:cs="Arial"/>
          <w:sz w:val="22"/>
          <w:szCs w:val="22"/>
        </w:rPr>
      </w:pPr>
      <w:r>
        <w:rPr>
          <w:rFonts w:ascii="Arial" w:hAnsi="Arial" w:cs="Arial"/>
          <w:sz w:val="22"/>
          <w:szCs w:val="22"/>
        </w:rPr>
        <w:t>Equity Share</w:t>
      </w:r>
      <w:r w:rsidR="00001CE0" w:rsidRPr="00CB2C80">
        <w:rPr>
          <w:rFonts w:ascii="Arial" w:hAnsi="Arial" w:cs="Arial"/>
          <w:sz w:val="22"/>
          <w:szCs w:val="22"/>
        </w:rPr>
        <w:t xml:space="preserve"> Valuation of </w:t>
      </w:r>
      <w:r>
        <w:rPr>
          <w:rFonts w:ascii="Arial" w:hAnsi="Arial" w:cs="Arial"/>
          <w:sz w:val="22"/>
          <w:szCs w:val="22"/>
        </w:rPr>
        <w:t>Real Estate Development</w:t>
      </w:r>
      <w:r w:rsidR="003E290D">
        <w:rPr>
          <w:rFonts w:ascii="Arial" w:hAnsi="Arial" w:cs="Arial"/>
          <w:sz w:val="22"/>
          <w:szCs w:val="22"/>
        </w:rPr>
        <w:t xml:space="preserve"> </w:t>
      </w:r>
      <w:r>
        <w:rPr>
          <w:rFonts w:ascii="Arial" w:hAnsi="Arial" w:cs="Arial"/>
          <w:sz w:val="22"/>
          <w:szCs w:val="22"/>
        </w:rPr>
        <w:t>C</w:t>
      </w:r>
      <w:r w:rsidR="00CB2C80" w:rsidRPr="00CB2C80">
        <w:rPr>
          <w:rFonts w:ascii="Arial" w:hAnsi="Arial" w:cs="Arial"/>
          <w:sz w:val="22"/>
          <w:szCs w:val="22"/>
        </w:rPr>
        <w:t>ompany</w:t>
      </w:r>
      <w:r w:rsidR="00597DA7">
        <w:rPr>
          <w:rFonts w:ascii="Arial" w:hAnsi="Arial" w:cs="Arial"/>
          <w:sz w:val="22"/>
          <w:szCs w:val="22"/>
        </w:rPr>
        <w:t xml:space="preserve"> M/s</w:t>
      </w:r>
      <w:r w:rsidR="00CB2C80" w:rsidRPr="00CB2C80">
        <w:rPr>
          <w:rFonts w:ascii="Arial" w:hAnsi="Arial" w:cs="Arial"/>
          <w:sz w:val="22"/>
          <w:szCs w:val="22"/>
        </w:rPr>
        <w:t xml:space="preserve"> </w:t>
      </w:r>
      <w:r>
        <w:rPr>
          <w:rFonts w:ascii="Arial" w:hAnsi="Arial" w:cs="Arial"/>
          <w:sz w:val="22"/>
          <w:szCs w:val="22"/>
        </w:rPr>
        <w:t xml:space="preserve">G. D. </w:t>
      </w:r>
      <w:r w:rsidR="00F74544">
        <w:rPr>
          <w:rFonts w:ascii="Arial" w:hAnsi="Arial" w:cs="Arial"/>
          <w:sz w:val="22"/>
          <w:szCs w:val="22"/>
        </w:rPr>
        <w:t>Contractors Private</w:t>
      </w:r>
      <w:r>
        <w:rPr>
          <w:rFonts w:ascii="Arial" w:hAnsi="Arial" w:cs="Arial"/>
          <w:sz w:val="22"/>
          <w:szCs w:val="22"/>
        </w:rPr>
        <w:t xml:space="preserve"> Limited</w:t>
      </w:r>
      <w:r w:rsidR="00CB2C80" w:rsidRPr="00CB2C80">
        <w:rPr>
          <w:rFonts w:ascii="Arial" w:hAnsi="Arial" w:cs="Arial"/>
          <w:sz w:val="22"/>
          <w:szCs w:val="22"/>
        </w:rPr>
        <w:t xml:space="preserve"> </w:t>
      </w:r>
      <w:r w:rsidR="00CB2C80">
        <w:rPr>
          <w:rFonts w:ascii="Arial" w:hAnsi="Arial" w:cs="Arial"/>
          <w:sz w:val="22"/>
          <w:szCs w:val="22"/>
        </w:rPr>
        <w:t xml:space="preserve">located at </w:t>
      </w:r>
      <w:r w:rsidRPr="003D40B9">
        <w:rPr>
          <w:rFonts w:ascii="Arial" w:hAnsi="Arial" w:cs="Arial"/>
          <w:sz w:val="22"/>
          <w:szCs w:val="22"/>
          <w:lang w:val="en-IN"/>
        </w:rPr>
        <w:t>A-09, GD-ITL Northex Towe</w:t>
      </w:r>
      <w:r>
        <w:rPr>
          <w:rFonts w:ascii="Arial" w:hAnsi="Arial" w:cs="Arial"/>
          <w:sz w:val="22"/>
          <w:szCs w:val="22"/>
          <w:lang w:val="en-IN"/>
        </w:rPr>
        <w:t>r,</w:t>
      </w:r>
      <w:r w:rsidRPr="003D40B9">
        <w:rPr>
          <w:rFonts w:ascii="Arial" w:hAnsi="Arial" w:cs="Arial"/>
          <w:sz w:val="22"/>
          <w:szCs w:val="22"/>
          <w:lang w:val="en-IN"/>
        </w:rPr>
        <w:t xml:space="preserve"> Netaji Subhash Place, Pitampura, Delh</w:t>
      </w:r>
      <w:r>
        <w:rPr>
          <w:rFonts w:ascii="Arial" w:hAnsi="Arial" w:cs="Arial"/>
          <w:sz w:val="22"/>
          <w:szCs w:val="22"/>
          <w:lang w:val="en-IN"/>
        </w:rPr>
        <w:t>i</w:t>
      </w:r>
      <w:r w:rsidRPr="003D40B9">
        <w:rPr>
          <w:rFonts w:ascii="Arial" w:hAnsi="Arial" w:cs="Arial"/>
          <w:sz w:val="22"/>
          <w:szCs w:val="22"/>
          <w:lang w:val="en-IN"/>
        </w:rPr>
        <w:t>-110034</w:t>
      </w:r>
      <w:r>
        <w:rPr>
          <w:rFonts w:ascii="Arial" w:hAnsi="Arial" w:cs="Arial"/>
          <w:sz w:val="22"/>
          <w:szCs w:val="22"/>
          <w:lang w:val="en-IN"/>
        </w:rPr>
        <w:t>.</w:t>
      </w:r>
    </w:p>
    <w:p w14:paraId="34C62FA7" w14:textId="77777777" w:rsidR="007B5756" w:rsidRPr="00912945" w:rsidRDefault="007B5756" w:rsidP="00052CCE">
      <w:pPr>
        <w:pStyle w:val="ListParagraph"/>
        <w:spacing w:after="0" w:line="360" w:lineRule="auto"/>
        <w:ind w:left="426" w:right="-306"/>
        <w:jc w:val="both"/>
        <w:rPr>
          <w:rFonts w:ascii="Arial" w:hAnsi="Arial" w:cs="Arial"/>
          <w:sz w:val="22"/>
          <w:szCs w:val="22"/>
        </w:rPr>
      </w:pPr>
    </w:p>
    <w:p w14:paraId="3306F4F0" w14:textId="77777777" w:rsidR="00CD3E1C" w:rsidRPr="00CD3E1C" w:rsidRDefault="009B33AC" w:rsidP="00DE2E0C">
      <w:pPr>
        <w:pStyle w:val="ListParagraph"/>
        <w:numPr>
          <w:ilvl w:val="0"/>
          <w:numId w:val="1"/>
        </w:numPr>
        <w:spacing w:line="360" w:lineRule="auto"/>
        <w:ind w:left="426" w:right="-306" w:hanging="426"/>
        <w:jc w:val="both"/>
        <w:rPr>
          <w:rFonts w:ascii="Arial" w:hAnsi="Arial" w:cs="Arial"/>
          <w:sz w:val="22"/>
        </w:rPr>
      </w:pPr>
      <w:r w:rsidRPr="00164E9A">
        <w:rPr>
          <w:rFonts w:ascii="Arial" w:hAnsi="Arial" w:cs="Arial"/>
          <w:b/>
          <w:sz w:val="22"/>
          <w:szCs w:val="22"/>
          <w:lang w:val="en-IN"/>
        </w:rPr>
        <w:t>BACKGROUND</w:t>
      </w:r>
      <w:r w:rsidR="00001CE0" w:rsidRPr="00164E9A">
        <w:rPr>
          <w:rFonts w:ascii="Arial" w:hAnsi="Arial" w:cs="Arial"/>
          <w:b/>
          <w:sz w:val="22"/>
          <w:szCs w:val="22"/>
          <w:lang w:val="en-IN"/>
        </w:rPr>
        <w:t xml:space="preserve">: </w:t>
      </w:r>
    </w:p>
    <w:p w14:paraId="67B1E35D" w14:textId="77777777" w:rsidR="008C5B0D" w:rsidRPr="008C5B0D" w:rsidRDefault="008C5B0D" w:rsidP="008C5B0D">
      <w:pPr>
        <w:pStyle w:val="ListParagraph"/>
        <w:spacing w:line="360" w:lineRule="auto"/>
        <w:ind w:left="426" w:right="-306"/>
        <w:jc w:val="both"/>
        <w:rPr>
          <w:rFonts w:ascii="Arial" w:hAnsi="Arial" w:cs="Arial"/>
          <w:bCs/>
          <w:sz w:val="22"/>
          <w:lang w:val="en-GB"/>
        </w:rPr>
      </w:pPr>
      <w:r w:rsidRPr="008C5B0D">
        <w:rPr>
          <w:rFonts w:ascii="Arial" w:hAnsi="Arial" w:cs="Arial"/>
          <w:sz w:val="22"/>
          <w:lang w:val="en-GB"/>
        </w:rPr>
        <w:t>M/s G. D. Contractors Private Limited was originally incorporated on 10</w:t>
      </w:r>
      <w:r w:rsidRPr="008C5B0D">
        <w:rPr>
          <w:rFonts w:ascii="Arial" w:hAnsi="Arial" w:cs="Arial"/>
          <w:sz w:val="22"/>
          <w:vertAlign w:val="superscript"/>
          <w:lang w:val="en-GB"/>
        </w:rPr>
        <w:t>th</w:t>
      </w:r>
      <w:r w:rsidRPr="008C5B0D">
        <w:rPr>
          <w:rFonts w:ascii="Arial" w:hAnsi="Arial" w:cs="Arial"/>
          <w:sz w:val="22"/>
          <w:lang w:val="en-GB"/>
        </w:rPr>
        <w:t xml:space="preserve"> November, 1997 with Registrar of Companies, NCT of Delhi &amp; Haryana at New Delhi under Companies Act, 1956. The main object of the Company is to </w:t>
      </w:r>
      <w:r w:rsidRPr="008C5B0D">
        <w:rPr>
          <w:rFonts w:ascii="Arial" w:hAnsi="Arial" w:cs="Arial"/>
          <w:bCs/>
          <w:sz w:val="22"/>
          <w:lang w:val="en-GB"/>
        </w:rPr>
        <w:t>construct Houses, Multistorey buildings, residential apartment, Commercial Flats, building or take up civil and construction work of every description on and land of the company or on any other land or immovable property.</w:t>
      </w:r>
    </w:p>
    <w:p w14:paraId="283FB2A1" w14:textId="58658288" w:rsidR="00C96B94" w:rsidRDefault="008C5B0D" w:rsidP="00F90CE2">
      <w:pPr>
        <w:pStyle w:val="ListParagraph"/>
        <w:spacing w:line="360" w:lineRule="auto"/>
        <w:ind w:left="426" w:right="-306"/>
        <w:jc w:val="both"/>
        <w:rPr>
          <w:sz w:val="22"/>
          <w:szCs w:val="22"/>
        </w:rPr>
      </w:pPr>
      <w:r w:rsidRPr="008C5B0D">
        <w:rPr>
          <w:rFonts w:ascii="Arial" w:hAnsi="Arial" w:cs="Arial"/>
          <w:sz w:val="22"/>
          <w:lang w:val="en-GB"/>
        </w:rPr>
        <w:t xml:space="preserve">The registered office of the company is located at </w:t>
      </w:r>
      <w:r w:rsidRPr="008C5B0D">
        <w:rPr>
          <w:rFonts w:ascii="Arial" w:hAnsi="Arial" w:cs="Arial"/>
          <w:sz w:val="22"/>
        </w:rPr>
        <w:t xml:space="preserve">A - 09, GD-ITL Tower Northex Tower, Netaji Subhash Place, Pitampura, North West Delhi, Delhi, India-110034. </w:t>
      </w:r>
      <w:r w:rsidR="00C44C6A" w:rsidRPr="00F90CE2">
        <w:rPr>
          <w:rFonts w:ascii="Arial" w:hAnsi="Arial" w:cs="Arial"/>
          <w:sz w:val="22"/>
          <w:szCs w:val="22"/>
        </w:rPr>
        <w:t>Below table shows the historical financial performance of the company from FY 20</w:t>
      </w:r>
      <w:r w:rsidR="00BB139C" w:rsidRPr="00F90CE2">
        <w:rPr>
          <w:rFonts w:ascii="Arial" w:hAnsi="Arial" w:cs="Arial"/>
          <w:sz w:val="22"/>
          <w:szCs w:val="22"/>
        </w:rPr>
        <w:t>20</w:t>
      </w:r>
      <w:r w:rsidR="00C44C6A" w:rsidRPr="00F90CE2">
        <w:rPr>
          <w:rFonts w:ascii="Arial" w:hAnsi="Arial" w:cs="Arial"/>
          <w:sz w:val="22"/>
          <w:szCs w:val="22"/>
        </w:rPr>
        <w:t>-</w:t>
      </w:r>
      <w:r w:rsidR="00BB139C" w:rsidRPr="00F90CE2">
        <w:rPr>
          <w:rFonts w:ascii="Arial" w:hAnsi="Arial" w:cs="Arial"/>
          <w:sz w:val="22"/>
          <w:szCs w:val="22"/>
        </w:rPr>
        <w:t>21</w:t>
      </w:r>
      <w:r w:rsidR="00C44C6A" w:rsidRPr="00F90CE2">
        <w:rPr>
          <w:rFonts w:ascii="Arial" w:hAnsi="Arial" w:cs="Arial"/>
          <w:sz w:val="22"/>
          <w:szCs w:val="22"/>
        </w:rPr>
        <w:t xml:space="preserve"> to FY 202</w:t>
      </w:r>
      <w:r w:rsidR="00BB139C" w:rsidRPr="00F90CE2">
        <w:rPr>
          <w:rFonts w:ascii="Arial" w:hAnsi="Arial" w:cs="Arial"/>
          <w:sz w:val="22"/>
          <w:szCs w:val="22"/>
        </w:rPr>
        <w:t>3</w:t>
      </w:r>
      <w:r w:rsidR="00C44C6A" w:rsidRPr="00F90CE2">
        <w:rPr>
          <w:rFonts w:ascii="Arial" w:hAnsi="Arial" w:cs="Arial"/>
          <w:sz w:val="22"/>
          <w:szCs w:val="22"/>
        </w:rPr>
        <w:t>-2</w:t>
      </w:r>
      <w:r w:rsidR="00BB139C" w:rsidRPr="00F90CE2">
        <w:rPr>
          <w:rFonts w:ascii="Arial" w:hAnsi="Arial" w:cs="Arial"/>
          <w:sz w:val="22"/>
          <w:szCs w:val="22"/>
        </w:rPr>
        <w:t>4</w:t>
      </w:r>
      <w:r w:rsidR="00C44C6A" w:rsidRPr="00F90CE2">
        <w:rPr>
          <w:rFonts w:ascii="Arial" w:hAnsi="Arial" w:cs="Arial"/>
          <w:sz w:val="22"/>
          <w:szCs w:val="22"/>
        </w:rPr>
        <w:t>:</w:t>
      </w:r>
    </w:p>
    <w:p w14:paraId="18D23988" w14:textId="45122F03" w:rsidR="006A61CD" w:rsidRPr="00C2202B" w:rsidRDefault="006A61CD" w:rsidP="006A61CD">
      <w:pPr>
        <w:pStyle w:val="Default"/>
        <w:spacing w:before="240"/>
        <w:ind w:left="426" w:right="-306"/>
        <w:jc w:val="right"/>
        <w:rPr>
          <w:sz w:val="20"/>
          <w:szCs w:val="20"/>
        </w:rPr>
      </w:pPr>
      <w:r w:rsidRPr="00C2202B">
        <w:rPr>
          <w:sz w:val="20"/>
          <w:szCs w:val="20"/>
        </w:rPr>
        <w:t>(In INR Thousands)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88"/>
        <w:gridCol w:w="1489"/>
        <w:gridCol w:w="1488"/>
        <w:gridCol w:w="1489"/>
      </w:tblGrid>
      <w:tr w:rsidR="00BB139C" w:rsidRPr="00153FF1" w14:paraId="50EAE818" w14:textId="77777777" w:rsidTr="00052CCE">
        <w:trPr>
          <w:trHeight w:val="300"/>
        </w:trPr>
        <w:tc>
          <w:tcPr>
            <w:tcW w:w="2976" w:type="dxa"/>
            <w:shd w:val="clear" w:color="000000" w:fill="002060"/>
            <w:noWrap/>
            <w:vAlign w:val="center"/>
            <w:hideMark/>
          </w:tcPr>
          <w:p w14:paraId="3E33E741" w14:textId="77777777"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Particulars</w:t>
            </w:r>
          </w:p>
        </w:tc>
        <w:tc>
          <w:tcPr>
            <w:tcW w:w="1488" w:type="dxa"/>
            <w:shd w:val="clear" w:color="000000" w:fill="002060"/>
            <w:noWrap/>
            <w:vAlign w:val="bottom"/>
            <w:hideMark/>
          </w:tcPr>
          <w:p w14:paraId="683B6EE5" w14:textId="6C0E4E26"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2021 A</w:t>
            </w:r>
          </w:p>
        </w:tc>
        <w:tc>
          <w:tcPr>
            <w:tcW w:w="1489" w:type="dxa"/>
            <w:shd w:val="clear" w:color="000000" w:fill="002060"/>
            <w:noWrap/>
            <w:vAlign w:val="bottom"/>
            <w:hideMark/>
          </w:tcPr>
          <w:p w14:paraId="4B1A2F91" w14:textId="4ED314F5"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2022 A</w:t>
            </w:r>
          </w:p>
        </w:tc>
        <w:tc>
          <w:tcPr>
            <w:tcW w:w="1488" w:type="dxa"/>
            <w:shd w:val="clear" w:color="000000" w:fill="002060"/>
            <w:noWrap/>
            <w:vAlign w:val="bottom"/>
            <w:hideMark/>
          </w:tcPr>
          <w:p w14:paraId="469FA87D" w14:textId="7E3826B0"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2023 A</w:t>
            </w:r>
          </w:p>
        </w:tc>
        <w:tc>
          <w:tcPr>
            <w:tcW w:w="1489" w:type="dxa"/>
            <w:shd w:val="clear" w:color="000000" w:fill="002060"/>
            <w:noWrap/>
            <w:vAlign w:val="bottom"/>
            <w:hideMark/>
          </w:tcPr>
          <w:p w14:paraId="760FA2F1" w14:textId="37B5B8FB" w:rsidR="00BB139C" w:rsidRPr="00153FF1" w:rsidRDefault="00BB139C" w:rsidP="00BB139C">
            <w:pPr>
              <w:spacing w:after="0" w:line="360" w:lineRule="auto"/>
              <w:jc w:val="center"/>
              <w:rPr>
                <w:rFonts w:asciiTheme="minorHAnsi" w:hAnsiTheme="minorHAnsi" w:cstheme="minorHAnsi"/>
                <w:b/>
                <w:bCs/>
                <w:color w:val="FFFFFF"/>
                <w:sz w:val="22"/>
                <w:szCs w:val="22"/>
                <w:lang w:val="en-IN" w:eastAsia="en-IN"/>
              </w:rPr>
            </w:pPr>
            <w:r>
              <w:rPr>
                <w:rFonts w:ascii="Calibri" w:hAnsi="Calibri" w:cs="Calibri"/>
                <w:b/>
                <w:bCs/>
                <w:color w:val="FFFFFF"/>
                <w:sz w:val="22"/>
                <w:szCs w:val="22"/>
              </w:rPr>
              <w:t>FY 2024 A</w:t>
            </w:r>
          </w:p>
        </w:tc>
      </w:tr>
      <w:tr w:rsidR="006A61CD" w:rsidRPr="00153FF1" w14:paraId="7B4F7FFA" w14:textId="77777777" w:rsidTr="006A61CD">
        <w:trPr>
          <w:trHeight w:val="300"/>
        </w:trPr>
        <w:tc>
          <w:tcPr>
            <w:tcW w:w="2976" w:type="dxa"/>
            <w:shd w:val="clear" w:color="auto" w:fill="auto"/>
            <w:noWrap/>
            <w:vAlign w:val="center"/>
            <w:hideMark/>
          </w:tcPr>
          <w:p w14:paraId="322E3009" w14:textId="4E98AFF7" w:rsidR="006A61CD" w:rsidRPr="00153FF1" w:rsidRDefault="006A61CD" w:rsidP="006A61C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Revenue from Operations</w:t>
            </w:r>
          </w:p>
        </w:tc>
        <w:tc>
          <w:tcPr>
            <w:tcW w:w="1488" w:type="dxa"/>
            <w:shd w:val="clear" w:color="auto" w:fill="auto"/>
            <w:noWrap/>
            <w:vAlign w:val="center"/>
            <w:hideMark/>
          </w:tcPr>
          <w:p w14:paraId="30F5AA4E" w14:textId="29F69377"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5B932E6D" w14:textId="2C16304F"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hideMark/>
          </w:tcPr>
          <w:p w14:paraId="3868FF5D" w14:textId="6A5A73B8"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2F195E9D" w14:textId="10D76F13"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r>
      <w:tr w:rsidR="006A61CD" w:rsidRPr="00153FF1" w14:paraId="6C67E6AC" w14:textId="77777777" w:rsidTr="006A61CD">
        <w:trPr>
          <w:trHeight w:val="300"/>
        </w:trPr>
        <w:tc>
          <w:tcPr>
            <w:tcW w:w="2976" w:type="dxa"/>
            <w:shd w:val="clear" w:color="auto" w:fill="auto"/>
            <w:noWrap/>
            <w:vAlign w:val="center"/>
            <w:hideMark/>
          </w:tcPr>
          <w:p w14:paraId="0A79AA5A" w14:textId="6458ED1B" w:rsidR="006A61CD" w:rsidRPr="00153FF1" w:rsidRDefault="006A61CD" w:rsidP="006A61C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income</w:t>
            </w:r>
          </w:p>
        </w:tc>
        <w:tc>
          <w:tcPr>
            <w:tcW w:w="1488" w:type="dxa"/>
            <w:shd w:val="clear" w:color="auto" w:fill="auto"/>
            <w:noWrap/>
            <w:vAlign w:val="center"/>
            <w:hideMark/>
          </w:tcPr>
          <w:p w14:paraId="78890786" w14:textId="544F2D2B"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649.27</w:t>
            </w:r>
          </w:p>
        </w:tc>
        <w:tc>
          <w:tcPr>
            <w:tcW w:w="1489" w:type="dxa"/>
            <w:shd w:val="clear" w:color="auto" w:fill="auto"/>
            <w:noWrap/>
            <w:vAlign w:val="center"/>
            <w:hideMark/>
          </w:tcPr>
          <w:p w14:paraId="3BF28ECD" w14:textId="0B776892" w:rsidR="006A61CD" w:rsidRPr="00153FF1" w:rsidRDefault="006A61CD" w:rsidP="006A61C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698.48</w:t>
            </w:r>
          </w:p>
        </w:tc>
        <w:tc>
          <w:tcPr>
            <w:tcW w:w="1488" w:type="dxa"/>
            <w:shd w:val="clear" w:color="auto" w:fill="auto"/>
            <w:noWrap/>
            <w:vAlign w:val="center"/>
            <w:hideMark/>
          </w:tcPr>
          <w:p w14:paraId="635D1055" w14:textId="5BE2E696" w:rsidR="006A61CD" w:rsidRPr="00153FF1" w:rsidRDefault="006A61CD" w:rsidP="006A61CD">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1,180.73</w:t>
            </w:r>
          </w:p>
        </w:tc>
        <w:tc>
          <w:tcPr>
            <w:tcW w:w="1489" w:type="dxa"/>
            <w:shd w:val="clear" w:color="auto" w:fill="auto"/>
            <w:noWrap/>
            <w:vAlign w:val="center"/>
            <w:hideMark/>
          </w:tcPr>
          <w:p w14:paraId="0448801F" w14:textId="79921A95" w:rsidR="006A61CD" w:rsidRPr="00153FF1" w:rsidRDefault="006A61CD" w:rsidP="006A61CD">
            <w:pPr>
              <w:spacing w:after="0" w:line="360" w:lineRule="auto"/>
              <w:ind w:left="-41"/>
              <w:jc w:val="center"/>
              <w:rPr>
                <w:rFonts w:asciiTheme="minorHAnsi" w:hAnsiTheme="minorHAnsi" w:cstheme="minorHAnsi"/>
                <w:color w:val="000000"/>
                <w:sz w:val="22"/>
                <w:szCs w:val="22"/>
                <w:lang w:val="en-IN" w:eastAsia="en-IN"/>
              </w:rPr>
            </w:pPr>
            <w:r>
              <w:rPr>
                <w:rFonts w:ascii="Calibri" w:hAnsi="Calibri" w:cs="Calibri"/>
                <w:color w:val="000000"/>
                <w:sz w:val="22"/>
                <w:szCs w:val="22"/>
              </w:rPr>
              <w:t>1,096.13</w:t>
            </w:r>
          </w:p>
        </w:tc>
      </w:tr>
      <w:tr w:rsidR="006A61CD" w:rsidRPr="00153FF1" w14:paraId="25B67D4E" w14:textId="77777777" w:rsidTr="006A61CD">
        <w:trPr>
          <w:trHeight w:val="300"/>
        </w:trPr>
        <w:tc>
          <w:tcPr>
            <w:tcW w:w="2976" w:type="dxa"/>
            <w:shd w:val="clear" w:color="auto" w:fill="DEEAF6" w:themeFill="accent1" w:themeFillTint="33"/>
            <w:noWrap/>
            <w:vAlign w:val="bottom"/>
            <w:hideMark/>
          </w:tcPr>
          <w:p w14:paraId="6581557F" w14:textId="0DA38FDB" w:rsidR="006A61CD" w:rsidRPr="00153FF1" w:rsidRDefault="006A61CD" w:rsidP="006A61CD">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t>Total Revenue</w:t>
            </w:r>
          </w:p>
        </w:tc>
        <w:tc>
          <w:tcPr>
            <w:tcW w:w="1488" w:type="dxa"/>
            <w:shd w:val="clear" w:color="auto" w:fill="DEEAF6" w:themeFill="accent1" w:themeFillTint="33"/>
            <w:noWrap/>
            <w:vAlign w:val="center"/>
            <w:hideMark/>
          </w:tcPr>
          <w:p w14:paraId="2DB9D1E3" w14:textId="68C8E53B" w:rsidR="006A61CD" w:rsidRPr="00153FF1" w:rsidRDefault="006A61CD" w:rsidP="006A61C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649.27</w:t>
            </w:r>
          </w:p>
        </w:tc>
        <w:tc>
          <w:tcPr>
            <w:tcW w:w="1489" w:type="dxa"/>
            <w:shd w:val="clear" w:color="auto" w:fill="DEEAF6" w:themeFill="accent1" w:themeFillTint="33"/>
            <w:noWrap/>
            <w:vAlign w:val="center"/>
            <w:hideMark/>
          </w:tcPr>
          <w:p w14:paraId="4CB5C8C1" w14:textId="213B6D5B" w:rsidR="006A61CD" w:rsidRPr="00153FF1" w:rsidRDefault="006A61CD" w:rsidP="006A61C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698.48</w:t>
            </w:r>
          </w:p>
        </w:tc>
        <w:tc>
          <w:tcPr>
            <w:tcW w:w="1488" w:type="dxa"/>
            <w:shd w:val="clear" w:color="auto" w:fill="DEEAF6" w:themeFill="accent1" w:themeFillTint="33"/>
            <w:noWrap/>
            <w:vAlign w:val="center"/>
            <w:hideMark/>
          </w:tcPr>
          <w:p w14:paraId="74E38567" w14:textId="28A914A6" w:rsidR="006A61CD" w:rsidRPr="00153FF1" w:rsidRDefault="006A61CD" w:rsidP="006A61C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1,180.73</w:t>
            </w:r>
          </w:p>
        </w:tc>
        <w:tc>
          <w:tcPr>
            <w:tcW w:w="1489" w:type="dxa"/>
            <w:shd w:val="clear" w:color="auto" w:fill="DEEAF6" w:themeFill="accent1" w:themeFillTint="33"/>
            <w:noWrap/>
            <w:vAlign w:val="center"/>
            <w:hideMark/>
          </w:tcPr>
          <w:p w14:paraId="5781B2D5" w14:textId="39755654" w:rsidR="006A61CD" w:rsidRPr="00153FF1" w:rsidRDefault="006A61CD" w:rsidP="006A61C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1,096.13</w:t>
            </w:r>
          </w:p>
        </w:tc>
      </w:tr>
      <w:tr w:rsidR="008C5B0D" w:rsidRPr="00153FF1" w14:paraId="13C78FF2" w14:textId="77777777" w:rsidTr="008C5B0D">
        <w:trPr>
          <w:trHeight w:val="300"/>
        </w:trPr>
        <w:tc>
          <w:tcPr>
            <w:tcW w:w="2976" w:type="dxa"/>
            <w:shd w:val="clear" w:color="auto" w:fill="auto"/>
            <w:noWrap/>
            <w:vAlign w:val="bottom"/>
          </w:tcPr>
          <w:p w14:paraId="26D47D08" w14:textId="4558749F" w:rsidR="008C5B0D" w:rsidRDefault="008C5B0D" w:rsidP="008C5B0D">
            <w:pPr>
              <w:spacing w:after="0" w:line="360" w:lineRule="auto"/>
              <w:rPr>
                <w:rFonts w:ascii="Calibri" w:hAnsi="Calibri" w:cs="Calibri"/>
                <w:b/>
                <w:bCs/>
                <w:color w:val="000000"/>
                <w:sz w:val="22"/>
                <w:szCs w:val="22"/>
              </w:rPr>
            </w:pPr>
            <w:r>
              <w:rPr>
                <w:rFonts w:ascii="Calibri" w:hAnsi="Calibri" w:cs="Calibri"/>
                <w:color w:val="000000"/>
                <w:sz w:val="22"/>
                <w:szCs w:val="22"/>
              </w:rPr>
              <w:t>Employee benefits expense</w:t>
            </w:r>
          </w:p>
        </w:tc>
        <w:tc>
          <w:tcPr>
            <w:tcW w:w="1488" w:type="dxa"/>
            <w:shd w:val="clear" w:color="auto" w:fill="auto"/>
            <w:noWrap/>
            <w:vAlign w:val="center"/>
          </w:tcPr>
          <w:p w14:paraId="40CD52AE" w14:textId="2A91C36B"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295.42</w:t>
            </w:r>
          </w:p>
        </w:tc>
        <w:tc>
          <w:tcPr>
            <w:tcW w:w="1489" w:type="dxa"/>
            <w:shd w:val="clear" w:color="auto" w:fill="auto"/>
            <w:noWrap/>
            <w:vAlign w:val="center"/>
          </w:tcPr>
          <w:p w14:paraId="1FE9AE96" w14:textId="419BCF52"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257.14</w:t>
            </w:r>
          </w:p>
        </w:tc>
        <w:tc>
          <w:tcPr>
            <w:tcW w:w="1488" w:type="dxa"/>
            <w:shd w:val="clear" w:color="auto" w:fill="auto"/>
            <w:noWrap/>
            <w:vAlign w:val="center"/>
          </w:tcPr>
          <w:p w14:paraId="62DB6E02" w14:textId="28BB6605"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280.61</w:t>
            </w:r>
          </w:p>
        </w:tc>
        <w:tc>
          <w:tcPr>
            <w:tcW w:w="1489" w:type="dxa"/>
            <w:shd w:val="clear" w:color="auto" w:fill="auto"/>
            <w:noWrap/>
            <w:vAlign w:val="center"/>
          </w:tcPr>
          <w:p w14:paraId="17182170" w14:textId="5E4FC27A"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327.61</w:t>
            </w:r>
          </w:p>
        </w:tc>
      </w:tr>
      <w:tr w:rsidR="008C5B0D" w:rsidRPr="00153FF1" w14:paraId="4B829C0D" w14:textId="77777777" w:rsidTr="008C5B0D">
        <w:trPr>
          <w:trHeight w:val="300"/>
        </w:trPr>
        <w:tc>
          <w:tcPr>
            <w:tcW w:w="2976" w:type="dxa"/>
            <w:shd w:val="clear" w:color="auto" w:fill="auto"/>
            <w:noWrap/>
            <w:vAlign w:val="bottom"/>
          </w:tcPr>
          <w:p w14:paraId="227166DB" w14:textId="5483E500" w:rsidR="008C5B0D" w:rsidRDefault="008C5B0D" w:rsidP="008C5B0D">
            <w:pPr>
              <w:spacing w:after="0" w:line="360" w:lineRule="auto"/>
              <w:rPr>
                <w:rFonts w:ascii="Calibri" w:hAnsi="Calibri" w:cs="Calibri"/>
                <w:b/>
                <w:bCs/>
                <w:color w:val="000000"/>
                <w:sz w:val="22"/>
                <w:szCs w:val="22"/>
              </w:rPr>
            </w:pPr>
            <w:r>
              <w:rPr>
                <w:rFonts w:ascii="Calibri" w:hAnsi="Calibri" w:cs="Calibri"/>
                <w:color w:val="000000"/>
                <w:sz w:val="22"/>
                <w:szCs w:val="22"/>
              </w:rPr>
              <w:t>Other expenses</w:t>
            </w:r>
          </w:p>
        </w:tc>
        <w:tc>
          <w:tcPr>
            <w:tcW w:w="1488" w:type="dxa"/>
            <w:shd w:val="clear" w:color="auto" w:fill="auto"/>
            <w:noWrap/>
            <w:vAlign w:val="center"/>
          </w:tcPr>
          <w:p w14:paraId="7383AF0E" w14:textId="421F38DE"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314.18</w:t>
            </w:r>
          </w:p>
        </w:tc>
        <w:tc>
          <w:tcPr>
            <w:tcW w:w="1489" w:type="dxa"/>
            <w:shd w:val="clear" w:color="auto" w:fill="auto"/>
            <w:noWrap/>
            <w:vAlign w:val="center"/>
          </w:tcPr>
          <w:p w14:paraId="1DDFA193" w14:textId="11CACF9D"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505.42</w:t>
            </w:r>
          </w:p>
        </w:tc>
        <w:tc>
          <w:tcPr>
            <w:tcW w:w="1488" w:type="dxa"/>
            <w:shd w:val="clear" w:color="auto" w:fill="auto"/>
            <w:noWrap/>
            <w:vAlign w:val="center"/>
          </w:tcPr>
          <w:p w14:paraId="2746570D" w14:textId="7A823CF1"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483.48</w:t>
            </w:r>
          </w:p>
        </w:tc>
        <w:tc>
          <w:tcPr>
            <w:tcW w:w="1489" w:type="dxa"/>
            <w:shd w:val="clear" w:color="auto" w:fill="auto"/>
            <w:noWrap/>
            <w:vAlign w:val="center"/>
          </w:tcPr>
          <w:p w14:paraId="50864E9C" w14:textId="5FF94D00"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134.05</w:t>
            </w:r>
          </w:p>
        </w:tc>
      </w:tr>
      <w:tr w:rsidR="008C5B0D" w:rsidRPr="00153FF1" w14:paraId="17D4F1DF" w14:textId="77777777" w:rsidTr="008C5B0D">
        <w:trPr>
          <w:trHeight w:val="300"/>
        </w:trPr>
        <w:tc>
          <w:tcPr>
            <w:tcW w:w="2976" w:type="dxa"/>
            <w:shd w:val="clear" w:color="auto" w:fill="DEEAF6" w:themeFill="accent1" w:themeFillTint="33"/>
            <w:noWrap/>
            <w:vAlign w:val="bottom"/>
          </w:tcPr>
          <w:p w14:paraId="59CC7E8C" w14:textId="70B369A5" w:rsidR="008C5B0D" w:rsidRDefault="008C5B0D" w:rsidP="008C5B0D">
            <w:pPr>
              <w:spacing w:after="0" w:line="360" w:lineRule="auto"/>
              <w:rPr>
                <w:rFonts w:ascii="Calibri" w:hAnsi="Calibri" w:cs="Calibri"/>
                <w:b/>
                <w:bCs/>
                <w:color w:val="000000"/>
                <w:sz w:val="22"/>
                <w:szCs w:val="22"/>
              </w:rPr>
            </w:pPr>
            <w:r>
              <w:rPr>
                <w:rFonts w:ascii="Calibri" w:hAnsi="Calibri" w:cs="Calibri"/>
                <w:b/>
                <w:bCs/>
                <w:color w:val="000000"/>
                <w:sz w:val="22"/>
                <w:szCs w:val="22"/>
              </w:rPr>
              <w:t>Total expenses</w:t>
            </w:r>
          </w:p>
        </w:tc>
        <w:tc>
          <w:tcPr>
            <w:tcW w:w="1488" w:type="dxa"/>
            <w:shd w:val="clear" w:color="auto" w:fill="DEEAF6" w:themeFill="accent1" w:themeFillTint="33"/>
            <w:noWrap/>
            <w:vAlign w:val="center"/>
          </w:tcPr>
          <w:p w14:paraId="151FA20B" w14:textId="3561B439"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b/>
                <w:bCs/>
                <w:color w:val="000000"/>
                <w:sz w:val="22"/>
                <w:szCs w:val="22"/>
              </w:rPr>
              <w:t>609.60</w:t>
            </w:r>
          </w:p>
        </w:tc>
        <w:tc>
          <w:tcPr>
            <w:tcW w:w="1489" w:type="dxa"/>
            <w:shd w:val="clear" w:color="auto" w:fill="DEEAF6" w:themeFill="accent1" w:themeFillTint="33"/>
            <w:noWrap/>
            <w:vAlign w:val="center"/>
          </w:tcPr>
          <w:p w14:paraId="79984A06" w14:textId="75178303"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762.56</w:t>
            </w:r>
          </w:p>
        </w:tc>
        <w:tc>
          <w:tcPr>
            <w:tcW w:w="1488" w:type="dxa"/>
            <w:shd w:val="clear" w:color="auto" w:fill="DEEAF6" w:themeFill="accent1" w:themeFillTint="33"/>
            <w:noWrap/>
            <w:vAlign w:val="center"/>
          </w:tcPr>
          <w:p w14:paraId="625CB3B3" w14:textId="76567E15"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764.09</w:t>
            </w:r>
          </w:p>
        </w:tc>
        <w:tc>
          <w:tcPr>
            <w:tcW w:w="1489" w:type="dxa"/>
            <w:shd w:val="clear" w:color="auto" w:fill="DEEAF6" w:themeFill="accent1" w:themeFillTint="33"/>
            <w:noWrap/>
            <w:vAlign w:val="center"/>
          </w:tcPr>
          <w:p w14:paraId="1966CD0C" w14:textId="1C4BFDFE"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461.66</w:t>
            </w:r>
          </w:p>
        </w:tc>
      </w:tr>
      <w:tr w:rsidR="008C5B0D" w:rsidRPr="00153FF1" w14:paraId="019F3405" w14:textId="77777777" w:rsidTr="008C5B0D">
        <w:trPr>
          <w:trHeight w:val="300"/>
        </w:trPr>
        <w:tc>
          <w:tcPr>
            <w:tcW w:w="2976" w:type="dxa"/>
            <w:shd w:val="clear" w:color="auto" w:fill="DEEAF6" w:themeFill="accent1" w:themeFillTint="33"/>
            <w:noWrap/>
            <w:vAlign w:val="bottom"/>
          </w:tcPr>
          <w:p w14:paraId="46550CAF" w14:textId="2739DF78" w:rsidR="008C5B0D" w:rsidRDefault="008C5B0D" w:rsidP="008C5B0D">
            <w:pPr>
              <w:spacing w:after="0" w:line="360" w:lineRule="auto"/>
              <w:rPr>
                <w:rFonts w:ascii="Calibri" w:hAnsi="Calibri" w:cs="Calibri"/>
                <w:b/>
                <w:bCs/>
                <w:color w:val="000000"/>
                <w:sz w:val="22"/>
                <w:szCs w:val="22"/>
              </w:rPr>
            </w:pPr>
            <w:r>
              <w:rPr>
                <w:rFonts w:ascii="Calibri" w:hAnsi="Calibri" w:cs="Calibri"/>
                <w:b/>
                <w:bCs/>
                <w:color w:val="000000"/>
                <w:sz w:val="22"/>
                <w:szCs w:val="22"/>
              </w:rPr>
              <w:t>EBITDA</w:t>
            </w:r>
          </w:p>
        </w:tc>
        <w:tc>
          <w:tcPr>
            <w:tcW w:w="1488" w:type="dxa"/>
            <w:shd w:val="clear" w:color="auto" w:fill="DEEAF6" w:themeFill="accent1" w:themeFillTint="33"/>
            <w:noWrap/>
            <w:vAlign w:val="center"/>
          </w:tcPr>
          <w:p w14:paraId="47D47B8D" w14:textId="4B2D42E2"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39.67</w:t>
            </w:r>
          </w:p>
        </w:tc>
        <w:tc>
          <w:tcPr>
            <w:tcW w:w="1489" w:type="dxa"/>
            <w:shd w:val="clear" w:color="auto" w:fill="DEEAF6" w:themeFill="accent1" w:themeFillTint="33"/>
            <w:noWrap/>
            <w:vAlign w:val="center"/>
          </w:tcPr>
          <w:p w14:paraId="3D94B23B" w14:textId="169C52FD"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-64.08</w:t>
            </w:r>
          </w:p>
        </w:tc>
        <w:tc>
          <w:tcPr>
            <w:tcW w:w="1488" w:type="dxa"/>
            <w:shd w:val="clear" w:color="auto" w:fill="DEEAF6" w:themeFill="accent1" w:themeFillTint="33"/>
            <w:noWrap/>
            <w:vAlign w:val="center"/>
          </w:tcPr>
          <w:p w14:paraId="0C864B64" w14:textId="5677D99F"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416.64</w:t>
            </w:r>
          </w:p>
        </w:tc>
        <w:tc>
          <w:tcPr>
            <w:tcW w:w="1489" w:type="dxa"/>
            <w:shd w:val="clear" w:color="auto" w:fill="DEEAF6" w:themeFill="accent1" w:themeFillTint="33"/>
            <w:noWrap/>
            <w:vAlign w:val="center"/>
          </w:tcPr>
          <w:p w14:paraId="1706F985" w14:textId="2E3CAD96"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b/>
                <w:bCs/>
                <w:color w:val="000000"/>
                <w:sz w:val="22"/>
                <w:szCs w:val="22"/>
              </w:rPr>
              <w:t>634.47</w:t>
            </w:r>
          </w:p>
        </w:tc>
      </w:tr>
      <w:tr w:rsidR="008C5B0D" w:rsidRPr="00153FF1" w14:paraId="605681E7" w14:textId="77777777" w:rsidTr="008C5B0D">
        <w:trPr>
          <w:trHeight w:val="300"/>
        </w:trPr>
        <w:tc>
          <w:tcPr>
            <w:tcW w:w="2976" w:type="dxa"/>
            <w:shd w:val="clear" w:color="auto" w:fill="auto"/>
            <w:noWrap/>
            <w:vAlign w:val="center"/>
            <w:hideMark/>
          </w:tcPr>
          <w:p w14:paraId="64F1F0B3" w14:textId="77170CA0" w:rsidR="008C5B0D" w:rsidRPr="00153FF1" w:rsidRDefault="008C5B0D" w:rsidP="008C5B0D">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Depreciation</w:t>
            </w:r>
          </w:p>
        </w:tc>
        <w:tc>
          <w:tcPr>
            <w:tcW w:w="1488" w:type="dxa"/>
            <w:shd w:val="clear" w:color="auto" w:fill="auto"/>
            <w:noWrap/>
            <w:vAlign w:val="center"/>
            <w:hideMark/>
          </w:tcPr>
          <w:p w14:paraId="30ABFB4A" w14:textId="5F6842B5"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440.76</w:t>
            </w:r>
          </w:p>
        </w:tc>
        <w:tc>
          <w:tcPr>
            <w:tcW w:w="1489" w:type="dxa"/>
            <w:shd w:val="clear" w:color="auto" w:fill="auto"/>
            <w:noWrap/>
            <w:vAlign w:val="center"/>
            <w:hideMark/>
          </w:tcPr>
          <w:p w14:paraId="50D40DD0" w14:textId="0A59BBAF"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336.48</w:t>
            </w:r>
          </w:p>
        </w:tc>
        <w:tc>
          <w:tcPr>
            <w:tcW w:w="1488" w:type="dxa"/>
            <w:shd w:val="clear" w:color="auto" w:fill="auto"/>
            <w:noWrap/>
            <w:vAlign w:val="center"/>
            <w:hideMark/>
          </w:tcPr>
          <w:p w14:paraId="7222CCC9" w14:textId="235F765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190.13</w:t>
            </w:r>
          </w:p>
        </w:tc>
        <w:tc>
          <w:tcPr>
            <w:tcW w:w="1489" w:type="dxa"/>
            <w:shd w:val="clear" w:color="auto" w:fill="auto"/>
            <w:noWrap/>
            <w:vAlign w:val="center"/>
            <w:hideMark/>
          </w:tcPr>
          <w:p w14:paraId="3C172E43" w14:textId="1AA1468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180.71</w:t>
            </w:r>
          </w:p>
        </w:tc>
      </w:tr>
      <w:tr w:rsidR="008C5B0D" w:rsidRPr="00153FF1" w14:paraId="387917C8" w14:textId="77777777" w:rsidTr="008C5B0D">
        <w:trPr>
          <w:trHeight w:val="300"/>
        </w:trPr>
        <w:tc>
          <w:tcPr>
            <w:tcW w:w="2976" w:type="dxa"/>
            <w:shd w:val="clear" w:color="auto" w:fill="DEEAF6" w:themeFill="accent1" w:themeFillTint="33"/>
            <w:noWrap/>
            <w:vAlign w:val="center"/>
            <w:hideMark/>
          </w:tcPr>
          <w:p w14:paraId="7669019C" w14:textId="77777777" w:rsidR="008C5B0D" w:rsidRPr="00153FF1" w:rsidRDefault="008C5B0D" w:rsidP="008C5B0D">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w:t>
            </w:r>
          </w:p>
        </w:tc>
        <w:tc>
          <w:tcPr>
            <w:tcW w:w="1488" w:type="dxa"/>
            <w:shd w:val="clear" w:color="auto" w:fill="DEEAF6" w:themeFill="accent1" w:themeFillTint="33"/>
            <w:noWrap/>
            <w:vAlign w:val="center"/>
            <w:hideMark/>
          </w:tcPr>
          <w:p w14:paraId="356FB795" w14:textId="4DA70AB3"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-401.09</w:t>
            </w:r>
          </w:p>
        </w:tc>
        <w:tc>
          <w:tcPr>
            <w:tcW w:w="1489" w:type="dxa"/>
            <w:shd w:val="clear" w:color="auto" w:fill="DEEAF6" w:themeFill="accent1" w:themeFillTint="33"/>
            <w:noWrap/>
            <w:vAlign w:val="center"/>
            <w:hideMark/>
          </w:tcPr>
          <w:p w14:paraId="19E296FD" w14:textId="1B6F1A6B"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-400.56</w:t>
            </w:r>
          </w:p>
        </w:tc>
        <w:tc>
          <w:tcPr>
            <w:tcW w:w="1488" w:type="dxa"/>
            <w:shd w:val="clear" w:color="auto" w:fill="DEEAF6" w:themeFill="accent1" w:themeFillTint="33"/>
            <w:noWrap/>
            <w:vAlign w:val="center"/>
            <w:hideMark/>
          </w:tcPr>
          <w:p w14:paraId="24C722CE" w14:textId="32E20FD6"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226.51</w:t>
            </w:r>
          </w:p>
        </w:tc>
        <w:tc>
          <w:tcPr>
            <w:tcW w:w="1489" w:type="dxa"/>
            <w:shd w:val="clear" w:color="auto" w:fill="DEEAF6" w:themeFill="accent1" w:themeFillTint="33"/>
            <w:noWrap/>
            <w:vAlign w:val="center"/>
            <w:hideMark/>
          </w:tcPr>
          <w:p w14:paraId="068F09D6" w14:textId="2CD383BA" w:rsidR="008C5B0D" w:rsidRPr="00153FF1" w:rsidRDefault="008C5B0D" w:rsidP="008C5B0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453.76</w:t>
            </w:r>
          </w:p>
        </w:tc>
      </w:tr>
      <w:tr w:rsidR="00BB139C" w:rsidRPr="00153FF1" w14:paraId="7CB663AB" w14:textId="77777777" w:rsidTr="00052CCE">
        <w:trPr>
          <w:trHeight w:val="300"/>
        </w:trPr>
        <w:tc>
          <w:tcPr>
            <w:tcW w:w="2976" w:type="dxa"/>
            <w:shd w:val="clear" w:color="auto" w:fill="auto"/>
            <w:noWrap/>
            <w:vAlign w:val="center"/>
            <w:hideMark/>
          </w:tcPr>
          <w:p w14:paraId="1892209C" w14:textId="77777777" w:rsidR="00BB139C" w:rsidRPr="00153FF1" w:rsidRDefault="00BB139C" w:rsidP="00BB139C">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Finance costs</w:t>
            </w:r>
          </w:p>
        </w:tc>
        <w:tc>
          <w:tcPr>
            <w:tcW w:w="1488" w:type="dxa"/>
            <w:shd w:val="clear" w:color="auto" w:fill="auto"/>
            <w:noWrap/>
            <w:hideMark/>
          </w:tcPr>
          <w:p w14:paraId="38F9C90E" w14:textId="39564F3F"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1A2E365" w14:textId="700C91F6"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8" w:type="dxa"/>
            <w:shd w:val="clear" w:color="auto" w:fill="auto"/>
            <w:noWrap/>
            <w:hideMark/>
          </w:tcPr>
          <w:p w14:paraId="40FA7434" w14:textId="539F8D49"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c>
          <w:tcPr>
            <w:tcW w:w="1489" w:type="dxa"/>
            <w:shd w:val="clear" w:color="auto" w:fill="auto"/>
            <w:noWrap/>
            <w:hideMark/>
          </w:tcPr>
          <w:p w14:paraId="6348D8EA" w14:textId="20C0961B" w:rsidR="00BB139C" w:rsidRPr="00153FF1" w:rsidRDefault="00BB139C" w:rsidP="00BB139C">
            <w:pPr>
              <w:spacing w:after="0" w:line="360" w:lineRule="auto"/>
              <w:jc w:val="center"/>
              <w:rPr>
                <w:rFonts w:asciiTheme="minorHAnsi" w:hAnsiTheme="minorHAnsi" w:cstheme="minorHAnsi"/>
                <w:color w:val="000000"/>
                <w:sz w:val="22"/>
                <w:szCs w:val="22"/>
                <w:lang w:val="en-IN" w:eastAsia="en-IN"/>
              </w:rPr>
            </w:pPr>
            <w:r w:rsidRPr="00F36867">
              <w:rPr>
                <w:rFonts w:asciiTheme="minorHAnsi" w:hAnsiTheme="minorHAnsi" w:cstheme="minorHAnsi"/>
                <w:color w:val="000000"/>
                <w:sz w:val="22"/>
                <w:szCs w:val="22"/>
                <w:lang w:val="en-IN" w:eastAsia="en-IN"/>
              </w:rPr>
              <w:t>-</w:t>
            </w:r>
          </w:p>
        </w:tc>
      </w:tr>
      <w:tr w:rsidR="008C5B0D" w:rsidRPr="00153FF1" w14:paraId="7C0CC133" w14:textId="77777777" w:rsidTr="008B6152">
        <w:trPr>
          <w:trHeight w:val="300"/>
        </w:trPr>
        <w:tc>
          <w:tcPr>
            <w:tcW w:w="2976" w:type="dxa"/>
            <w:shd w:val="clear" w:color="auto" w:fill="DEEAF6" w:themeFill="accent1" w:themeFillTint="33"/>
            <w:noWrap/>
            <w:vAlign w:val="center"/>
            <w:hideMark/>
          </w:tcPr>
          <w:p w14:paraId="7D238A0C" w14:textId="77777777" w:rsidR="008C5B0D" w:rsidRPr="00153FF1" w:rsidRDefault="008C5B0D" w:rsidP="008C5B0D">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before tax</w:t>
            </w:r>
          </w:p>
        </w:tc>
        <w:tc>
          <w:tcPr>
            <w:tcW w:w="1488" w:type="dxa"/>
            <w:shd w:val="clear" w:color="auto" w:fill="DEEAF6" w:themeFill="accent1" w:themeFillTint="33"/>
            <w:noWrap/>
            <w:vAlign w:val="center"/>
            <w:hideMark/>
          </w:tcPr>
          <w:p w14:paraId="5773EDBD" w14:textId="36C1A2E8"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-401.09</w:t>
            </w:r>
          </w:p>
        </w:tc>
        <w:tc>
          <w:tcPr>
            <w:tcW w:w="1489" w:type="dxa"/>
            <w:shd w:val="clear" w:color="auto" w:fill="DEEAF6" w:themeFill="accent1" w:themeFillTint="33"/>
            <w:noWrap/>
            <w:vAlign w:val="center"/>
            <w:hideMark/>
          </w:tcPr>
          <w:p w14:paraId="15743D69" w14:textId="5E54533B"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-400.56</w:t>
            </w:r>
          </w:p>
        </w:tc>
        <w:tc>
          <w:tcPr>
            <w:tcW w:w="1488" w:type="dxa"/>
            <w:shd w:val="clear" w:color="auto" w:fill="DEEAF6" w:themeFill="accent1" w:themeFillTint="33"/>
            <w:noWrap/>
            <w:vAlign w:val="center"/>
            <w:hideMark/>
          </w:tcPr>
          <w:p w14:paraId="27649F24" w14:textId="6B83A707"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226.51</w:t>
            </w:r>
          </w:p>
        </w:tc>
        <w:tc>
          <w:tcPr>
            <w:tcW w:w="1489" w:type="dxa"/>
            <w:shd w:val="clear" w:color="auto" w:fill="DEEAF6" w:themeFill="accent1" w:themeFillTint="33"/>
            <w:noWrap/>
            <w:vAlign w:val="center"/>
            <w:hideMark/>
          </w:tcPr>
          <w:p w14:paraId="5A39F22E" w14:textId="36F4D754"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453.76</w:t>
            </w:r>
          </w:p>
        </w:tc>
      </w:tr>
      <w:tr w:rsidR="008C5B0D" w:rsidRPr="00153FF1" w14:paraId="3391B813" w14:textId="77777777" w:rsidTr="008C5B0D">
        <w:trPr>
          <w:trHeight w:val="300"/>
        </w:trPr>
        <w:tc>
          <w:tcPr>
            <w:tcW w:w="2976" w:type="dxa"/>
            <w:shd w:val="clear" w:color="auto" w:fill="auto"/>
            <w:noWrap/>
            <w:vAlign w:val="center"/>
            <w:hideMark/>
          </w:tcPr>
          <w:p w14:paraId="105CB059" w14:textId="10EC97AA"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Current Tax</w:t>
            </w:r>
          </w:p>
        </w:tc>
        <w:tc>
          <w:tcPr>
            <w:tcW w:w="1488" w:type="dxa"/>
            <w:shd w:val="clear" w:color="auto" w:fill="auto"/>
            <w:noWrap/>
            <w:vAlign w:val="center"/>
            <w:hideMark/>
          </w:tcPr>
          <w:p w14:paraId="4EE612AF" w14:textId="1C4CF12D"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9" w:type="dxa"/>
            <w:shd w:val="clear" w:color="auto" w:fill="auto"/>
            <w:noWrap/>
            <w:vAlign w:val="center"/>
            <w:hideMark/>
          </w:tcPr>
          <w:p w14:paraId="6B67A0EF" w14:textId="2CA01090"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w:t>
            </w:r>
          </w:p>
        </w:tc>
        <w:tc>
          <w:tcPr>
            <w:tcW w:w="1488" w:type="dxa"/>
            <w:shd w:val="clear" w:color="auto" w:fill="auto"/>
            <w:noWrap/>
            <w:vAlign w:val="center"/>
            <w:hideMark/>
          </w:tcPr>
          <w:p w14:paraId="0195D71B" w14:textId="363788EE"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36.08</w:t>
            </w:r>
          </w:p>
        </w:tc>
        <w:tc>
          <w:tcPr>
            <w:tcW w:w="1489" w:type="dxa"/>
            <w:shd w:val="clear" w:color="auto" w:fill="auto"/>
            <w:noWrap/>
            <w:vAlign w:val="center"/>
            <w:hideMark/>
          </w:tcPr>
          <w:p w14:paraId="6C69D809" w14:textId="37552307"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65.26</w:t>
            </w:r>
          </w:p>
        </w:tc>
      </w:tr>
      <w:tr w:rsidR="008C5B0D" w:rsidRPr="00153FF1" w14:paraId="7E768F93" w14:textId="77777777" w:rsidTr="008C5B0D">
        <w:trPr>
          <w:trHeight w:val="300"/>
        </w:trPr>
        <w:tc>
          <w:tcPr>
            <w:tcW w:w="2976" w:type="dxa"/>
            <w:shd w:val="clear" w:color="auto" w:fill="auto"/>
            <w:noWrap/>
            <w:vAlign w:val="center"/>
          </w:tcPr>
          <w:p w14:paraId="29876C23" w14:textId="337656F3" w:rsidR="008C5B0D" w:rsidRDefault="008C5B0D" w:rsidP="008C5B0D">
            <w:pPr>
              <w:spacing w:after="0" w:line="360" w:lineRule="auto"/>
              <w:rPr>
                <w:rFonts w:ascii="Calibri" w:hAnsi="Calibri" w:cs="Calibri"/>
                <w:color w:val="000000"/>
                <w:sz w:val="22"/>
                <w:szCs w:val="22"/>
              </w:rPr>
            </w:pPr>
            <w:r>
              <w:rPr>
                <w:rFonts w:ascii="Calibri" w:hAnsi="Calibri" w:cs="Calibri"/>
                <w:color w:val="000000"/>
                <w:sz w:val="22"/>
                <w:szCs w:val="22"/>
              </w:rPr>
              <w:t>MAT Credit Entitlement</w:t>
            </w:r>
          </w:p>
        </w:tc>
        <w:tc>
          <w:tcPr>
            <w:tcW w:w="1488" w:type="dxa"/>
            <w:shd w:val="clear" w:color="auto" w:fill="auto"/>
            <w:noWrap/>
            <w:vAlign w:val="center"/>
          </w:tcPr>
          <w:p w14:paraId="4B4C3921" w14:textId="65C56F42"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9" w:type="dxa"/>
            <w:shd w:val="clear" w:color="auto" w:fill="auto"/>
            <w:noWrap/>
            <w:vAlign w:val="center"/>
          </w:tcPr>
          <w:p w14:paraId="46388C97" w14:textId="528A4486"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8" w:type="dxa"/>
            <w:shd w:val="clear" w:color="auto" w:fill="auto"/>
            <w:noWrap/>
            <w:vAlign w:val="center"/>
          </w:tcPr>
          <w:p w14:paraId="02766263" w14:textId="7787E17C"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-36.08</w:t>
            </w:r>
          </w:p>
        </w:tc>
        <w:tc>
          <w:tcPr>
            <w:tcW w:w="1489" w:type="dxa"/>
            <w:shd w:val="clear" w:color="auto" w:fill="auto"/>
            <w:noWrap/>
            <w:vAlign w:val="center"/>
          </w:tcPr>
          <w:p w14:paraId="12A9282A" w14:textId="30BC2483"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36.08</w:t>
            </w:r>
          </w:p>
        </w:tc>
      </w:tr>
      <w:tr w:rsidR="008C5B0D" w:rsidRPr="00153FF1" w14:paraId="72F2EF34" w14:textId="77777777" w:rsidTr="008C5B0D">
        <w:trPr>
          <w:trHeight w:val="300"/>
        </w:trPr>
        <w:tc>
          <w:tcPr>
            <w:tcW w:w="2976" w:type="dxa"/>
            <w:shd w:val="clear" w:color="auto" w:fill="auto"/>
            <w:noWrap/>
            <w:vAlign w:val="center"/>
          </w:tcPr>
          <w:p w14:paraId="2CDB54EA" w14:textId="59E0C296" w:rsidR="008C5B0D" w:rsidRDefault="008C5B0D" w:rsidP="008C5B0D">
            <w:pPr>
              <w:spacing w:after="0" w:line="360" w:lineRule="auto"/>
              <w:rPr>
                <w:rFonts w:ascii="Calibri" w:hAnsi="Calibri" w:cs="Calibri"/>
                <w:color w:val="000000"/>
                <w:sz w:val="22"/>
                <w:szCs w:val="22"/>
              </w:rPr>
            </w:pPr>
            <w:r>
              <w:rPr>
                <w:rFonts w:ascii="Calibri" w:hAnsi="Calibri" w:cs="Calibri"/>
                <w:color w:val="000000"/>
                <w:sz w:val="22"/>
                <w:szCs w:val="22"/>
              </w:rPr>
              <w:t>Earlier Year Tax</w:t>
            </w:r>
          </w:p>
        </w:tc>
        <w:tc>
          <w:tcPr>
            <w:tcW w:w="1488" w:type="dxa"/>
            <w:shd w:val="clear" w:color="auto" w:fill="auto"/>
            <w:noWrap/>
            <w:vAlign w:val="center"/>
          </w:tcPr>
          <w:p w14:paraId="755557FE" w14:textId="4F445773"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9" w:type="dxa"/>
            <w:shd w:val="clear" w:color="auto" w:fill="auto"/>
            <w:noWrap/>
            <w:vAlign w:val="center"/>
          </w:tcPr>
          <w:p w14:paraId="661D93F2" w14:textId="08273726"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8" w:type="dxa"/>
            <w:shd w:val="clear" w:color="auto" w:fill="auto"/>
            <w:noWrap/>
            <w:vAlign w:val="center"/>
          </w:tcPr>
          <w:p w14:paraId="17C1A1AE" w14:textId="0FD31433"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w:t>
            </w:r>
          </w:p>
        </w:tc>
        <w:tc>
          <w:tcPr>
            <w:tcW w:w="1489" w:type="dxa"/>
            <w:shd w:val="clear" w:color="auto" w:fill="auto"/>
            <w:noWrap/>
            <w:vAlign w:val="center"/>
          </w:tcPr>
          <w:p w14:paraId="7A643FDD" w14:textId="28BCD8F9" w:rsidR="008C5B0D" w:rsidRDefault="008C5B0D" w:rsidP="008C5B0D">
            <w:pPr>
              <w:spacing w:after="0" w:line="360" w:lineRule="auto"/>
              <w:jc w:val="center"/>
              <w:rPr>
                <w:rFonts w:ascii="Calibri" w:hAnsi="Calibri" w:cs="Calibri"/>
                <w:color w:val="000000"/>
                <w:sz w:val="22"/>
                <w:szCs w:val="22"/>
              </w:rPr>
            </w:pPr>
            <w:r>
              <w:rPr>
                <w:rFonts w:ascii="Calibri" w:hAnsi="Calibri" w:cs="Calibri"/>
                <w:color w:val="000000"/>
                <w:sz w:val="22"/>
                <w:szCs w:val="22"/>
              </w:rPr>
              <w:t>82.58</w:t>
            </w:r>
          </w:p>
        </w:tc>
      </w:tr>
      <w:tr w:rsidR="008C5B0D" w:rsidRPr="00153FF1" w14:paraId="727324F0" w14:textId="77777777" w:rsidTr="008C5B0D">
        <w:trPr>
          <w:trHeight w:val="300"/>
        </w:trPr>
        <w:tc>
          <w:tcPr>
            <w:tcW w:w="2976" w:type="dxa"/>
            <w:shd w:val="clear" w:color="auto" w:fill="auto"/>
            <w:noWrap/>
            <w:vAlign w:val="center"/>
          </w:tcPr>
          <w:p w14:paraId="1B80D5DD" w14:textId="670B4559"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Deferred Tax</w:t>
            </w:r>
          </w:p>
        </w:tc>
        <w:tc>
          <w:tcPr>
            <w:tcW w:w="1488" w:type="dxa"/>
            <w:shd w:val="clear" w:color="auto" w:fill="auto"/>
            <w:noWrap/>
            <w:vAlign w:val="center"/>
          </w:tcPr>
          <w:p w14:paraId="38993875" w14:textId="79CA6323"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192.91</w:t>
            </w:r>
          </w:p>
        </w:tc>
        <w:tc>
          <w:tcPr>
            <w:tcW w:w="1489" w:type="dxa"/>
            <w:shd w:val="clear" w:color="auto" w:fill="auto"/>
            <w:noWrap/>
            <w:vAlign w:val="center"/>
          </w:tcPr>
          <w:p w14:paraId="6917AAAE" w14:textId="0E6505B9"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-45.15</w:t>
            </w:r>
          </w:p>
        </w:tc>
        <w:tc>
          <w:tcPr>
            <w:tcW w:w="1488" w:type="dxa"/>
            <w:shd w:val="clear" w:color="auto" w:fill="auto"/>
            <w:noWrap/>
            <w:vAlign w:val="center"/>
          </w:tcPr>
          <w:p w14:paraId="4BFBCEAB" w14:textId="18D9F1FA"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68.26</w:t>
            </w:r>
          </w:p>
        </w:tc>
        <w:tc>
          <w:tcPr>
            <w:tcW w:w="1489" w:type="dxa"/>
            <w:shd w:val="clear" w:color="auto" w:fill="auto"/>
            <w:noWrap/>
            <w:vAlign w:val="center"/>
          </w:tcPr>
          <w:p w14:paraId="163460D2" w14:textId="2A982DC1"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68.78</w:t>
            </w:r>
          </w:p>
        </w:tc>
      </w:tr>
      <w:tr w:rsidR="008C5B0D" w:rsidRPr="00153FF1" w14:paraId="46925880" w14:textId="77777777" w:rsidTr="008C5B0D">
        <w:trPr>
          <w:trHeight w:val="300"/>
        </w:trPr>
        <w:tc>
          <w:tcPr>
            <w:tcW w:w="2976" w:type="dxa"/>
            <w:shd w:val="clear" w:color="auto" w:fill="DEEAF6" w:themeFill="accent1" w:themeFillTint="33"/>
            <w:noWrap/>
            <w:vAlign w:val="center"/>
            <w:hideMark/>
          </w:tcPr>
          <w:p w14:paraId="56C44E2F" w14:textId="7E754FFF" w:rsidR="008C5B0D" w:rsidRPr="00153FF1" w:rsidRDefault="008C5B0D" w:rsidP="008C5B0D">
            <w:pPr>
              <w:spacing w:after="0" w:line="360" w:lineRule="auto"/>
              <w:rPr>
                <w:rFonts w:asciiTheme="minorHAnsi" w:hAnsiTheme="minorHAnsi" w:cstheme="minorHAnsi"/>
                <w:b/>
                <w:bCs/>
                <w:color w:val="000000"/>
                <w:sz w:val="22"/>
                <w:szCs w:val="22"/>
                <w:lang w:val="en-IN" w:eastAsia="en-IN"/>
              </w:rPr>
            </w:pPr>
            <w:r>
              <w:rPr>
                <w:rFonts w:ascii="Calibri" w:hAnsi="Calibri" w:cs="Calibri"/>
                <w:b/>
                <w:bCs/>
                <w:color w:val="000000"/>
                <w:sz w:val="22"/>
                <w:szCs w:val="22"/>
              </w:rPr>
              <w:lastRenderedPageBreak/>
              <w:t>Profit for the year</w:t>
            </w:r>
          </w:p>
        </w:tc>
        <w:tc>
          <w:tcPr>
            <w:tcW w:w="1488" w:type="dxa"/>
            <w:shd w:val="clear" w:color="auto" w:fill="DEEAF6" w:themeFill="accent1" w:themeFillTint="33"/>
            <w:noWrap/>
            <w:vAlign w:val="center"/>
            <w:hideMark/>
          </w:tcPr>
          <w:p w14:paraId="43F85238" w14:textId="0656B619"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-594.00</w:t>
            </w:r>
          </w:p>
        </w:tc>
        <w:tc>
          <w:tcPr>
            <w:tcW w:w="1489" w:type="dxa"/>
            <w:shd w:val="clear" w:color="auto" w:fill="DEEAF6" w:themeFill="accent1" w:themeFillTint="33"/>
            <w:noWrap/>
            <w:vAlign w:val="center"/>
            <w:hideMark/>
          </w:tcPr>
          <w:p w14:paraId="2876FAD9" w14:textId="29918E97"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-355.41</w:t>
            </w:r>
          </w:p>
        </w:tc>
        <w:tc>
          <w:tcPr>
            <w:tcW w:w="1488" w:type="dxa"/>
            <w:shd w:val="clear" w:color="auto" w:fill="DEEAF6" w:themeFill="accent1" w:themeFillTint="33"/>
            <w:noWrap/>
            <w:vAlign w:val="center"/>
            <w:hideMark/>
          </w:tcPr>
          <w:p w14:paraId="77821BC3" w14:textId="41434804" w:rsidR="008C5B0D" w:rsidRPr="00153FF1" w:rsidRDefault="008C5B0D" w:rsidP="008C5B0D">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158.25</w:t>
            </w:r>
          </w:p>
        </w:tc>
        <w:tc>
          <w:tcPr>
            <w:tcW w:w="1489" w:type="dxa"/>
            <w:shd w:val="clear" w:color="auto" w:fill="DEEAF6" w:themeFill="accent1" w:themeFillTint="33"/>
            <w:noWrap/>
            <w:vAlign w:val="center"/>
            <w:hideMark/>
          </w:tcPr>
          <w:p w14:paraId="55700C3D" w14:textId="0F72E4A5" w:rsidR="008C5B0D" w:rsidRPr="00153FF1" w:rsidRDefault="008C5B0D" w:rsidP="008C5B0D">
            <w:pPr>
              <w:spacing w:after="0" w:line="360" w:lineRule="auto"/>
              <w:ind w:left="-41" w:right="-78"/>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201.06</w:t>
            </w:r>
          </w:p>
        </w:tc>
      </w:tr>
      <w:tr w:rsidR="008C5B0D" w:rsidRPr="00153FF1" w14:paraId="64072B6F" w14:textId="77777777" w:rsidTr="008C5B0D">
        <w:trPr>
          <w:trHeight w:val="300"/>
        </w:trPr>
        <w:tc>
          <w:tcPr>
            <w:tcW w:w="2976" w:type="dxa"/>
            <w:shd w:val="clear" w:color="auto" w:fill="EDEDED" w:themeFill="accent3" w:themeFillTint="33"/>
            <w:noWrap/>
            <w:vAlign w:val="bottom"/>
          </w:tcPr>
          <w:p w14:paraId="79FFEFA1" w14:textId="604ECC08" w:rsidR="008C5B0D" w:rsidRDefault="008C5B0D" w:rsidP="008C5B0D">
            <w:pPr>
              <w:spacing w:after="0" w:line="360" w:lineRule="auto"/>
              <w:rPr>
                <w:rFonts w:ascii="Calibri" w:hAnsi="Calibri" w:cs="Calibri"/>
                <w:b/>
                <w:bCs/>
                <w:color w:val="000000"/>
                <w:sz w:val="22"/>
                <w:szCs w:val="22"/>
              </w:rPr>
            </w:pPr>
            <w:r>
              <w:rPr>
                <w:rFonts w:ascii="Calibri" w:hAnsi="Calibri" w:cs="Calibri"/>
                <w:color w:val="000000"/>
                <w:sz w:val="22"/>
                <w:szCs w:val="22"/>
              </w:rPr>
              <w:t>EBITDA Margin %</w:t>
            </w:r>
          </w:p>
        </w:tc>
        <w:tc>
          <w:tcPr>
            <w:tcW w:w="1488" w:type="dxa"/>
            <w:shd w:val="clear" w:color="auto" w:fill="EDEDED" w:themeFill="accent3" w:themeFillTint="33"/>
            <w:noWrap/>
            <w:vAlign w:val="bottom"/>
          </w:tcPr>
          <w:p w14:paraId="6A98E8F9" w14:textId="49F635A2"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6.11%</w:t>
            </w:r>
          </w:p>
        </w:tc>
        <w:tc>
          <w:tcPr>
            <w:tcW w:w="1489" w:type="dxa"/>
            <w:shd w:val="clear" w:color="auto" w:fill="EDEDED" w:themeFill="accent3" w:themeFillTint="33"/>
            <w:noWrap/>
            <w:vAlign w:val="bottom"/>
          </w:tcPr>
          <w:p w14:paraId="072E9178" w14:textId="057462D2"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-9.17%</w:t>
            </w:r>
          </w:p>
        </w:tc>
        <w:tc>
          <w:tcPr>
            <w:tcW w:w="1488" w:type="dxa"/>
            <w:shd w:val="clear" w:color="auto" w:fill="EDEDED" w:themeFill="accent3" w:themeFillTint="33"/>
            <w:noWrap/>
            <w:vAlign w:val="bottom"/>
          </w:tcPr>
          <w:p w14:paraId="208F697C" w14:textId="5CFFB308" w:rsidR="008C5B0D" w:rsidRDefault="008C5B0D" w:rsidP="008C5B0D">
            <w:pPr>
              <w:spacing w:after="0" w:line="360" w:lineRule="auto"/>
              <w:jc w:val="center"/>
              <w:rPr>
                <w:rFonts w:ascii="Calibri" w:hAnsi="Calibri" w:cs="Calibri"/>
                <w:b/>
                <w:bCs/>
                <w:color w:val="000000"/>
                <w:sz w:val="22"/>
                <w:szCs w:val="22"/>
              </w:rPr>
            </w:pPr>
            <w:r>
              <w:rPr>
                <w:rFonts w:ascii="Calibri" w:hAnsi="Calibri" w:cs="Calibri"/>
                <w:color w:val="000000"/>
                <w:sz w:val="22"/>
                <w:szCs w:val="22"/>
              </w:rPr>
              <w:t>35.29%</w:t>
            </w:r>
          </w:p>
        </w:tc>
        <w:tc>
          <w:tcPr>
            <w:tcW w:w="1489" w:type="dxa"/>
            <w:shd w:val="clear" w:color="auto" w:fill="EDEDED" w:themeFill="accent3" w:themeFillTint="33"/>
            <w:noWrap/>
            <w:vAlign w:val="bottom"/>
          </w:tcPr>
          <w:p w14:paraId="38CE7910" w14:textId="58842235" w:rsidR="008C5B0D" w:rsidRDefault="008C5B0D" w:rsidP="008C5B0D">
            <w:pPr>
              <w:spacing w:after="0" w:line="360" w:lineRule="auto"/>
              <w:ind w:left="-41" w:right="-78"/>
              <w:jc w:val="center"/>
              <w:rPr>
                <w:rFonts w:ascii="Calibri" w:hAnsi="Calibri" w:cs="Calibri"/>
                <w:b/>
                <w:bCs/>
                <w:color w:val="000000"/>
                <w:sz w:val="22"/>
                <w:szCs w:val="22"/>
              </w:rPr>
            </w:pPr>
            <w:r>
              <w:rPr>
                <w:rFonts w:ascii="Calibri" w:hAnsi="Calibri" w:cs="Calibri"/>
                <w:color w:val="000000"/>
                <w:sz w:val="22"/>
                <w:szCs w:val="22"/>
              </w:rPr>
              <w:t>57.88%</w:t>
            </w:r>
          </w:p>
        </w:tc>
      </w:tr>
      <w:tr w:rsidR="008C5B0D" w:rsidRPr="00153FF1" w14:paraId="103CCDED" w14:textId="77777777" w:rsidTr="008B6152">
        <w:trPr>
          <w:trHeight w:val="300"/>
        </w:trPr>
        <w:tc>
          <w:tcPr>
            <w:tcW w:w="2976" w:type="dxa"/>
            <w:shd w:val="clear" w:color="auto" w:fill="EDEDED" w:themeFill="accent3" w:themeFillTint="33"/>
            <w:noWrap/>
            <w:vAlign w:val="bottom"/>
            <w:hideMark/>
          </w:tcPr>
          <w:p w14:paraId="34F2D195" w14:textId="71B2E5BC"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EBIT Margin %</w:t>
            </w:r>
          </w:p>
        </w:tc>
        <w:tc>
          <w:tcPr>
            <w:tcW w:w="1488" w:type="dxa"/>
            <w:shd w:val="clear" w:color="auto" w:fill="EDEDED" w:themeFill="accent3" w:themeFillTint="33"/>
            <w:noWrap/>
            <w:vAlign w:val="bottom"/>
            <w:hideMark/>
          </w:tcPr>
          <w:p w14:paraId="625F1306" w14:textId="46BCA4EC"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-61.78%</w:t>
            </w:r>
          </w:p>
        </w:tc>
        <w:tc>
          <w:tcPr>
            <w:tcW w:w="1489" w:type="dxa"/>
            <w:shd w:val="clear" w:color="auto" w:fill="EDEDED" w:themeFill="accent3" w:themeFillTint="33"/>
            <w:noWrap/>
            <w:vAlign w:val="bottom"/>
            <w:hideMark/>
          </w:tcPr>
          <w:p w14:paraId="7469BB79" w14:textId="4FED4D7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-57.35%</w:t>
            </w:r>
          </w:p>
        </w:tc>
        <w:tc>
          <w:tcPr>
            <w:tcW w:w="1488" w:type="dxa"/>
            <w:shd w:val="clear" w:color="auto" w:fill="EDEDED" w:themeFill="accent3" w:themeFillTint="33"/>
            <w:noWrap/>
            <w:vAlign w:val="bottom"/>
            <w:hideMark/>
          </w:tcPr>
          <w:p w14:paraId="1749F92F" w14:textId="7021BE18"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19.18%</w:t>
            </w:r>
          </w:p>
        </w:tc>
        <w:tc>
          <w:tcPr>
            <w:tcW w:w="1489" w:type="dxa"/>
            <w:shd w:val="clear" w:color="auto" w:fill="EDEDED" w:themeFill="accent3" w:themeFillTint="33"/>
            <w:noWrap/>
            <w:vAlign w:val="bottom"/>
            <w:hideMark/>
          </w:tcPr>
          <w:p w14:paraId="0BE94D07" w14:textId="1D26CE80"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41.40%</w:t>
            </w:r>
          </w:p>
        </w:tc>
      </w:tr>
      <w:tr w:rsidR="008C5B0D" w:rsidRPr="00153FF1" w14:paraId="57515491" w14:textId="77777777" w:rsidTr="008B6152">
        <w:trPr>
          <w:trHeight w:val="300"/>
        </w:trPr>
        <w:tc>
          <w:tcPr>
            <w:tcW w:w="2976" w:type="dxa"/>
            <w:shd w:val="clear" w:color="auto" w:fill="EDEDED" w:themeFill="accent3" w:themeFillTint="33"/>
            <w:noWrap/>
            <w:vAlign w:val="bottom"/>
            <w:hideMark/>
          </w:tcPr>
          <w:p w14:paraId="07B4C269" w14:textId="6EDA0B0C"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Net Profit Margin %</w:t>
            </w:r>
          </w:p>
        </w:tc>
        <w:tc>
          <w:tcPr>
            <w:tcW w:w="1488" w:type="dxa"/>
            <w:shd w:val="clear" w:color="auto" w:fill="EDEDED" w:themeFill="accent3" w:themeFillTint="33"/>
            <w:noWrap/>
            <w:vAlign w:val="bottom"/>
            <w:hideMark/>
          </w:tcPr>
          <w:p w14:paraId="3C92EA4C" w14:textId="585039C0"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-91.49%</w:t>
            </w:r>
          </w:p>
        </w:tc>
        <w:tc>
          <w:tcPr>
            <w:tcW w:w="1489" w:type="dxa"/>
            <w:shd w:val="clear" w:color="auto" w:fill="EDEDED" w:themeFill="accent3" w:themeFillTint="33"/>
            <w:noWrap/>
            <w:vAlign w:val="bottom"/>
            <w:hideMark/>
          </w:tcPr>
          <w:p w14:paraId="6B332944" w14:textId="40FBFEDC"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-50.88%</w:t>
            </w:r>
          </w:p>
        </w:tc>
        <w:tc>
          <w:tcPr>
            <w:tcW w:w="1488" w:type="dxa"/>
            <w:shd w:val="clear" w:color="auto" w:fill="EDEDED" w:themeFill="accent3" w:themeFillTint="33"/>
            <w:noWrap/>
            <w:vAlign w:val="bottom"/>
            <w:hideMark/>
          </w:tcPr>
          <w:p w14:paraId="24C316BB" w14:textId="5C1B2FA7"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13.40%</w:t>
            </w:r>
          </w:p>
        </w:tc>
        <w:tc>
          <w:tcPr>
            <w:tcW w:w="1489" w:type="dxa"/>
            <w:shd w:val="clear" w:color="auto" w:fill="EDEDED" w:themeFill="accent3" w:themeFillTint="33"/>
            <w:noWrap/>
            <w:vAlign w:val="bottom"/>
            <w:hideMark/>
          </w:tcPr>
          <w:p w14:paraId="6B4BD5AE" w14:textId="0FF8FCAE"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18.34%</w:t>
            </w:r>
          </w:p>
        </w:tc>
      </w:tr>
      <w:tr w:rsidR="008C5B0D" w:rsidRPr="00153FF1" w14:paraId="0FC90AC5" w14:textId="77777777" w:rsidTr="008B6152">
        <w:trPr>
          <w:trHeight w:val="300"/>
        </w:trPr>
        <w:tc>
          <w:tcPr>
            <w:tcW w:w="2976" w:type="dxa"/>
            <w:shd w:val="clear" w:color="auto" w:fill="EDEDED" w:themeFill="accent3" w:themeFillTint="33"/>
            <w:noWrap/>
            <w:vAlign w:val="bottom"/>
            <w:hideMark/>
          </w:tcPr>
          <w:p w14:paraId="66262F4A" w14:textId="1ADA53B9" w:rsidR="008C5B0D" w:rsidRPr="00153FF1" w:rsidRDefault="008C5B0D" w:rsidP="008C5B0D">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Revenue Growth Rate (Y.O.Y.)</w:t>
            </w:r>
          </w:p>
        </w:tc>
        <w:tc>
          <w:tcPr>
            <w:tcW w:w="1488" w:type="dxa"/>
            <w:shd w:val="clear" w:color="auto" w:fill="EDEDED" w:themeFill="accent3" w:themeFillTint="33"/>
            <w:noWrap/>
            <w:vAlign w:val="bottom"/>
            <w:hideMark/>
          </w:tcPr>
          <w:p w14:paraId="61F12A4F" w14:textId="44CAA464"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p>
        </w:tc>
        <w:tc>
          <w:tcPr>
            <w:tcW w:w="1489" w:type="dxa"/>
            <w:shd w:val="clear" w:color="auto" w:fill="EDEDED" w:themeFill="accent3" w:themeFillTint="33"/>
            <w:noWrap/>
            <w:vAlign w:val="bottom"/>
            <w:hideMark/>
          </w:tcPr>
          <w:p w14:paraId="7BF0FF46" w14:textId="11D1F1E6"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7.58%</w:t>
            </w:r>
          </w:p>
        </w:tc>
        <w:tc>
          <w:tcPr>
            <w:tcW w:w="1488" w:type="dxa"/>
            <w:shd w:val="clear" w:color="auto" w:fill="EDEDED" w:themeFill="accent3" w:themeFillTint="33"/>
            <w:noWrap/>
            <w:vAlign w:val="bottom"/>
            <w:hideMark/>
          </w:tcPr>
          <w:p w14:paraId="677E13D1" w14:textId="469DE4DB"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69.04%</w:t>
            </w:r>
          </w:p>
        </w:tc>
        <w:tc>
          <w:tcPr>
            <w:tcW w:w="1489" w:type="dxa"/>
            <w:shd w:val="clear" w:color="auto" w:fill="EDEDED" w:themeFill="accent3" w:themeFillTint="33"/>
            <w:noWrap/>
            <w:vAlign w:val="bottom"/>
            <w:hideMark/>
          </w:tcPr>
          <w:p w14:paraId="6ACB2EA3" w14:textId="609806C7" w:rsidR="008C5B0D" w:rsidRPr="00153FF1" w:rsidRDefault="008C5B0D" w:rsidP="008C5B0D">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-7.17%</w:t>
            </w:r>
          </w:p>
        </w:tc>
      </w:tr>
    </w:tbl>
    <w:p w14:paraId="29F20DB6" w14:textId="4AB53DCC" w:rsidR="00BB139C" w:rsidRDefault="008C5B0D" w:rsidP="008C5B0D">
      <w:pPr>
        <w:pStyle w:val="ListParagraph"/>
        <w:tabs>
          <w:tab w:val="left" w:pos="284"/>
        </w:tabs>
        <w:spacing w:before="240" w:line="360" w:lineRule="auto"/>
        <w:ind w:left="426" w:right="-306"/>
        <w:rPr>
          <w:rFonts w:ascii="Arial" w:hAnsi="Arial" w:cs="Arial"/>
          <w:sz w:val="22"/>
          <w:szCs w:val="22"/>
        </w:rPr>
      </w:pPr>
      <w:r>
        <w:rPr>
          <w:rFonts w:ascii="Arial" w:hAnsi="Arial" w:cs="Arial"/>
          <w:noProof/>
          <w:sz w:val="22"/>
          <w:szCs w:val="22"/>
          <w:lang w:val="en-IN" w:eastAsia="en-IN"/>
        </w:rPr>
        <w:drawing>
          <wp:inline distT="0" distB="0" distL="0" distR="0" wp14:anchorId="2E41EB80" wp14:editId="432BA84E">
            <wp:extent cx="5648325" cy="2943225"/>
            <wp:effectExtent l="19050" t="19050" r="2857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648325" cy="2943225"/>
                    </a:xfrm>
                    <a:prstGeom prst="rect">
                      <a:avLst/>
                    </a:prstGeom>
                    <a:noFill/>
                    <a:ln>
                      <a:solidFill>
                        <a:schemeClr val="tx1"/>
                      </a:solidFill>
                    </a:ln>
                  </pic:spPr>
                </pic:pic>
              </a:graphicData>
            </a:graphic>
          </wp:inline>
        </w:drawing>
      </w:r>
    </w:p>
    <w:p w14:paraId="3ED604D3" w14:textId="7B14206D" w:rsidR="00C44C6A" w:rsidRDefault="00C44C6A" w:rsidP="00052CCE">
      <w:pPr>
        <w:pStyle w:val="ListParagraph"/>
        <w:tabs>
          <w:tab w:val="left" w:pos="284"/>
        </w:tabs>
        <w:spacing w:before="240" w:line="360" w:lineRule="auto"/>
        <w:ind w:left="426" w:right="-306"/>
        <w:jc w:val="both"/>
        <w:rPr>
          <w:rFonts w:ascii="Arial" w:hAnsi="Arial" w:cs="Arial"/>
          <w:sz w:val="22"/>
          <w:szCs w:val="22"/>
        </w:rPr>
      </w:pPr>
      <w:r w:rsidRPr="001A412A">
        <w:rPr>
          <w:rFonts w:ascii="Arial" w:hAnsi="Arial" w:cs="Arial"/>
          <w:sz w:val="22"/>
          <w:szCs w:val="22"/>
        </w:rPr>
        <w:t xml:space="preserve">As per the </w:t>
      </w:r>
      <w:r w:rsidR="001A412A" w:rsidRPr="001A412A">
        <w:rPr>
          <w:rFonts w:ascii="Arial" w:hAnsi="Arial" w:cs="Arial"/>
          <w:sz w:val="22"/>
          <w:szCs w:val="22"/>
        </w:rPr>
        <w:t xml:space="preserve">previous years’ audited financials shared with us, </w:t>
      </w:r>
      <w:r w:rsidRPr="001A412A">
        <w:rPr>
          <w:rFonts w:ascii="Arial" w:hAnsi="Arial" w:cs="Arial"/>
          <w:sz w:val="22"/>
          <w:szCs w:val="22"/>
        </w:rPr>
        <w:t xml:space="preserve">the </w:t>
      </w:r>
      <w:r w:rsidR="009C2C78">
        <w:rPr>
          <w:rFonts w:ascii="Arial" w:hAnsi="Arial" w:cs="Arial"/>
          <w:sz w:val="22"/>
          <w:szCs w:val="22"/>
        </w:rPr>
        <w:t xml:space="preserve">EBITDA Margin, </w:t>
      </w:r>
      <w:r w:rsidR="001A412A" w:rsidRPr="001A412A">
        <w:rPr>
          <w:rFonts w:ascii="Arial" w:hAnsi="Arial" w:cs="Arial"/>
          <w:sz w:val="22"/>
          <w:szCs w:val="22"/>
        </w:rPr>
        <w:t xml:space="preserve">EBIT margin and </w:t>
      </w:r>
      <w:r w:rsidR="009C2C78">
        <w:rPr>
          <w:rFonts w:ascii="Arial" w:hAnsi="Arial" w:cs="Arial"/>
          <w:sz w:val="22"/>
          <w:szCs w:val="22"/>
        </w:rPr>
        <w:t xml:space="preserve">Net </w:t>
      </w:r>
      <w:r w:rsidR="001A412A" w:rsidRPr="001A412A">
        <w:rPr>
          <w:rFonts w:ascii="Arial" w:hAnsi="Arial" w:cs="Arial"/>
          <w:sz w:val="22"/>
          <w:szCs w:val="22"/>
        </w:rPr>
        <w:t xml:space="preserve">Profit Margin of the company have increased from </w:t>
      </w:r>
      <w:r w:rsidR="009C2C78">
        <w:rPr>
          <w:rFonts w:ascii="Arial" w:hAnsi="Arial" w:cs="Arial"/>
          <w:sz w:val="22"/>
          <w:szCs w:val="22"/>
        </w:rPr>
        <w:t xml:space="preserve">6.11%, </w:t>
      </w:r>
      <w:r w:rsidR="001A412A" w:rsidRPr="001A412A">
        <w:rPr>
          <w:rFonts w:ascii="Arial" w:hAnsi="Arial" w:cs="Arial"/>
          <w:sz w:val="22"/>
          <w:szCs w:val="22"/>
        </w:rPr>
        <w:t>-</w:t>
      </w:r>
      <w:r w:rsidR="009C2C78">
        <w:rPr>
          <w:rFonts w:ascii="Arial" w:hAnsi="Arial" w:cs="Arial"/>
          <w:sz w:val="22"/>
          <w:szCs w:val="22"/>
        </w:rPr>
        <w:t>61.78</w:t>
      </w:r>
      <w:r w:rsidR="001A412A" w:rsidRPr="001A412A">
        <w:rPr>
          <w:rFonts w:ascii="Arial" w:hAnsi="Arial" w:cs="Arial"/>
          <w:sz w:val="22"/>
          <w:szCs w:val="22"/>
        </w:rPr>
        <w:t>% &amp; -</w:t>
      </w:r>
      <w:r w:rsidR="009C2C78">
        <w:rPr>
          <w:rFonts w:ascii="Arial" w:hAnsi="Arial" w:cs="Arial"/>
          <w:sz w:val="22"/>
          <w:szCs w:val="22"/>
        </w:rPr>
        <w:t>91.49</w:t>
      </w:r>
      <w:r w:rsidR="001A412A" w:rsidRPr="001A412A">
        <w:rPr>
          <w:rFonts w:ascii="Arial" w:hAnsi="Arial" w:cs="Arial"/>
          <w:sz w:val="22"/>
          <w:szCs w:val="22"/>
        </w:rPr>
        <w:t>% in FY 2020-21</w:t>
      </w:r>
      <w:r w:rsidR="009C2C78">
        <w:rPr>
          <w:rFonts w:ascii="Arial" w:hAnsi="Arial" w:cs="Arial"/>
          <w:sz w:val="22"/>
          <w:szCs w:val="22"/>
        </w:rPr>
        <w:t xml:space="preserve"> respectively</w:t>
      </w:r>
      <w:r w:rsidR="001A412A" w:rsidRPr="001A412A">
        <w:rPr>
          <w:rFonts w:ascii="Arial" w:hAnsi="Arial" w:cs="Arial"/>
          <w:sz w:val="22"/>
          <w:szCs w:val="22"/>
        </w:rPr>
        <w:t xml:space="preserve"> to </w:t>
      </w:r>
      <w:r w:rsidR="009C2C78">
        <w:rPr>
          <w:rFonts w:ascii="Arial" w:hAnsi="Arial" w:cs="Arial"/>
          <w:sz w:val="22"/>
          <w:szCs w:val="22"/>
        </w:rPr>
        <w:t>57.88%, 41.40</w:t>
      </w:r>
      <w:r w:rsidR="001A412A" w:rsidRPr="001A412A">
        <w:rPr>
          <w:rFonts w:ascii="Arial" w:hAnsi="Arial" w:cs="Arial"/>
          <w:sz w:val="22"/>
          <w:szCs w:val="22"/>
        </w:rPr>
        <w:t xml:space="preserve">% &amp; </w:t>
      </w:r>
      <w:r w:rsidR="009C2C78">
        <w:rPr>
          <w:rFonts w:ascii="Arial" w:hAnsi="Arial" w:cs="Arial"/>
          <w:sz w:val="22"/>
          <w:szCs w:val="22"/>
        </w:rPr>
        <w:t>18.34</w:t>
      </w:r>
      <w:r w:rsidR="001A412A" w:rsidRPr="001A412A">
        <w:rPr>
          <w:rFonts w:ascii="Arial" w:hAnsi="Arial" w:cs="Arial"/>
          <w:sz w:val="22"/>
          <w:szCs w:val="22"/>
        </w:rPr>
        <w:t xml:space="preserve">% in FY 2023-24 respectively. </w:t>
      </w:r>
    </w:p>
    <w:p w14:paraId="3D867FAB" w14:textId="77777777" w:rsidR="00F90CE2" w:rsidRDefault="00F90CE2" w:rsidP="00F90CE2">
      <w:pPr>
        <w:pStyle w:val="ListParagraph"/>
        <w:tabs>
          <w:tab w:val="left" w:pos="284"/>
        </w:tabs>
        <w:spacing w:before="240" w:line="360" w:lineRule="auto"/>
        <w:ind w:left="426" w:right="-306"/>
        <w:jc w:val="both"/>
        <w:rPr>
          <w:rFonts w:ascii="Arial" w:hAnsi="Arial" w:cs="Arial"/>
          <w:sz w:val="22"/>
          <w:szCs w:val="22"/>
        </w:rPr>
      </w:pPr>
      <w:r w:rsidRPr="008C5B0D">
        <w:rPr>
          <w:rFonts w:ascii="Arial" w:hAnsi="Arial" w:cs="Arial"/>
          <w:bCs/>
          <w:sz w:val="22"/>
          <w:lang w:val="en-GB"/>
        </w:rPr>
        <w:t>At present, the company is engaged in the business of maintenance and up keeping services in respect of Real Estate.</w:t>
      </w:r>
      <w:r>
        <w:rPr>
          <w:rFonts w:ascii="Arial" w:hAnsi="Arial" w:cs="Arial"/>
          <w:bCs/>
          <w:sz w:val="22"/>
          <w:lang w:val="en-GB"/>
        </w:rPr>
        <w:t xml:space="preserve"> </w:t>
      </w:r>
      <w:r>
        <w:rPr>
          <w:rFonts w:ascii="Arial" w:hAnsi="Arial" w:cs="Arial"/>
          <w:color w:val="000000" w:themeColor="text1"/>
          <w:sz w:val="22"/>
          <w:szCs w:val="22"/>
        </w:rPr>
        <w:t>N</w:t>
      </w:r>
      <w:r>
        <w:rPr>
          <w:rFonts w:ascii="Arial" w:hAnsi="Arial" w:cs="Arial"/>
          <w:sz w:val="22"/>
          <w:szCs w:val="22"/>
        </w:rPr>
        <w:t xml:space="preserve">ow, the </w:t>
      </w:r>
      <w:r w:rsidRPr="00FD7D32">
        <w:rPr>
          <w:rFonts w:ascii="Arial" w:hAnsi="Arial" w:cs="Arial"/>
          <w:sz w:val="22"/>
          <w:szCs w:val="22"/>
        </w:rPr>
        <w:t xml:space="preserve">company need to </w:t>
      </w:r>
      <w:r>
        <w:rPr>
          <w:rFonts w:ascii="Arial" w:hAnsi="Arial" w:cs="Arial"/>
          <w:sz w:val="22"/>
          <w:szCs w:val="22"/>
        </w:rPr>
        <w:t>ascertain its net worth at present</w:t>
      </w:r>
      <w:r w:rsidRPr="00FD7D32">
        <w:rPr>
          <w:rFonts w:ascii="Arial" w:hAnsi="Arial" w:cs="Arial"/>
          <w:sz w:val="22"/>
          <w:szCs w:val="22"/>
        </w:rPr>
        <w:t>, for which management of the company</w:t>
      </w:r>
      <w:r>
        <w:rPr>
          <w:rFonts w:ascii="Arial" w:hAnsi="Arial" w:cs="Arial"/>
          <w:sz w:val="22"/>
          <w:szCs w:val="22"/>
        </w:rPr>
        <w:t xml:space="preserve"> </w:t>
      </w:r>
      <w:r w:rsidRPr="00FD7D32">
        <w:rPr>
          <w:rFonts w:ascii="Arial" w:hAnsi="Arial" w:cs="Arial"/>
          <w:sz w:val="22"/>
          <w:szCs w:val="22"/>
        </w:rPr>
        <w:t xml:space="preserve">requires the fair market value of </w:t>
      </w:r>
      <w:r>
        <w:rPr>
          <w:rFonts w:ascii="Arial" w:hAnsi="Arial" w:cs="Arial"/>
          <w:sz w:val="22"/>
          <w:szCs w:val="22"/>
        </w:rPr>
        <w:t xml:space="preserve">equity </w:t>
      </w:r>
      <w:r w:rsidRPr="00FD7D32">
        <w:rPr>
          <w:rFonts w:ascii="Arial" w:hAnsi="Arial" w:cs="Arial"/>
          <w:sz w:val="22"/>
          <w:szCs w:val="22"/>
        </w:rPr>
        <w:t>share</w:t>
      </w:r>
      <w:r>
        <w:rPr>
          <w:rFonts w:ascii="Arial" w:hAnsi="Arial" w:cs="Arial"/>
          <w:sz w:val="22"/>
          <w:szCs w:val="22"/>
        </w:rPr>
        <w:t>s to assess its financial position for internal purpose.</w:t>
      </w:r>
    </w:p>
    <w:p w14:paraId="361181BC" w14:textId="0302200D" w:rsidR="00052CCE" w:rsidRDefault="00F90CE2" w:rsidP="00052CCE">
      <w:pPr>
        <w:pStyle w:val="ListParagraph"/>
        <w:spacing w:before="240" w:after="0" w:line="360" w:lineRule="auto"/>
        <w:ind w:left="426" w:right="-306"/>
        <w:jc w:val="both"/>
        <w:rPr>
          <w:rFonts w:ascii="Arial" w:eastAsia="Arial" w:hAnsi="Arial" w:cs="Arial"/>
          <w:b/>
          <w:bCs/>
          <w:sz w:val="22"/>
          <w:szCs w:val="22"/>
        </w:rPr>
      </w:pPr>
      <w:r>
        <w:rPr>
          <w:rFonts w:ascii="Arial" w:hAnsi="Arial" w:cs="Arial"/>
          <w:b/>
          <w:bCs/>
          <w:sz w:val="22"/>
          <w:szCs w:val="22"/>
          <w:lang w:val="en-IN"/>
        </w:rPr>
        <w:t xml:space="preserve">Thus, </w:t>
      </w:r>
      <w:r w:rsidR="00052CCE" w:rsidRPr="00E90755">
        <w:rPr>
          <w:rFonts w:ascii="Arial" w:hAnsi="Arial" w:cs="Arial"/>
          <w:b/>
          <w:bCs/>
          <w:sz w:val="22"/>
          <w:szCs w:val="22"/>
          <w:lang w:val="en-IN"/>
        </w:rPr>
        <w:t xml:space="preserve">M/s </w:t>
      </w:r>
      <w:r w:rsidR="00052CCE">
        <w:rPr>
          <w:rFonts w:ascii="Arial" w:hAnsi="Arial" w:cs="Arial"/>
          <w:b/>
          <w:bCs/>
          <w:sz w:val="22"/>
          <w:szCs w:val="22"/>
          <w:lang w:val="en-IN"/>
        </w:rPr>
        <w:t>Indus Tubes</w:t>
      </w:r>
      <w:r w:rsidR="00052CCE" w:rsidRPr="00E90755">
        <w:rPr>
          <w:rFonts w:ascii="Arial" w:hAnsi="Arial" w:cs="Arial"/>
          <w:b/>
          <w:bCs/>
          <w:sz w:val="22"/>
          <w:szCs w:val="22"/>
          <w:lang w:val="en-IN"/>
        </w:rPr>
        <w:t xml:space="preserve"> Limited</w:t>
      </w:r>
      <w:r w:rsidR="00052CCE">
        <w:rPr>
          <w:rFonts w:ascii="Arial" w:hAnsi="Arial" w:cs="Arial"/>
          <w:sz w:val="22"/>
          <w:szCs w:val="22"/>
          <w:lang w:val="en-IN"/>
        </w:rPr>
        <w:t xml:space="preserve"> </w:t>
      </w:r>
      <w:r w:rsidR="00052CCE" w:rsidRPr="0022197B">
        <w:rPr>
          <w:rFonts w:ascii="Arial" w:hAnsi="Arial" w:cs="Arial"/>
          <w:b/>
          <w:w w:val="105"/>
          <w:sz w:val="22"/>
          <w:szCs w:val="22"/>
        </w:rPr>
        <w:t>has appointed</w:t>
      </w:r>
      <w:r w:rsidR="00052CCE">
        <w:rPr>
          <w:rFonts w:ascii="Arial" w:hAnsi="Arial" w:cs="Arial"/>
          <w:b/>
          <w:w w:val="105"/>
          <w:sz w:val="22"/>
          <w:szCs w:val="22"/>
        </w:rPr>
        <w:t xml:space="preserve"> us</w:t>
      </w:r>
      <w:r w:rsidR="00052CCE" w:rsidRPr="0022197B">
        <w:rPr>
          <w:rFonts w:ascii="Arial" w:hAnsi="Arial" w:cs="Arial"/>
          <w:b/>
          <w:w w:val="105"/>
          <w:sz w:val="22"/>
          <w:szCs w:val="22"/>
        </w:rPr>
        <w:t xml:space="preserve"> R.K</w:t>
      </w:r>
      <w:r w:rsidR="00052CCE">
        <w:rPr>
          <w:rFonts w:ascii="Arial" w:hAnsi="Arial" w:cs="Arial"/>
          <w:b/>
          <w:w w:val="105"/>
          <w:sz w:val="22"/>
          <w:szCs w:val="22"/>
        </w:rPr>
        <w:t>.</w:t>
      </w:r>
      <w:r w:rsidR="00052CCE" w:rsidRPr="0022197B">
        <w:rPr>
          <w:rFonts w:ascii="Arial" w:hAnsi="Arial" w:cs="Arial"/>
          <w:b/>
          <w:w w:val="105"/>
          <w:sz w:val="22"/>
          <w:szCs w:val="22"/>
        </w:rPr>
        <w:t xml:space="preserve"> Associates to determine the Fair </w:t>
      </w:r>
      <w:r w:rsidR="00052CCE">
        <w:rPr>
          <w:rFonts w:ascii="Arial" w:hAnsi="Arial" w:cs="Arial"/>
          <w:b/>
          <w:w w:val="105"/>
          <w:sz w:val="22"/>
          <w:szCs w:val="22"/>
        </w:rPr>
        <w:t>Valuation of the equity shares of M/s G.</w:t>
      </w:r>
      <w:r w:rsidR="001A412A">
        <w:rPr>
          <w:rFonts w:ascii="Arial" w:hAnsi="Arial" w:cs="Arial"/>
          <w:b/>
          <w:w w:val="105"/>
          <w:sz w:val="22"/>
          <w:szCs w:val="22"/>
        </w:rPr>
        <w:t xml:space="preserve"> </w:t>
      </w:r>
      <w:r w:rsidR="00052CCE">
        <w:rPr>
          <w:rFonts w:ascii="Arial" w:hAnsi="Arial" w:cs="Arial"/>
          <w:b/>
          <w:w w:val="105"/>
          <w:sz w:val="22"/>
          <w:szCs w:val="22"/>
        </w:rPr>
        <w:t xml:space="preserve">D. </w:t>
      </w:r>
      <w:r w:rsidR="009C2C78">
        <w:rPr>
          <w:rFonts w:ascii="Arial" w:hAnsi="Arial" w:cs="Arial"/>
          <w:b/>
          <w:w w:val="105"/>
          <w:sz w:val="22"/>
          <w:szCs w:val="22"/>
        </w:rPr>
        <w:t>Contractors Private</w:t>
      </w:r>
      <w:r w:rsidR="00052CCE">
        <w:rPr>
          <w:rFonts w:ascii="Arial" w:hAnsi="Arial" w:cs="Arial"/>
          <w:b/>
          <w:w w:val="105"/>
          <w:sz w:val="22"/>
          <w:szCs w:val="22"/>
        </w:rPr>
        <w:t xml:space="preserve"> Limited</w:t>
      </w:r>
      <w:r w:rsidR="00052CCE" w:rsidRPr="0022197B">
        <w:rPr>
          <w:rFonts w:ascii="Arial" w:hAnsi="Arial" w:cs="Arial"/>
          <w:b/>
          <w:w w:val="105"/>
          <w:sz w:val="22"/>
          <w:szCs w:val="22"/>
        </w:rPr>
        <w:t xml:space="preserve"> to take appropriate course of action</w:t>
      </w:r>
      <w:r w:rsidR="00052CCE">
        <w:rPr>
          <w:rFonts w:ascii="Arial" w:eastAsia="Arial" w:hAnsi="Arial" w:cs="Arial"/>
          <w:b/>
          <w:bCs/>
          <w:sz w:val="22"/>
          <w:szCs w:val="22"/>
        </w:rPr>
        <w:t xml:space="preserve">.  </w:t>
      </w:r>
    </w:p>
    <w:p w14:paraId="5EB31FEE" w14:textId="77777777" w:rsidR="007B5756" w:rsidRDefault="007B5756" w:rsidP="00052CCE">
      <w:pPr>
        <w:spacing w:after="0" w:line="360" w:lineRule="auto"/>
        <w:ind w:left="426" w:right="-306"/>
        <w:jc w:val="both"/>
        <w:rPr>
          <w:rFonts w:ascii="Arial" w:hAnsi="Arial" w:cs="Arial"/>
          <w:b/>
          <w:w w:val="105"/>
          <w:sz w:val="22"/>
          <w:szCs w:val="22"/>
        </w:rPr>
      </w:pPr>
    </w:p>
    <w:p w14:paraId="6A2F61FB" w14:textId="384651EC" w:rsidR="007B5756" w:rsidRPr="00F90CE2" w:rsidRDefault="00001CE0" w:rsidP="00F90CE2">
      <w:pPr>
        <w:pStyle w:val="ListParagraph"/>
        <w:numPr>
          <w:ilvl w:val="0"/>
          <w:numId w:val="1"/>
        </w:numPr>
        <w:spacing w:after="0" w:line="360" w:lineRule="auto"/>
        <w:ind w:left="426" w:right="-306"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00F75A56" w:rsidRPr="00F90CE2">
        <w:rPr>
          <w:rFonts w:ascii="Arial" w:hAnsi="Arial" w:cs="Arial"/>
          <w:sz w:val="22"/>
          <w:szCs w:val="22"/>
          <w:lang w:val="en-IN"/>
        </w:rPr>
        <w:t xml:space="preserve">Share </w:t>
      </w:r>
      <w:r w:rsidR="00F75A56" w:rsidRPr="00F90CE2">
        <w:rPr>
          <w:rFonts w:ascii="Arial" w:hAnsi="Arial" w:cs="Arial"/>
          <w:sz w:val="22"/>
          <w:szCs w:val="22"/>
        </w:rPr>
        <w:t>Valuation Report.</w:t>
      </w:r>
    </w:p>
    <w:p w14:paraId="21DBF463" w14:textId="77777777" w:rsidR="009C2C78" w:rsidRPr="00F75A56" w:rsidRDefault="009C2C78" w:rsidP="009C2C78">
      <w:pPr>
        <w:pStyle w:val="ListParagraph"/>
        <w:spacing w:after="0" w:line="360" w:lineRule="auto"/>
        <w:ind w:left="426" w:right="-306"/>
        <w:jc w:val="both"/>
        <w:rPr>
          <w:rFonts w:ascii="Arial" w:hAnsi="Arial" w:cs="Arial"/>
          <w:b/>
          <w:sz w:val="22"/>
          <w:szCs w:val="22"/>
          <w:lang w:val="en-IN"/>
        </w:rPr>
      </w:pPr>
    </w:p>
    <w:p w14:paraId="4D6379B2" w14:textId="5137A945" w:rsidR="00F90CE2" w:rsidRPr="00F90CE2" w:rsidRDefault="00001CE0" w:rsidP="00F90CE2">
      <w:pPr>
        <w:pStyle w:val="ListParagraph"/>
        <w:numPr>
          <w:ilvl w:val="0"/>
          <w:numId w:val="1"/>
        </w:numPr>
        <w:spacing w:line="360" w:lineRule="auto"/>
        <w:ind w:left="426" w:right="-306" w:hanging="426"/>
        <w:jc w:val="both"/>
        <w:rPr>
          <w:rFonts w:ascii="Arial" w:hAnsi="Arial" w:cs="Arial"/>
          <w:b/>
          <w:sz w:val="22"/>
          <w:szCs w:val="22"/>
        </w:rPr>
      </w:pPr>
      <w:r w:rsidRPr="00912945">
        <w:rPr>
          <w:rFonts w:ascii="Arial" w:hAnsi="Arial" w:cs="Arial"/>
          <w:b/>
          <w:sz w:val="22"/>
          <w:szCs w:val="22"/>
          <w:lang w:val="en-IN"/>
        </w:rPr>
        <w:t xml:space="preserve">PURPOSE OF THE REPORT: </w:t>
      </w:r>
    </w:p>
    <w:p w14:paraId="3E4AE1E5" w14:textId="7CE48DE7" w:rsidR="00912945" w:rsidRDefault="00F75A56" w:rsidP="00F90CE2">
      <w:pPr>
        <w:pStyle w:val="ListParagraph"/>
        <w:spacing w:after="0" w:line="360" w:lineRule="auto"/>
        <w:ind w:left="426" w:right="-306"/>
        <w:jc w:val="both"/>
        <w:rPr>
          <w:rFonts w:ascii="Arial" w:hAnsi="Arial" w:cs="Arial"/>
          <w:sz w:val="22"/>
          <w:szCs w:val="22"/>
        </w:rPr>
      </w:pPr>
      <w:r w:rsidRPr="00E33ACC">
        <w:rPr>
          <w:rFonts w:ascii="Arial" w:hAnsi="Arial" w:cs="Arial"/>
          <w:sz w:val="22"/>
          <w:szCs w:val="22"/>
        </w:rPr>
        <w:lastRenderedPageBreak/>
        <w:t xml:space="preserve">To </w:t>
      </w:r>
      <w:r>
        <w:rPr>
          <w:rFonts w:ascii="Arial" w:hAnsi="Arial" w:cs="Arial"/>
          <w:sz w:val="22"/>
          <w:szCs w:val="22"/>
        </w:rPr>
        <w:t xml:space="preserve">assess &amp; </w:t>
      </w:r>
      <w:r w:rsidRPr="00E33ACC">
        <w:rPr>
          <w:rFonts w:ascii="Arial" w:hAnsi="Arial" w:cs="Arial"/>
          <w:sz w:val="22"/>
          <w:szCs w:val="22"/>
        </w:rPr>
        <w:t xml:space="preserve">determine the </w:t>
      </w:r>
      <w:r>
        <w:rPr>
          <w:rFonts w:ascii="Arial" w:hAnsi="Arial" w:cs="Arial"/>
          <w:sz w:val="22"/>
          <w:szCs w:val="22"/>
        </w:rPr>
        <w:t xml:space="preserve">fair value of the equity shares of M/s </w:t>
      </w:r>
      <w:r w:rsidR="00632E53">
        <w:rPr>
          <w:rFonts w:ascii="Arial" w:hAnsi="Arial" w:cs="Arial"/>
          <w:sz w:val="22"/>
          <w:szCs w:val="22"/>
        </w:rPr>
        <w:t xml:space="preserve">G. D. Contractors Private Limited </w:t>
      </w:r>
      <w:r>
        <w:rPr>
          <w:rFonts w:ascii="Arial" w:hAnsi="Arial" w:cs="Arial"/>
          <w:sz w:val="22"/>
          <w:szCs w:val="22"/>
        </w:rPr>
        <w:t xml:space="preserve">to enable M/s Indus Tubes Limited (ITL) </w:t>
      </w:r>
      <w:r w:rsidR="00F90CE2" w:rsidRPr="00FD7D32">
        <w:rPr>
          <w:rFonts w:ascii="Arial" w:hAnsi="Arial" w:cs="Arial"/>
          <w:sz w:val="22"/>
          <w:szCs w:val="22"/>
        </w:rPr>
        <w:t>to find</w:t>
      </w:r>
      <w:r w:rsidR="00F90CE2">
        <w:rPr>
          <w:rFonts w:ascii="Arial" w:hAnsi="Arial" w:cs="Arial"/>
          <w:sz w:val="22"/>
          <w:szCs w:val="22"/>
        </w:rPr>
        <w:t xml:space="preserve"> the fair market value of equity shares of the associate company.</w:t>
      </w:r>
    </w:p>
    <w:p w14:paraId="6724C164" w14:textId="77777777" w:rsidR="00F90CE2" w:rsidRPr="00F75A56" w:rsidRDefault="00F90CE2" w:rsidP="00F90CE2">
      <w:pPr>
        <w:pStyle w:val="ListParagraph"/>
        <w:spacing w:after="0" w:line="360" w:lineRule="auto"/>
        <w:ind w:left="426" w:right="-306"/>
        <w:jc w:val="both"/>
        <w:rPr>
          <w:rFonts w:ascii="Arial" w:hAnsi="Arial" w:cs="Arial"/>
          <w:b/>
          <w:sz w:val="22"/>
          <w:szCs w:val="22"/>
        </w:rPr>
      </w:pPr>
    </w:p>
    <w:p w14:paraId="29C8449D" w14:textId="77777777" w:rsidR="00F90CE2" w:rsidRPr="00F90CE2" w:rsidRDefault="00001CE0" w:rsidP="00F90CE2">
      <w:pPr>
        <w:pStyle w:val="ListParagraph"/>
        <w:numPr>
          <w:ilvl w:val="0"/>
          <w:numId w:val="1"/>
        </w:numPr>
        <w:spacing w:line="360" w:lineRule="auto"/>
        <w:ind w:left="426" w:right="-306"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p>
    <w:p w14:paraId="7870940D" w14:textId="7CC196EF" w:rsidR="006E5C75" w:rsidRPr="00C5267F" w:rsidRDefault="006E5C75" w:rsidP="00F90CE2">
      <w:pPr>
        <w:pStyle w:val="ListParagraph"/>
        <w:spacing w:line="360" w:lineRule="auto"/>
        <w:ind w:left="426" w:right="-306"/>
        <w:jc w:val="both"/>
        <w:rPr>
          <w:rFonts w:ascii="Arial" w:hAnsi="Arial" w:cs="Arial"/>
          <w:sz w:val="22"/>
          <w:szCs w:val="22"/>
        </w:rPr>
      </w:pPr>
      <w:r>
        <w:rPr>
          <w:rFonts w:ascii="Arial" w:eastAsia="Arial" w:hAnsi="Arial" w:cs="Arial"/>
          <w:sz w:val="22"/>
          <w:szCs w:val="22"/>
        </w:rPr>
        <w:t xml:space="preserve">To calculate </w:t>
      </w:r>
      <w:r>
        <w:rPr>
          <w:rFonts w:ascii="Arial" w:hAnsi="Arial" w:cs="Arial"/>
          <w:sz w:val="22"/>
          <w:szCs w:val="22"/>
        </w:rPr>
        <w:t xml:space="preserve">fair value of </w:t>
      </w:r>
      <w:r w:rsidR="001A412A">
        <w:rPr>
          <w:rFonts w:ascii="Arial" w:hAnsi="Arial" w:cs="Arial"/>
          <w:sz w:val="22"/>
          <w:szCs w:val="22"/>
        </w:rPr>
        <w:t xml:space="preserve">the equity shares of </w:t>
      </w:r>
      <w:r>
        <w:rPr>
          <w:rFonts w:ascii="Arial" w:hAnsi="Arial" w:cs="Arial"/>
          <w:sz w:val="22"/>
          <w:szCs w:val="22"/>
        </w:rPr>
        <w:t>the above-mentioned compan</w:t>
      </w:r>
      <w:r w:rsidR="001A412A">
        <w:rPr>
          <w:rFonts w:ascii="Arial" w:hAnsi="Arial" w:cs="Arial"/>
          <w:sz w:val="22"/>
          <w:szCs w:val="22"/>
        </w:rPr>
        <w:t>y</w:t>
      </w:r>
      <w:r>
        <w:rPr>
          <w:rFonts w:ascii="Arial" w:hAnsi="Arial" w:cs="Arial"/>
          <w:sz w:val="22"/>
          <w:szCs w:val="22"/>
        </w:rPr>
        <w:t>.</w:t>
      </w:r>
    </w:p>
    <w:p w14:paraId="11ECBA26" w14:textId="10EB3FBC" w:rsidR="006E5C75" w:rsidRPr="00C5267F" w:rsidRDefault="006E5C75" w:rsidP="00F90CE2">
      <w:pPr>
        <w:pStyle w:val="ListParagraph"/>
        <w:numPr>
          <w:ilvl w:val="0"/>
          <w:numId w:val="15"/>
        </w:numPr>
        <w:spacing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w:t>
      </w:r>
      <w:r w:rsidRPr="006E5C75">
        <w:rPr>
          <w:rFonts w:ascii="Arial" w:hAnsi="Arial" w:cs="Arial"/>
          <w:iCs/>
          <w:color w:val="000000"/>
          <w:sz w:val="22"/>
          <w:szCs w:val="22"/>
        </w:rPr>
        <w:t>valuation</w:t>
      </w:r>
      <w:r w:rsidRPr="00E33ACC">
        <w:rPr>
          <w:rFonts w:ascii="Arial" w:hAnsi="Arial" w:cs="Arial"/>
          <w:i/>
          <w:color w:val="000000"/>
          <w:sz w:val="22"/>
          <w:szCs w:val="22"/>
        </w:rPr>
        <w:t xml:space="preserve"> </w:t>
      </w:r>
      <w:r>
        <w:rPr>
          <w:rFonts w:ascii="Arial" w:hAnsi="Arial" w:cs="Arial"/>
          <w:i/>
          <w:color w:val="000000"/>
          <w:sz w:val="22"/>
          <w:szCs w:val="22"/>
        </w:rPr>
        <w:t xml:space="preserve">report of the equity shares of the M/s </w:t>
      </w:r>
      <w:r w:rsidR="00632E53">
        <w:rPr>
          <w:rFonts w:ascii="Arial" w:hAnsi="Arial" w:cs="Arial"/>
          <w:i/>
          <w:color w:val="000000"/>
          <w:sz w:val="22"/>
          <w:szCs w:val="22"/>
        </w:rPr>
        <w:t>G. D. Contractors Private Limited</w:t>
      </w:r>
      <w:r>
        <w:rPr>
          <w:rFonts w:ascii="Arial" w:hAnsi="Arial" w:cs="Arial"/>
          <w:i/>
          <w:color w:val="000000"/>
          <w:sz w:val="22"/>
          <w:szCs w:val="22"/>
        </w:rPr>
        <w:t>.</w:t>
      </w:r>
    </w:p>
    <w:p w14:paraId="41AE0E5C" w14:textId="40DA2EF9" w:rsidR="006E5C75" w:rsidRPr="00C5267F" w:rsidRDefault="006E5C75" w:rsidP="00F90CE2">
      <w:pPr>
        <w:pStyle w:val="ListParagraph"/>
        <w:numPr>
          <w:ilvl w:val="0"/>
          <w:numId w:val="15"/>
        </w:numPr>
        <w:spacing w:line="360" w:lineRule="auto"/>
        <w:ind w:left="851" w:right="-306" w:hanging="425"/>
        <w:jc w:val="both"/>
        <w:rPr>
          <w:rFonts w:ascii="Arial" w:hAnsi="Arial" w:cs="Arial"/>
          <w:i/>
          <w:color w:val="000000"/>
          <w:sz w:val="22"/>
          <w:szCs w:val="22"/>
        </w:rPr>
      </w:pPr>
      <w:r w:rsidRPr="00C5267F">
        <w:rPr>
          <w:rFonts w:ascii="Arial" w:eastAsia="Arial" w:hAnsi="Arial" w:cs="Arial"/>
          <w:i/>
          <w:sz w:val="22"/>
          <w:szCs w:val="22"/>
        </w:rPr>
        <w:t xml:space="preserve">This </w:t>
      </w:r>
      <w:r w:rsidRPr="006E5C75">
        <w:rPr>
          <w:rFonts w:ascii="Arial" w:hAnsi="Arial" w:cs="Arial"/>
          <w:i/>
          <w:color w:val="000000"/>
          <w:sz w:val="22"/>
          <w:szCs w:val="22"/>
        </w:rPr>
        <w:t>Valuation only covers the valuation of the particular securities of the issuer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D69AEFF" w14:textId="018E3F3B" w:rsidR="006E5C75" w:rsidRDefault="006E5C75" w:rsidP="00F90CE2">
      <w:pPr>
        <w:pStyle w:val="ListParagraph"/>
        <w:numPr>
          <w:ilvl w:val="0"/>
          <w:numId w:val="15"/>
        </w:numPr>
        <w:spacing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w:t>
      </w:r>
      <w:r w:rsidRPr="00C5267F">
        <w:rPr>
          <w:rFonts w:ascii="Arial" w:hAnsi="Arial" w:cs="Arial"/>
          <w:i/>
          <w:color w:val="000000"/>
          <w:sz w:val="22"/>
          <w:szCs w:val="22"/>
        </w:rPr>
        <w:t xml:space="preserve">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6A6B42BA" w14:textId="77777777" w:rsidR="006E5C75" w:rsidRDefault="006E5C75" w:rsidP="00F90CE2">
      <w:pPr>
        <w:pStyle w:val="ListParagraph"/>
        <w:numPr>
          <w:ilvl w:val="0"/>
          <w:numId w:val="15"/>
        </w:numPr>
        <w:spacing w:after="0" w:line="360" w:lineRule="auto"/>
        <w:ind w:left="851" w:right="-306" w:hanging="425"/>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48869549" w14:textId="2FEBCE76" w:rsidR="00F75A56" w:rsidRPr="00F75A56" w:rsidRDefault="006E5C75" w:rsidP="00052CCE">
      <w:pPr>
        <w:pStyle w:val="ListParagraph"/>
        <w:spacing w:before="240" w:line="360" w:lineRule="auto"/>
        <w:ind w:left="426" w:right="-306"/>
        <w:jc w:val="both"/>
        <w:rPr>
          <w:rFonts w:ascii="Arial" w:hAnsi="Arial" w:cs="Arial"/>
          <w:b/>
          <w:bCs/>
          <w:iCs/>
          <w:color w:val="000000"/>
          <w:sz w:val="22"/>
          <w:szCs w:val="22"/>
        </w:rPr>
      </w:pPr>
      <w:r w:rsidRPr="00F75A56">
        <w:rPr>
          <w:rFonts w:ascii="Arial" w:hAnsi="Arial" w:cs="Arial"/>
          <w:b/>
          <w:bCs/>
          <w:iCs/>
          <w:color w:val="000000"/>
          <w:sz w:val="22"/>
          <w:szCs w:val="22"/>
        </w:rPr>
        <w:t>NOTES:</w:t>
      </w:r>
    </w:p>
    <w:p w14:paraId="4FF9F8D0" w14:textId="77777777" w:rsidR="00F75A56" w:rsidRPr="006E5C75" w:rsidRDefault="00F75A56" w:rsidP="00F90CE2">
      <w:pPr>
        <w:pStyle w:val="ListParagraph"/>
        <w:numPr>
          <w:ilvl w:val="0"/>
          <w:numId w:val="15"/>
        </w:numPr>
        <w:spacing w:before="24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Securities Valuation report doesn’t cover vetting of the documents/ financial data/ projections or any other information provided to us by the client/company.</w:t>
      </w:r>
    </w:p>
    <w:p w14:paraId="61B54FC7" w14:textId="77777777" w:rsidR="00F75A56" w:rsidRPr="006E5C75" w:rsidRDefault="00F75A56" w:rsidP="00F90CE2">
      <w:pPr>
        <w:pStyle w:val="ListParagraph"/>
        <w:numPr>
          <w:ilvl w:val="0"/>
          <w:numId w:val="15"/>
        </w:numPr>
        <w:spacing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exercise is neither an audit activity nor investigative in nature.</w:t>
      </w:r>
    </w:p>
    <w:p w14:paraId="47224747" w14:textId="375A72FB" w:rsidR="00F75A56" w:rsidRPr="006E5C75" w:rsidRDefault="00F75A56" w:rsidP="00F90CE2">
      <w:pPr>
        <w:pStyle w:val="ListParagraph"/>
        <w:numPr>
          <w:ilvl w:val="0"/>
          <w:numId w:val="15"/>
        </w:numPr>
        <w:spacing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It is important to point out that we have carried out these valuations based on the limited information which was available with us at the time of valuation. As and when any new or updated information comes forward, it is likely that the suggested valuation will no longer represent a true and fair representation of the situation.</w:t>
      </w:r>
    </w:p>
    <w:p w14:paraId="35A0FBD2" w14:textId="77777777" w:rsidR="00BB139C" w:rsidRPr="00BB139C" w:rsidRDefault="00BB139C" w:rsidP="00052CCE">
      <w:pPr>
        <w:pStyle w:val="ListParagraph"/>
        <w:spacing w:after="0" w:line="360" w:lineRule="auto"/>
        <w:ind w:left="1276" w:right="-306"/>
        <w:jc w:val="both"/>
        <w:rPr>
          <w:rFonts w:ascii="Arial" w:hAnsi="Arial" w:cs="Arial"/>
          <w:iCs/>
          <w:color w:val="000000"/>
          <w:sz w:val="22"/>
          <w:szCs w:val="22"/>
        </w:rPr>
      </w:pPr>
    </w:p>
    <w:p w14:paraId="3F704591" w14:textId="77777777" w:rsidR="00F90CE2" w:rsidRDefault="00001CE0" w:rsidP="00DE2E0C">
      <w:pPr>
        <w:pStyle w:val="ListParagraph"/>
        <w:numPr>
          <w:ilvl w:val="0"/>
          <w:numId w:val="1"/>
        </w:numPr>
        <w:spacing w:after="0" w:line="360" w:lineRule="auto"/>
        <w:ind w:left="426" w:right="-306" w:hanging="426"/>
        <w:jc w:val="both"/>
        <w:rPr>
          <w:rFonts w:ascii="Arial" w:hAnsi="Arial" w:cs="Arial"/>
          <w:b/>
          <w:sz w:val="22"/>
          <w:szCs w:val="22"/>
        </w:rPr>
      </w:pPr>
      <w:r w:rsidRPr="007B5756">
        <w:rPr>
          <w:rFonts w:ascii="Arial" w:hAnsi="Arial" w:cs="Arial"/>
          <w:b/>
          <w:sz w:val="22"/>
          <w:szCs w:val="22"/>
          <w:lang w:val="en-IN"/>
        </w:rPr>
        <w:t>METHODOLOGY</w:t>
      </w:r>
      <w:r w:rsidRPr="00962531">
        <w:rPr>
          <w:rFonts w:ascii="Arial" w:hAnsi="Arial" w:cs="Arial"/>
          <w:b/>
          <w:sz w:val="22"/>
          <w:szCs w:val="22"/>
        </w:rPr>
        <w:t xml:space="preserve">/ MODEL ADOPTED: </w:t>
      </w:r>
    </w:p>
    <w:p w14:paraId="74B05576" w14:textId="02FD0332" w:rsidR="005C15C9" w:rsidRPr="00C2202B" w:rsidRDefault="005C15C9" w:rsidP="00F90CE2">
      <w:pPr>
        <w:pStyle w:val="ListParagraph"/>
        <w:spacing w:before="240" w:after="0" w:line="360" w:lineRule="auto"/>
        <w:ind w:left="426" w:right="-306"/>
        <w:jc w:val="both"/>
        <w:rPr>
          <w:rFonts w:ascii="Arial" w:hAnsi="Arial" w:cs="Arial"/>
          <w:b/>
          <w:sz w:val="22"/>
          <w:szCs w:val="22"/>
        </w:rPr>
      </w:pPr>
      <w:r w:rsidRPr="00962531">
        <w:rPr>
          <w:rFonts w:ascii="Arial" w:hAnsi="Arial" w:cs="Arial"/>
          <w:b/>
          <w:sz w:val="22"/>
          <w:szCs w:val="22"/>
        </w:rPr>
        <w:t xml:space="preserve">Net assets Value (NAV) </w:t>
      </w:r>
      <w:r w:rsidRPr="00962531">
        <w:rPr>
          <w:rFonts w:ascii="Arial" w:hAnsi="Arial" w:cs="Arial"/>
          <w:sz w:val="22"/>
          <w:szCs w:val="22"/>
        </w:rPr>
        <w:t xml:space="preserve">method </w:t>
      </w:r>
      <w:r w:rsidR="009779C7">
        <w:rPr>
          <w:rFonts w:ascii="Arial" w:hAnsi="Arial" w:cs="Arial"/>
          <w:sz w:val="22"/>
          <w:szCs w:val="22"/>
        </w:rPr>
        <w:t xml:space="preserve">is adopted </w:t>
      </w:r>
      <w:r w:rsidRPr="00962531">
        <w:rPr>
          <w:rFonts w:ascii="Arial" w:hAnsi="Arial" w:cs="Arial"/>
          <w:sz w:val="22"/>
          <w:szCs w:val="22"/>
        </w:rPr>
        <w:t xml:space="preserve">for the calculation of </w:t>
      </w:r>
      <w:r w:rsidR="006E5C75">
        <w:rPr>
          <w:rFonts w:ascii="Arial" w:hAnsi="Arial" w:cs="Arial"/>
          <w:sz w:val="22"/>
          <w:szCs w:val="22"/>
        </w:rPr>
        <w:t>Equity Shares</w:t>
      </w:r>
      <w:r w:rsidRPr="00962531">
        <w:rPr>
          <w:rFonts w:ascii="Arial" w:hAnsi="Arial" w:cs="Arial"/>
          <w:sz w:val="22"/>
          <w:szCs w:val="22"/>
        </w:rPr>
        <w:t xml:space="preserve"> of the Company.</w:t>
      </w:r>
    </w:p>
    <w:p w14:paraId="082BAB22" w14:textId="77777777" w:rsidR="00C2202B" w:rsidRPr="007B5756" w:rsidRDefault="00C2202B" w:rsidP="00C2202B">
      <w:pPr>
        <w:pStyle w:val="ListParagraph"/>
        <w:spacing w:after="0" w:line="360" w:lineRule="auto"/>
        <w:ind w:left="426" w:right="-306"/>
        <w:jc w:val="both"/>
        <w:rPr>
          <w:rFonts w:ascii="Arial" w:hAnsi="Arial" w:cs="Arial"/>
          <w:b/>
          <w:sz w:val="22"/>
          <w:szCs w:val="22"/>
        </w:rPr>
      </w:pPr>
    </w:p>
    <w:p w14:paraId="6111AD4C" w14:textId="6956E390" w:rsidR="00291609" w:rsidRPr="00E2718C" w:rsidRDefault="00291609" w:rsidP="00DE2E0C">
      <w:pPr>
        <w:pStyle w:val="ListParagraph"/>
        <w:numPr>
          <w:ilvl w:val="0"/>
          <w:numId w:val="1"/>
        </w:numPr>
        <w:spacing w:line="360" w:lineRule="auto"/>
        <w:ind w:left="426" w:right="-306" w:hanging="426"/>
        <w:jc w:val="both"/>
        <w:rPr>
          <w:rFonts w:ascii="Arial" w:hAnsi="Arial" w:cs="Arial"/>
          <w:b/>
          <w:sz w:val="22"/>
          <w:szCs w:val="22"/>
        </w:rPr>
      </w:pPr>
      <w:r w:rsidRPr="008933F4">
        <w:rPr>
          <w:rFonts w:ascii="Arial" w:hAnsi="Arial" w:cs="Arial"/>
          <w:b/>
          <w:sz w:val="22"/>
          <w:szCs w:val="22"/>
        </w:rPr>
        <w:lastRenderedPageBreak/>
        <w:t>DOCUMENTS / DATA REFFERED:</w:t>
      </w:r>
      <w:r w:rsidRPr="00E2718C">
        <w:rPr>
          <w:rFonts w:ascii="Arial" w:hAnsi="Arial" w:cs="Arial"/>
          <w:b/>
          <w:sz w:val="22"/>
          <w:szCs w:val="22"/>
        </w:rPr>
        <w:t xml:space="preserve"> </w:t>
      </w:r>
    </w:p>
    <w:p w14:paraId="7E323085" w14:textId="70147D0E" w:rsidR="00291609" w:rsidRDefault="00291609" w:rsidP="00F90CE2">
      <w:pPr>
        <w:pStyle w:val="DefaultText11"/>
        <w:numPr>
          <w:ilvl w:val="0"/>
          <w:numId w:val="3"/>
        </w:numPr>
        <w:spacing w:before="240" w:line="360" w:lineRule="auto"/>
        <w:ind w:left="851" w:right="-306" w:hanging="425"/>
        <w:jc w:val="both"/>
        <w:rPr>
          <w:rFonts w:ascii="Arial" w:hAnsi="Arial" w:cs="Arial"/>
          <w:sz w:val="22"/>
          <w:szCs w:val="22"/>
        </w:rPr>
      </w:pPr>
      <w:r>
        <w:rPr>
          <w:rFonts w:ascii="Arial" w:hAnsi="Arial" w:cs="Arial"/>
          <w:sz w:val="22"/>
          <w:szCs w:val="22"/>
        </w:rPr>
        <w:t xml:space="preserve">Last </w:t>
      </w:r>
      <w:r w:rsidR="006E5C75">
        <w:rPr>
          <w:rFonts w:ascii="Arial" w:hAnsi="Arial" w:cs="Arial"/>
          <w:sz w:val="22"/>
          <w:szCs w:val="22"/>
        </w:rPr>
        <w:t xml:space="preserve">3 </w:t>
      </w:r>
      <w:r w:rsidR="00F20DA3">
        <w:rPr>
          <w:rFonts w:ascii="Arial" w:hAnsi="Arial" w:cs="Arial"/>
          <w:sz w:val="22"/>
          <w:szCs w:val="22"/>
        </w:rPr>
        <w:t>year</w:t>
      </w:r>
      <w:r w:rsidR="006E5C75">
        <w:rPr>
          <w:rFonts w:ascii="Arial" w:hAnsi="Arial" w:cs="Arial"/>
          <w:sz w:val="22"/>
          <w:szCs w:val="22"/>
        </w:rPr>
        <w:t>s Audited</w:t>
      </w:r>
      <w:r>
        <w:rPr>
          <w:rFonts w:ascii="Arial" w:hAnsi="Arial" w:cs="Arial"/>
          <w:sz w:val="22"/>
          <w:szCs w:val="22"/>
        </w:rPr>
        <w:t xml:space="preserve"> Financial Statements of </w:t>
      </w:r>
      <w:r w:rsidR="00632E53">
        <w:rPr>
          <w:rFonts w:ascii="Arial" w:hAnsi="Arial" w:cs="Arial"/>
          <w:sz w:val="22"/>
          <w:szCs w:val="22"/>
        </w:rPr>
        <w:t>G. D. Contractors Private Limited</w:t>
      </w:r>
      <w:r w:rsidR="0020588A">
        <w:rPr>
          <w:rFonts w:ascii="Arial" w:hAnsi="Arial" w:cs="Arial"/>
          <w:sz w:val="22"/>
          <w:szCs w:val="22"/>
        </w:rPr>
        <w:t>.</w:t>
      </w:r>
    </w:p>
    <w:p w14:paraId="60FCC551" w14:textId="4746339D" w:rsidR="00001CE0" w:rsidRDefault="006E5C75" w:rsidP="00F90CE2">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Latest</w:t>
      </w:r>
      <w:r w:rsidR="00291609">
        <w:rPr>
          <w:rFonts w:ascii="Arial" w:hAnsi="Arial" w:cs="Arial"/>
          <w:sz w:val="22"/>
          <w:szCs w:val="22"/>
        </w:rPr>
        <w:t xml:space="preserve"> </w:t>
      </w:r>
      <w:r>
        <w:rPr>
          <w:rFonts w:ascii="Arial" w:hAnsi="Arial" w:cs="Arial"/>
          <w:sz w:val="22"/>
          <w:szCs w:val="22"/>
        </w:rPr>
        <w:t>Audited</w:t>
      </w:r>
      <w:r w:rsidR="00291609">
        <w:rPr>
          <w:rFonts w:ascii="Arial" w:hAnsi="Arial" w:cs="Arial"/>
          <w:sz w:val="22"/>
          <w:szCs w:val="22"/>
        </w:rPr>
        <w:t xml:space="preserve"> Financia</w:t>
      </w:r>
      <w:r w:rsidR="00DF0B40">
        <w:rPr>
          <w:rFonts w:ascii="Arial" w:hAnsi="Arial" w:cs="Arial"/>
          <w:sz w:val="22"/>
          <w:szCs w:val="22"/>
        </w:rPr>
        <w:t>l Statements of the</w:t>
      </w:r>
      <w:r>
        <w:rPr>
          <w:rFonts w:ascii="Arial" w:hAnsi="Arial" w:cs="Arial"/>
          <w:sz w:val="22"/>
          <w:szCs w:val="22"/>
        </w:rPr>
        <w:t xml:space="preserve"> Investee Companies namely ITL Infotech LLP</w:t>
      </w:r>
      <w:r w:rsidR="0020588A">
        <w:rPr>
          <w:rFonts w:ascii="Arial" w:hAnsi="Arial" w:cs="Arial"/>
          <w:sz w:val="22"/>
          <w:szCs w:val="22"/>
        </w:rPr>
        <w:t>.</w:t>
      </w:r>
    </w:p>
    <w:p w14:paraId="39F9E034" w14:textId="5D0E8403" w:rsidR="001A412A" w:rsidRDefault="001A412A" w:rsidP="00F90CE2">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MOA and AOA of </w:t>
      </w:r>
      <w:r w:rsidR="00632E53">
        <w:rPr>
          <w:rFonts w:ascii="Arial" w:hAnsi="Arial" w:cs="Arial"/>
          <w:sz w:val="22"/>
          <w:szCs w:val="22"/>
        </w:rPr>
        <w:t xml:space="preserve">G. D. Contractors Private Limited </w:t>
      </w:r>
      <w:r>
        <w:rPr>
          <w:rFonts w:ascii="Arial" w:hAnsi="Arial" w:cs="Arial"/>
          <w:sz w:val="22"/>
          <w:szCs w:val="22"/>
        </w:rPr>
        <w:t>alongwith the brief company profile.</w:t>
      </w:r>
    </w:p>
    <w:p w14:paraId="488E18F7" w14:textId="55D588EE" w:rsidR="00003949" w:rsidRDefault="008933F4" w:rsidP="00F90CE2">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Conveyance </w:t>
      </w:r>
      <w:r w:rsidR="00003949">
        <w:rPr>
          <w:rFonts w:ascii="Arial" w:hAnsi="Arial" w:cs="Arial"/>
          <w:sz w:val="22"/>
          <w:szCs w:val="22"/>
        </w:rPr>
        <w:t xml:space="preserve">Deed and </w:t>
      </w:r>
      <w:r>
        <w:rPr>
          <w:rFonts w:ascii="Arial" w:hAnsi="Arial" w:cs="Arial"/>
          <w:sz w:val="22"/>
          <w:szCs w:val="22"/>
        </w:rPr>
        <w:t xml:space="preserve">Previous </w:t>
      </w:r>
      <w:r w:rsidR="00003949">
        <w:rPr>
          <w:rFonts w:ascii="Arial" w:hAnsi="Arial" w:cs="Arial"/>
          <w:sz w:val="22"/>
          <w:szCs w:val="22"/>
        </w:rPr>
        <w:t>Valuation Report of Investment Property.</w:t>
      </w:r>
    </w:p>
    <w:p w14:paraId="15139DB9" w14:textId="652D4B74" w:rsidR="00917BBD" w:rsidRPr="00003949" w:rsidRDefault="00917BBD" w:rsidP="00DE2E0C">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List of </w:t>
      </w:r>
      <w:r w:rsidR="006E5C75">
        <w:rPr>
          <w:rFonts w:ascii="Arial" w:hAnsi="Arial" w:cs="Arial"/>
          <w:sz w:val="22"/>
          <w:szCs w:val="22"/>
        </w:rPr>
        <w:t xml:space="preserve">Directors and Shareholders </w:t>
      </w:r>
      <w:r>
        <w:rPr>
          <w:rFonts w:ascii="Arial" w:hAnsi="Arial" w:cs="Arial"/>
          <w:sz w:val="22"/>
          <w:szCs w:val="22"/>
        </w:rPr>
        <w:t xml:space="preserve">as on </w:t>
      </w:r>
      <w:r w:rsidR="006E5C75">
        <w:rPr>
          <w:rFonts w:ascii="Arial" w:hAnsi="Arial" w:cs="Arial"/>
          <w:sz w:val="22"/>
          <w:szCs w:val="22"/>
        </w:rPr>
        <w:t>31</w:t>
      </w:r>
      <w:r w:rsidR="006E5C75" w:rsidRPr="006E5C75">
        <w:rPr>
          <w:rFonts w:ascii="Arial" w:hAnsi="Arial" w:cs="Arial"/>
          <w:sz w:val="22"/>
          <w:szCs w:val="22"/>
          <w:vertAlign w:val="superscript"/>
        </w:rPr>
        <w:t>st</w:t>
      </w:r>
      <w:r w:rsidR="006E5C75">
        <w:rPr>
          <w:rFonts w:ascii="Arial" w:hAnsi="Arial" w:cs="Arial"/>
          <w:sz w:val="22"/>
          <w:szCs w:val="22"/>
        </w:rPr>
        <w:t xml:space="preserve"> March</w:t>
      </w:r>
      <w:r w:rsidR="0020588A">
        <w:rPr>
          <w:rFonts w:ascii="Arial" w:hAnsi="Arial" w:cs="Arial"/>
          <w:sz w:val="22"/>
          <w:szCs w:val="22"/>
        </w:rPr>
        <w:t xml:space="preserve"> 202</w:t>
      </w:r>
      <w:r w:rsidR="006E5C75">
        <w:rPr>
          <w:rFonts w:ascii="Arial" w:hAnsi="Arial" w:cs="Arial"/>
          <w:sz w:val="22"/>
          <w:szCs w:val="22"/>
        </w:rPr>
        <w:t>4</w:t>
      </w:r>
      <w:r w:rsidR="0020588A">
        <w:rPr>
          <w:rFonts w:ascii="Arial" w:hAnsi="Arial" w:cs="Arial"/>
          <w:sz w:val="22"/>
          <w:szCs w:val="22"/>
        </w:rPr>
        <w:t>.</w:t>
      </w:r>
      <w:r w:rsidRPr="00003949">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82F20" w:rsidRPr="005C6FC8" w14:paraId="7BCA8265" w14:textId="77777777" w:rsidTr="00957833">
        <w:trPr>
          <w:trHeight w:val="548"/>
        </w:trPr>
        <w:tc>
          <w:tcPr>
            <w:tcW w:w="782" w:type="pct"/>
            <w:shd w:val="clear" w:color="auto" w:fill="002060"/>
            <w:vAlign w:val="center"/>
          </w:tcPr>
          <w:p w14:paraId="38B3E941" w14:textId="77777777" w:rsidR="00382F20" w:rsidRPr="005C6FC8" w:rsidRDefault="00382F20" w:rsidP="00957833">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18" w:type="pct"/>
            <w:shd w:val="clear" w:color="auto" w:fill="DEEAF6" w:themeFill="accent1" w:themeFillTint="33"/>
            <w:vAlign w:val="center"/>
          </w:tcPr>
          <w:p w14:paraId="69083AF4" w14:textId="77777777" w:rsidR="00382F20" w:rsidRPr="005C6FC8" w:rsidRDefault="00382F20" w:rsidP="00957833">
            <w:pPr>
              <w:spacing w:after="0" w:line="276" w:lineRule="auto"/>
              <w:jc w:val="center"/>
              <w:rPr>
                <w:rFonts w:ascii="Arial" w:hAnsi="Arial" w:cs="Arial"/>
                <w:b/>
                <w:i/>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r>
    </w:tbl>
    <w:p w14:paraId="1C93A28A" w14:textId="77777777" w:rsidR="00382F20" w:rsidRPr="00EF4B8E"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color w:val="000000" w:themeColor="text1"/>
          <w:sz w:val="22"/>
          <w:szCs w:val="22"/>
        </w:rPr>
      </w:pPr>
      <w:r>
        <w:rPr>
          <w:rFonts w:ascii="Arial" w:hAnsi="Arial" w:cs="Arial"/>
          <w:color w:val="000000" w:themeColor="text1"/>
          <w:sz w:val="22"/>
          <w:szCs w:val="22"/>
        </w:rPr>
        <w:t>As per information available on MCA website, t</w:t>
      </w:r>
      <w:r w:rsidRPr="008D4BAE">
        <w:rPr>
          <w:rFonts w:ascii="Arial" w:hAnsi="Arial" w:cs="Arial"/>
          <w:color w:val="000000" w:themeColor="text1"/>
          <w:sz w:val="22"/>
          <w:szCs w:val="22"/>
        </w:rPr>
        <w:t>he incorporation details of the Project Company ar</w:t>
      </w:r>
      <w:r>
        <w:rPr>
          <w:rFonts w:ascii="Arial" w:hAnsi="Arial" w:cs="Arial"/>
          <w:color w:val="000000" w:themeColor="text1"/>
          <w:sz w:val="22"/>
          <w:szCs w:val="22"/>
        </w:rPr>
        <w:t xml:space="preserve">e provided in the table below: </w:t>
      </w:r>
    </w:p>
    <w:tbl>
      <w:tblPr>
        <w:tblStyle w:val="TableGrid1"/>
        <w:tblW w:w="5175" w:type="pct"/>
        <w:tblInd w:w="-5" w:type="dxa"/>
        <w:tblLook w:val="0000" w:firstRow="0" w:lastRow="0" w:firstColumn="0" w:lastColumn="0" w:noHBand="0" w:noVBand="0"/>
      </w:tblPr>
      <w:tblGrid>
        <w:gridCol w:w="3059"/>
        <w:gridCol w:w="6297"/>
      </w:tblGrid>
      <w:tr w:rsidR="00382F20" w:rsidRPr="005C6FC8" w14:paraId="38B58FC2" w14:textId="77777777" w:rsidTr="00382F20">
        <w:trPr>
          <w:trHeight w:val="105"/>
        </w:trPr>
        <w:tc>
          <w:tcPr>
            <w:tcW w:w="5000" w:type="pct"/>
            <w:gridSpan w:val="2"/>
            <w:shd w:val="clear" w:color="auto" w:fill="002060"/>
            <w:vAlign w:val="center"/>
          </w:tcPr>
          <w:p w14:paraId="66CF45CC" w14:textId="77777777" w:rsidR="00382F20" w:rsidRPr="00C01760" w:rsidRDefault="00382F20" w:rsidP="00957833">
            <w:pPr>
              <w:autoSpaceDE w:val="0"/>
              <w:autoSpaceDN w:val="0"/>
              <w:adjustRightInd w:val="0"/>
              <w:spacing w:line="360" w:lineRule="auto"/>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382F20" w:rsidRPr="005C6FC8" w14:paraId="5772273D" w14:textId="77777777" w:rsidTr="00382F20">
        <w:trPr>
          <w:trHeight w:val="105"/>
        </w:trPr>
        <w:tc>
          <w:tcPr>
            <w:tcW w:w="1635" w:type="pct"/>
            <w:shd w:val="clear" w:color="auto" w:fill="DEEAF6" w:themeFill="accent1" w:themeFillTint="33"/>
            <w:vAlign w:val="center"/>
          </w:tcPr>
          <w:p w14:paraId="2858C77D" w14:textId="77777777" w:rsidR="00382F20" w:rsidRPr="00EF4B8E" w:rsidRDefault="00382F20" w:rsidP="00957833">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3365" w:type="pct"/>
          </w:tcPr>
          <w:p w14:paraId="70E9E138" w14:textId="77777777" w:rsidR="00382F20" w:rsidRPr="00EF4B8E" w:rsidRDefault="00382F20" w:rsidP="00957833">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G.D. Contractors Private Limited</w:t>
            </w:r>
          </w:p>
        </w:tc>
      </w:tr>
      <w:tr w:rsidR="00382F20" w:rsidRPr="005C6FC8" w14:paraId="54EF7CA2" w14:textId="77777777" w:rsidTr="00382F20">
        <w:trPr>
          <w:trHeight w:val="109"/>
        </w:trPr>
        <w:tc>
          <w:tcPr>
            <w:tcW w:w="1635" w:type="pct"/>
            <w:shd w:val="clear" w:color="auto" w:fill="DEEAF6" w:themeFill="accent1" w:themeFillTint="33"/>
            <w:vAlign w:val="center"/>
          </w:tcPr>
          <w:p w14:paraId="51583FC7" w14:textId="77777777" w:rsidR="00382F20" w:rsidRPr="00EF4B8E" w:rsidRDefault="00382F20" w:rsidP="00957833">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3365" w:type="pct"/>
          </w:tcPr>
          <w:p w14:paraId="41938F5B" w14:textId="77777777" w:rsidR="00382F20" w:rsidRPr="00EF4B8E" w:rsidRDefault="00382F20" w:rsidP="00957833">
            <w:pPr>
              <w:autoSpaceDE w:val="0"/>
              <w:autoSpaceDN w:val="0"/>
              <w:adjustRightInd w:val="0"/>
              <w:spacing w:line="360" w:lineRule="auto"/>
              <w:rPr>
                <w:rFonts w:ascii="Arial" w:hAnsi="Arial" w:cs="Arial"/>
                <w:bCs/>
                <w:color w:val="000000"/>
                <w:sz w:val="22"/>
                <w:szCs w:val="22"/>
              </w:rPr>
            </w:pPr>
            <w:r w:rsidRPr="00F74544">
              <w:rPr>
                <w:rFonts w:ascii="Arial" w:hAnsi="Arial" w:cs="Arial"/>
                <w:bCs/>
                <w:color w:val="000000"/>
                <w:sz w:val="22"/>
                <w:szCs w:val="22"/>
              </w:rPr>
              <w:t>U74210DL1997PTC090614</w:t>
            </w:r>
          </w:p>
        </w:tc>
      </w:tr>
      <w:tr w:rsidR="00382F20" w:rsidRPr="005C6FC8" w14:paraId="41855D91" w14:textId="77777777" w:rsidTr="00382F20">
        <w:trPr>
          <w:trHeight w:val="109"/>
        </w:trPr>
        <w:tc>
          <w:tcPr>
            <w:tcW w:w="1635" w:type="pct"/>
            <w:shd w:val="clear" w:color="auto" w:fill="DEEAF6" w:themeFill="accent1" w:themeFillTint="33"/>
            <w:vAlign w:val="center"/>
          </w:tcPr>
          <w:p w14:paraId="028D463F" w14:textId="77777777" w:rsidR="00382F20" w:rsidRPr="00EF4B8E" w:rsidRDefault="00382F20" w:rsidP="00957833">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ROC Name</w:t>
            </w:r>
          </w:p>
        </w:tc>
        <w:tc>
          <w:tcPr>
            <w:tcW w:w="3365" w:type="pct"/>
          </w:tcPr>
          <w:p w14:paraId="00CC87E0" w14:textId="77777777" w:rsidR="00382F20" w:rsidRPr="00397458" w:rsidRDefault="00382F20" w:rsidP="00957833">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ROC Delhi</w:t>
            </w:r>
          </w:p>
        </w:tc>
      </w:tr>
      <w:tr w:rsidR="00382F20" w:rsidRPr="005C6FC8" w14:paraId="5E39AF97" w14:textId="77777777" w:rsidTr="00382F20">
        <w:trPr>
          <w:trHeight w:val="109"/>
        </w:trPr>
        <w:tc>
          <w:tcPr>
            <w:tcW w:w="1635" w:type="pct"/>
            <w:shd w:val="clear" w:color="auto" w:fill="DEEAF6" w:themeFill="accent1" w:themeFillTint="33"/>
            <w:vAlign w:val="center"/>
          </w:tcPr>
          <w:p w14:paraId="34634F33" w14:textId="77777777" w:rsidR="00382F20" w:rsidRDefault="00382F20" w:rsidP="00957833">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Registration Number</w:t>
            </w:r>
          </w:p>
        </w:tc>
        <w:tc>
          <w:tcPr>
            <w:tcW w:w="3365" w:type="pct"/>
          </w:tcPr>
          <w:p w14:paraId="60E221DB" w14:textId="77777777" w:rsidR="00382F20" w:rsidRDefault="00382F20" w:rsidP="00957833">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090614</w:t>
            </w:r>
          </w:p>
        </w:tc>
      </w:tr>
      <w:tr w:rsidR="00382F20" w:rsidRPr="005C6FC8" w14:paraId="098D4910" w14:textId="77777777" w:rsidTr="00382F20">
        <w:trPr>
          <w:trHeight w:val="917"/>
        </w:trPr>
        <w:tc>
          <w:tcPr>
            <w:tcW w:w="1635" w:type="pct"/>
            <w:shd w:val="clear" w:color="auto" w:fill="DEEAF6" w:themeFill="accent1" w:themeFillTint="33"/>
            <w:vAlign w:val="center"/>
          </w:tcPr>
          <w:p w14:paraId="6612164F" w14:textId="77777777" w:rsidR="00382F20" w:rsidRPr="00EF4B8E" w:rsidRDefault="00382F20" w:rsidP="00957833">
            <w:pPr>
              <w:spacing w:line="360" w:lineRule="auto"/>
              <w:jc w:val="both"/>
              <w:rPr>
                <w:rFonts w:ascii="Arial" w:hAnsi="Arial" w:cs="Arial"/>
                <w:color w:val="000000"/>
                <w:sz w:val="22"/>
                <w:szCs w:val="22"/>
                <w:lang w:val="en-IN"/>
              </w:rPr>
            </w:pPr>
            <w:r w:rsidRPr="00CD3E1C">
              <w:rPr>
                <w:rFonts w:ascii="Arial" w:hAnsi="Arial" w:cs="Arial"/>
                <w:b/>
                <w:bCs/>
                <w:color w:val="000000"/>
                <w:sz w:val="22"/>
                <w:szCs w:val="22"/>
                <w:lang w:val="en-IN"/>
              </w:rPr>
              <w:t>Registered Office</w:t>
            </w:r>
            <w:r>
              <w:rPr>
                <w:rFonts w:ascii="Arial" w:hAnsi="Arial" w:cs="Arial"/>
                <w:b/>
                <w:bCs/>
                <w:color w:val="000000"/>
                <w:sz w:val="22"/>
                <w:szCs w:val="22"/>
                <w:lang w:val="en-IN"/>
              </w:rPr>
              <w:t xml:space="preserve"> </w:t>
            </w:r>
            <w:r w:rsidRPr="00CD3E1C">
              <w:rPr>
                <w:rFonts w:ascii="Arial" w:hAnsi="Arial" w:cs="Arial"/>
                <w:b/>
                <w:bCs/>
                <w:color w:val="000000"/>
                <w:sz w:val="22"/>
                <w:szCs w:val="22"/>
                <w:lang w:val="en-IN"/>
              </w:rPr>
              <w:t>Address</w:t>
            </w:r>
            <w:r w:rsidRPr="00EF4B8E">
              <w:rPr>
                <w:rFonts w:ascii="Arial" w:hAnsi="Arial" w:cs="Arial"/>
                <w:b/>
                <w:bCs/>
                <w:color w:val="000000"/>
                <w:sz w:val="22"/>
                <w:szCs w:val="22"/>
                <w:lang w:val="en-IN"/>
              </w:rPr>
              <w:t xml:space="preserve"> </w:t>
            </w:r>
          </w:p>
        </w:tc>
        <w:tc>
          <w:tcPr>
            <w:tcW w:w="3365" w:type="pct"/>
          </w:tcPr>
          <w:p w14:paraId="5EEEC876" w14:textId="77777777" w:rsidR="00382F20" w:rsidRPr="00EF4B8E" w:rsidRDefault="00382F20" w:rsidP="00957833">
            <w:pPr>
              <w:spacing w:line="360" w:lineRule="auto"/>
              <w:jc w:val="both"/>
              <w:rPr>
                <w:rFonts w:ascii="Arial" w:hAnsi="Arial" w:cs="Arial"/>
                <w:sz w:val="22"/>
                <w:szCs w:val="20"/>
              </w:rPr>
            </w:pPr>
            <w:bookmarkStart w:id="1" w:name="_Hlk176266249"/>
            <w:r w:rsidRPr="00397458">
              <w:rPr>
                <w:rFonts w:ascii="Arial" w:hAnsi="Arial" w:cs="Arial"/>
                <w:sz w:val="22"/>
                <w:szCs w:val="20"/>
              </w:rPr>
              <w:t>A - 09, GD-ITL Tower Northex Tower, Netaji Subhash Place, Pitampura, North West Delhi, Delhi, India</w:t>
            </w:r>
            <w:r>
              <w:rPr>
                <w:rFonts w:ascii="Arial" w:hAnsi="Arial" w:cs="Arial"/>
                <w:sz w:val="22"/>
                <w:szCs w:val="20"/>
              </w:rPr>
              <w:t>-</w:t>
            </w:r>
            <w:r w:rsidRPr="00397458">
              <w:rPr>
                <w:rFonts w:ascii="Arial" w:hAnsi="Arial" w:cs="Arial"/>
                <w:sz w:val="22"/>
                <w:szCs w:val="20"/>
              </w:rPr>
              <w:t>110034</w:t>
            </w:r>
            <w:bookmarkEnd w:id="1"/>
          </w:p>
        </w:tc>
      </w:tr>
      <w:tr w:rsidR="00382F20" w:rsidRPr="005C6FC8" w14:paraId="250D6909" w14:textId="77777777" w:rsidTr="00382F20">
        <w:trPr>
          <w:trHeight w:val="109"/>
        </w:trPr>
        <w:tc>
          <w:tcPr>
            <w:tcW w:w="1635" w:type="pct"/>
            <w:shd w:val="clear" w:color="auto" w:fill="DEEAF6" w:themeFill="accent1" w:themeFillTint="33"/>
            <w:vAlign w:val="center"/>
          </w:tcPr>
          <w:p w14:paraId="0C389766" w14:textId="77777777" w:rsidR="00382F20" w:rsidRPr="00EF4B8E" w:rsidRDefault="00382F20" w:rsidP="00957833">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3365" w:type="pct"/>
          </w:tcPr>
          <w:p w14:paraId="7214DA73" w14:textId="77777777" w:rsidR="00382F20" w:rsidRPr="00EF4B8E"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Private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382F20" w:rsidRPr="005C6FC8" w14:paraId="0BD73604" w14:textId="77777777" w:rsidTr="00382F20">
        <w:trPr>
          <w:trHeight w:val="109"/>
        </w:trPr>
        <w:tc>
          <w:tcPr>
            <w:tcW w:w="1635" w:type="pct"/>
            <w:shd w:val="clear" w:color="auto" w:fill="DEEAF6" w:themeFill="accent1" w:themeFillTint="33"/>
            <w:vAlign w:val="center"/>
          </w:tcPr>
          <w:p w14:paraId="0E835078" w14:textId="77777777" w:rsidR="00382F20" w:rsidRPr="00EF4B8E" w:rsidRDefault="00382F20" w:rsidP="00957833">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3365" w:type="pct"/>
          </w:tcPr>
          <w:p w14:paraId="5EB2C909" w14:textId="77777777" w:rsidR="00382F20" w:rsidRPr="00F67422"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13 December 1995</w:t>
            </w:r>
          </w:p>
        </w:tc>
      </w:tr>
      <w:tr w:rsidR="00382F20" w:rsidRPr="005C6FC8" w14:paraId="67F26E78" w14:textId="77777777" w:rsidTr="00382F20">
        <w:trPr>
          <w:trHeight w:val="109"/>
        </w:trPr>
        <w:tc>
          <w:tcPr>
            <w:tcW w:w="1635" w:type="pct"/>
            <w:shd w:val="clear" w:color="auto" w:fill="DEEAF6" w:themeFill="accent1" w:themeFillTint="33"/>
            <w:vAlign w:val="center"/>
          </w:tcPr>
          <w:p w14:paraId="5A3FDF77"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3365" w:type="pct"/>
            <w:shd w:val="clear" w:color="auto" w:fill="auto"/>
          </w:tcPr>
          <w:p w14:paraId="5F6CB1EB" w14:textId="77777777" w:rsidR="00382F20" w:rsidRPr="00EF4B8E"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50,00,000</w:t>
            </w:r>
          </w:p>
        </w:tc>
      </w:tr>
      <w:tr w:rsidR="00382F20" w:rsidRPr="005C6FC8" w14:paraId="31B53EA8" w14:textId="77777777" w:rsidTr="00382F20">
        <w:trPr>
          <w:trHeight w:val="109"/>
        </w:trPr>
        <w:tc>
          <w:tcPr>
            <w:tcW w:w="1635" w:type="pct"/>
            <w:shd w:val="clear" w:color="auto" w:fill="DEEAF6" w:themeFill="accent1" w:themeFillTint="33"/>
            <w:vAlign w:val="center"/>
          </w:tcPr>
          <w:p w14:paraId="5A84D339"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3365" w:type="pct"/>
            <w:shd w:val="clear" w:color="auto" w:fill="auto"/>
          </w:tcPr>
          <w:p w14:paraId="34A8258C" w14:textId="77777777" w:rsidR="00382F20" w:rsidRPr="00EF4B8E"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28,52,</w:t>
            </w:r>
            <w:r w:rsidRPr="004740C3">
              <w:rPr>
                <w:rFonts w:ascii="Arial" w:eastAsiaTheme="minorHAnsi" w:hAnsi="Arial" w:cs="Arial"/>
                <w:sz w:val="22"/>
                <w:szCs w:val="22"/>
                <w:lang w:val="en-IN"/>
              </w:rPr>
              <w:t>000</w:t>
            </w:r>
          </w:p>
        </w:tc>
      </w:tr>
      <w:tr w:rsidR="00382F20" w:rsidRPr="005C6FC8" w14:paraId="0DAEFD0A" w14:textId="77777777" w:rsidTr="00382F20">
        <w:trPr>
          <w:trHeight w:val="109"/>
        </w:trPr>
        <w:tc>
          <w:tcPr>
            <w:tcW w:w="1635" w:type="pct"/>
            <w:shd w:val="clear" w:color="auto" w:fill="DEEAF6" w:themeFill="accent1" w:themeFillTint="33"/>
            <w:vAlign w:val="center"/>
          </w:tcPr>
          <w:p w14:paraId="113181DC"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AGM</w:t>
            </w:r>
          </w:p>
        </w:tc>
        <w:tc>
          <w:tcPr>
            <w:tcW w:w="3365" w:type="pct"/>
            <w:shd w:val="clear" w:color="auto" w:fill="auto"/>
          </w:tcPr>
          <w:p w14:paraId="334F8BB2" w14:textId="77777777" w:rsidR="00382F20"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11 September 2023</w:t>
            </w:r>
          </w:p>
        </w:tc>
      </w:tr>
      <w:tr w:rsidR="00382F20" w:rsidRPr="005C6FC8" w14:paraId="7788B834" w14:textId="77777777" w:rsidTr="00382F20">
        <w:trPr>
          <w:trHeight w:val="109"/>
        </w:trPr>
        <w:tc>
          <w:tcPr>
            <w:tcW w:w="1635" w:type="pct"/>
            <w:shd w:val="clear" w:color="auto" w:fill="DEEAF6" w:themeFill="accent1" w:themeFillTint="33"/>
            <w:vAlign w:val="center"/>
          </w:tcPr>
          <w:p w14:paraId="0D2E2627" w14:textId="77777777" w:rsidR="00382F20" w:rsidRPr="00EF4B8E" w:rsidRDefault="00382F20" w:rsidP="00957833">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Balance Sheet</w:t>
            </w:r>
          </w:p>
        </w:tc>
        <w:tc>
          <w:tcPr>
            <w:tcW w:w="3365" w:type="pct"/>
            <w:shd w:val="clear" w:color="auto" w:fill="auto"/>
          </w:tcPr>
          <w:p w14:paraId="3E7A5E84" w14:textId="77777777" w:rsidR="00382F20" w:rsidRDefault="00382F20" w:rsidP="0095783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31 March 2023</w:t>
            </w:r>
          </w:p>
        </w:tc>
      </w:tr>
    </w:tbl>
    <w:p w14:paraId="530FA351" w14:textId="77777777" w:rsidR="00382F20" w:rsidRDefault="00382F20" w:rsidP="00382F20">
      <w:pPr>
        <w:pStyle w:val="ListParagraph"/>
        <w:shd w:val="clear" w:color="auto" w:fill="FFFFFF"/>
        <w:spacing w:after="225" w:line="240" w:lineRule="auto"/>
        <w:ind w:left="426" w:right="-306"/>
        <w:jc w:val="right"/>
        <w:textAlignment w:val="baseline"/>
        <w:rPr>
          <w:rFonts w:ascii="Arial" w:hAnsi="Arial" w:cs="Arial"/>
          <w:bCs/>
          <w:sz w:val="22"/>
          <w:szCs w:val="22"/>
          <w:lang w:val="en-IN"/>
        </w:rPr>
      </w:pPr>
      <w:r>
        <w:rPr>
          <w:rFonts w:ascii="Arial" w:hAnsi="Arial" w:cs="Arial"/>
          <w:bCs/>
          <w:sz w:val="22"/>
          <w:szCs w:val="22"/>
          <w:lang w:val="en-IN"/>
        </w:rPr>
        <w:t>Source: As per data/information available on MCA website</w:t>
      </w:r>
    </w:p>
    <w:p w14:paraId="19F94128" w14:textId="77777777" w:rsidR="00382F20" w:rsidRPr="00AD27A1"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sz w:val="22"/>
          <w:szCs w:val="22"/>
        </w:rPr>
      </w:pPr>
      <w:r w:rsidRPr="00AD27A1">
        <w:rPr>
          <w:rFonts w:ascii="Arial" w:hAnsi="Arial" w:cs="Arial"/>
          <w:bCs/>
          <w:sz w:val="22"/>
          <w:szCs w:val="22"/>
        </w:rPr>
        <w:t xml:space="preserve">Below </w:t>
      </w:r>
      <w:r w:rsidRPr="00382F20">
        <w:rPr>
          <w:rFonts w:ascii="Arial" w:hAnsi="Arial" w:cs="Arial"/>
          <w:color w:val="000000" w:themeColor="text1"/>
          <w:sz w:val="22"/>
          <w:szCs w:val="22"/>
        </w:rPr>
        <w:t>table</w:t>
      </w:r>
      <w:r w:rsidRPr="00AD27A1">
        <w:rPr>
          <w:rFonts w:ascii="Arial" w:hAnsi="Arial" w:cs="Arial"/>
          <w:bCs/>
          <w:sz w:val="22"/>
          <w:szCs w:val="22"/>
        </w:rPr>
        <w:t xml:space="preserve"> shows the details of directors/Promoters of the company</w:t>
      </w:r>
      <w:r w:rsidRPr="00B92769">
        <w:rPr>
          <w:rFonts w:ascii="Arial" w:hAnsi="Arial" w:cs="Arial"/>
          <w:sz w:val="22"/>
          <w:szCs w:val="22"/>
        </w:rPr>
        <w:t xml:space="preserve"> along with their DIN details</w:t>
      </w:r>
      <w:r>
        <w:rPr>
          <w:rFonts w:ascii="Arial" w:hAnsi="Arial" w:cs="Arial"/>
          <w:sz w:val="22"/>
          <w:szCs w:val="22"/>
        </w:rPr>
        <w:t xml:space="preserve"> and date of appointment:</w:t>
      </w:r>
    </w:p>
    <w:p w14:paraId="0A455022" w14:textId="77777777" w:rsidR="00382F20" w:rsidRPr="00C2202B" w:rsidRDefault="00382F20" w:rsidP="00382F20">
      <w:pPr>
        <w:pStyle w:val="ListParagraph"/>
        <w:shd w:val="clear" w:color="auto" w:fill="FFFFFF"/>
        <w:spacing w:before="225" w:line="360" w:lineRule="auto"/>
        <w:ind w:left="426" w:right="-306"/>
        <w:jc w:val="center"/>
        <w:textAlignment w:val="baseline"/>
        <w:rPr>
          <w:rFonts w:ascii="Arial" w:hAnsi="Arial" w:cs="Arial"/>
          <w:b/>
          <w:sz w:val="22"/>
          <w:szCs w:val="22"/>
        </w:rPr>
      </w:pPr>
      <w:r w:rsidRPr="00C2202B">
        <w:rPr>
          <w:rFonts w:ascii="Arial" w:hAnsi="Arial" w:cs="Arial"/>
          <w:b/>
          <w:sz w:val="22"/>
          <w:szCs w:val="22"/>
          <w:u w:val="single"/>
          <w:lang w:val="en-IN"/>
        </w:rPr>
        <w:t xml:space="preserve">List of Directors of M/s G. D. Contractors Private Limited </w:t>
      </w:r>
    </w:p>
    <w:tbl>
      <w:tblPr>
        <w:tblStyle w:val="TableGrid1"/>
        <w:tblW w:w="4704" w:type="pct"/>
        <w:tblInd w:w="421" w:type="dxa"/>
        <w:tblLook w:val="04A0" w:firstRow="1" w:lastRow="0" w:firstColumn="1" w:lastColumn="0" w:noHBand="0" w:noVBand="1"/>
      </w:tblPr>
      <w:tblGrid>
        <w:gridCol w:w="1135"/>
        <w:gridCol w:w="2694"/>
        <w:gridCol w:w="2028"/>
        <w:gridCol w:w="2648"/>
      </w:tblGrid>
      <w:tr w:rsidR="00382F20" w:rsidRPr="00C2202B" w14:paraId="38E57D74" w14:textId="77777777" w:rsidTr="00382F20">
        <w:trPr>
          <w:tblHeader/>
        </w:trPr>
        <w:tc>
          <w:tcPr>
            <w:tcW w:w="667" w:type="pct"/>
            <w:shd w:val="clear" w:color="auto" w:fill="002060"/>
          </w:tcPr>
          <w:p w14:paraId="201FEF76" w14:textId="77777777" w:rsidR="00382F20" w:rsidRPr="00C2202B" w:rsidRDefault="00382F20" w:rsidP="00957833">
            <w:pPr>
              <w:spacing w:line="360" w:lineRule="auto"/>
              <w:jc w:val="center"/>
              <w:rPr>
                <w:rFonts w:ascii="Arial" w:hAnsi="Arial" w:cs="Arial"/>
                <w:b/>
                <w:color w:val="FFFFFF" w:themeColor="background1"/>
                <w:sz w:val="22"/>
                <w:szCs w:val="22"/>
                <w:lang w:val="en-IN" w:eastAsia="en-IN"/>
              </w:rPr>
            </w:pPr>
            <w:r w:rsidRPr="00C2202B">
              <w:rPr>
                <w:rFonts w:ascii="Arial" w:hAnsi="Arial" w:cs="Arial"/>
                <w:b/>
                <w:color w:val="FFFFFF" w:themeColor="background1"/>
                <w:sz w:val="22"/>
                <w:szCs w:val="22"/>
                <w:lang w:val="en-IN" w:eastAsia="en-IN"/>
              </w:rPr>
              <w:t>S. No.</w:t>
            </w:r>
          </w:p>
        </w:tc>
        <w:tc>
          <w:tcPr>
            <w:tcW w:w="1584" w:type="pct"/>
            <w:shd w:val="clear" w:color="auto" w:fill="002060"/>
            <w:vAlign w:val="bottom"/>
          </w:tcPr>
          <w:p w14:paraId="043243CF" w14:textId="77777777" w:rsidR="00382F20" w:rsidRPr="00C2202B" w:rsidRDefault="00382F20" w:rsidP="00957833">
            <w:pPr>
              <w:spacing w:line="360" w:lineRule="auto"/>
              <w:jc w:val="center"/>
              <w:rPr>
                <w:rFonts w:ascii="Arial" w:hAnsi="Arial" w:cs="Arial"/>
                <w:b/>
                <w:color w:val="FFFFFF" w:themeColor="background1"/>
                <w:sz w:val="22"/>
                <w:szCs w:val="22"/>
              </w:rPr>
            </w:pPr>
            <w:r w:rsidRPr="00C2202B">
              <w:rPr>
                <w:rFonts w:ascii="Arial" w:hAnsi="Arial" w:cs="Arial"/>
                <w:b/>
                <w:color w:val="FFFFFF" w:themeColor="background1"/>
                <w:sz w:val="22"/>
                <w:szCs w:val="22"/>
              </w:rPr>
              <w:t>Name</w:t>
            </w:r>
          </w:p>
        </w:tc>
        <w:tc>
          <w:tcPr>
            <w:tcW w:w="1192" w:type="pct"/>
            <w:shd w:val="clear" w:color="auto" w:fill="002060"/>
            <w:vAlign w:val="bottom"/>
          </w:tcPr>
          <w:p w14:paraId="176009AF" w14:textId="77777777" w:rsidR="00382F20" w:rsidRPr="00C2202B" w:rsidRDefault="00382F20" w:rsidP="00957833">
            <w:pPr>
              <w:spacing w:line="360" w:lineRule="auto"/>
              <w:jc w:val="center"/>
              <w:rPr>
                <w:rFonts w:ascii="Arial" w:hAnsi="Arial" w:cs="Arial"/>
                <w:b/>
                <w:color w:val="FFFFFF" w:themeColor="background1"/>
                <w:sz w:val="22"/>
                <w:szCs w:val="22"/>
              </w:rPr>
            </w:pPr>
            <w:r w:rsidRPr="00C2202B">
              <w:rPr>
                <w:rFonts w:ascii="Arial" w:hAnsi="Arial" w:cs="Arial"/>
                <w:b/>
                <w:color w:val="FFFFFF" w:themeColor="background1"/>
                <w:sz w:val="22"/>
                <w:szCs w:val="22"/>
              </w:rPr>
              <w:t>DIN/PAN</w:t>
            </w:r>
          </w:p>
        </w:tc>
        <w:tc>
          <w:tcPr>
            <w:tcW w:w="1557" w:type="pct"/>
            <w:shd w:val="clear" w:color="auto" w:fill="002060"/>
          </w:tcPr>
          <w:p w14:paraId="5A603BDD" w14:textId="77777777" w:rsidR="00382F20" w:rsidRPr="00C2202B" w:rsidRDefault="00382F20" w:rsidP="00957833">
            <w:pPr>
              <w:spacing w:line="360" w:lineRule="auto"/>
              <w:jc w:val="center"/>
              <w:rPr>
                <w:rFonts w:ascii="Arial" w:hAnsi="Arial" w:cs="Arial"/>
                <w:b/>
                <w:color w:val="FFFFFF" w:themeColor="background1"/>
                <w:sz w:val="22"/>
                <w:szCs w:val="22"/>
              </w:rPr>
            </w:pPr>
            <w:r w:rsidRPr="00C2202B">
              <w:rPr>
                <w:rFonts w:ascii="Arial" w:hAnsi="Arial" w:cs="Arial"/>
                <w:b/>
                <w:color w:val="FFFFFF" w:themeColor="background1"/>
                <w:sz w:val="22"/>
                <w:szCs w:val="22"/>
              </w:rPr>
              <w:t>Date of Appointment</w:t>
            </w:r>
          </w:p>
        </w:tc>
      </w:tr>
      <w:tr w:rsidR="00382F20" w:rsidRPr="00397458" w14:paraId="0041CFC1" w14:textId="77777777" w:rsidTr="00382F20">
        <w:tc>
          <w:tcPr>
            <w:tcW w:w="667" w:type="pct"/>
            <w:vAlign w:val="center"/>
            <w:hideMark/>
          </w:tcPr>
          <w:p w14:paraId="570AA1C2" w14:textId="77777777" w:rsidR="00382F20" w:rsidRPr="00397458" w:rsidRDefault="00382F20" w:rsidP="00957833">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1</w:t>
            </w:r>
          </w:p>
        </w:tc>
        <w:tc>
          <w:tcPr>
            <w:tcW w:w="1584" w:type="pct"/>
            <w:vAlign w:val="bottom"/>
          </w:tcPr>
          <w:p w14:paraId="4DEC686A" w14:textId="77777777" w:rsidR="00382F20" w:rsidRPr="00397458" w:rsidRDefault="00382F20" w:rsidP="00957833">
            <w:pPr>
              <w:spacing w:line="360" w:lineRule="auto"/>
              <w:rPr>
                <w:rFonts w:asciiTheme="minorHAnsi" w:hAnsiTheme="minorHAnsi" w:cstheme="minorHAnsi"/>
                <w:color w:val="000000"/>
                <w:sz w:val="22"/>
                <w:szCs w:val="22"/>
                <w:lang w:val="en-IN"/>
              </w:rPr>
            </w:pPr>
            <w:r w:rsidRPr="00397458">
              <w:rPr>
                <w:rFonts w:ascii="Calibri" w:hAnsi="Calibri"/>
                <w:color w:val="000000"/>
                <w:sz w:val="22"/>
                <w:szCs w:val="22"/>
              </w:rPr>
              <w:t xml:space="preserve">Mr. </w:t>
            </w:r>
            <w:r>
              <w:rPr>
                <w:rFonts w:ascii="Calibri" w:hAnsi="Calibri"/>
                <w:color w:val="000000"/>
                <w:sz w:val="22"/>
                <w:szCs w:val="22"/>
              </w:rPr>
              <w:t>Bajrang Lal Gupta</w:t>
            </w:r>
          </w:p>
        </w:tc>
        <w:tc>
          <w:tcPr>
            <w:tcW w:w="1192" w:type="pct"/>
            <w:vAlign w:val="bottom"/>
          </w:tcPr>
          <w:p w14:paraId="016E9BA7" w14:textId="77777777" w:rsidR="00382F20" w:rsidRPr="00397458" w:rsidRDefault="00382F20" w:rsidP="00957833">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0014</w:t>
            </w:r>
            <w:r>
              <w:rPr>
                <w:rFonts w:ascii="Calibri" w:hAnsi="Calibri"/>
                <w:color w:val="000000"/>
                <w:sz w:val="22"/>
                <w:szCs w:val="22"/>
              </w:rPr>
              <w:t>3031</w:t>
            </w:r>
          </w:p>
        </w:tc>
        <w:tc>
          <w:tcPr>
            <w:tcW w:w="1557" w:type="pct"/>
            <w:vAlign w:val="bottom"/>
          </w:tcPr>
          <w:p w14:paraId="0B5613C9" w14:textId="77777777" w:rsidR="00382F20" w:rsidRPr="00397458" w:rsidRDefault="00382F20" w:rsidP="00957833">
            <w:pPr>
              <w:spacing w:line="360" w:lineRule="auto"/>
              <w:jc w:val="center"/>
              <w:rPr>
                <w:rFonts w:asciiTheme="minorHAnsi" w:hAnsiTheme="minorHAnsi" w:cstheme="minorHAnsi"/>
                <w:color w:val="000000"/>
                <w:sz w:val="22"/>
                <w:szCs w:val="22"/>
              </w:rPr>
            </w:pPr>
            <w:r>
              <w:rPr>
                <w:rFonts w:ascii="Calibri" w:hAnsi="Calibri"/>
                <w:color w:val="000000"/>
                <w:sz w:val="22"/>
                <w:szCs w:val="22"/>
              </w:rPr>
              <w:t>13</w:t>
            </w:r>
            <w:r w:rsidRPr="00397458">
              <w:rPr>
                <w:rFonts w:ascii="Calibri" w:hAnsi="Calibri"/>
                <w:color w:val="000000"/>
                <w:sz w:val="22"/>
                <w:szCs w:val="22"/>
              </w:rPr>
              <w:t>/</w:t>
            </w:r>
            <w:r>
              <w:rPr>
                <w:rFonts w:ascii="Calibri" w:hAnsi="Calibri"/>
                <w:color w:val="000000"/>
                <w:sz w:val="22"/>
                <w:szCs w:val="22"/>
              </w:rPr>
              <w:t>08</w:t>
            </w:r>
            <w:r w:rsidRPr="00397458">
              <w:rPr>
                <w:rFonts w:ascii="Calibri" w:hAnsi="Calibri"/>
                <w:color w:val="000000"/>
                <w:sz w:val="22"/>
                <w:szCs w:val="22"/>
              </w:rPr>
              <w:t>/</w:t>
            </w:r>
            <w:r>
              <w:rPr>
                <w:rFonts w:ascii="Calibri" w:hAnsi="Calibri"/>
                <w:color w:val="000000"/>
                <w:sz w:val="22"/>
                <w:szCs w:val="22"/>
              </w:rPr>
              <w:t>1999</w:t>
            </w:r>
          </w:p>
        </w:tc>
      </w:tr>
      <w:tr w:rsidR="00382F20" w:rsidRPr="00397458" w14:paraId="15C7560A" w14:textId="77777777" w:rsidTr="00382F20">
        <w:tc>
          <w:tcPr>
            <w:tcW w:w="667" w:type="pct"/>
            <w:vAlign w:val="center"/>
            <w:hideMark/>
          </w:tcPr>
          <w:p w14:paraId="77CBD3E6" w14:textId="77777777" w:rsidR="00382F20" w:rsidRPr="00397458" w:rsidRDefault="00382F20" w:rsidP="00957833">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2</w:t>
            </w:r>
          </w:p>
        </w:tc>
        <w:tc>
          <w:tcPr>
            <w:tcW w:w="1584" w:type="pct"/>
            <w:vAlign w:val="bottom"/>
          </w:tcPr>
          <w:p w14:paraId="618D0A44" w14:textId="77777777" w:rsidR="00382F20" w:rsidRPr="00397458" w:rsidRDefault="00382F20" w:rsidP="00957833">
            <w:pPr>
              <w:spacing w:line="360" w:lineRule="auto"/>
              <w:rPr>
                <w:rFonts w:asciiTheme="minorHAnsi" w:hAnsiTheme="minorHAnsi" w:cstheme="minorHAnsi"/>
                <w:color w:val="000000"/>
                <w:sz w:val="22"/>
                <w:szCs w:val="22"/>
              </w:rPr>
            </w:pPr>
            <w:r w:rsidRPr="00397458">
              <w:rPr>
                <w:rFonts w:ascii="Calibri" w:hAnsi="Calibri"/>
                <w:color w:val="000000"/>
                <w:sz w:val="22"/>
                <w:szCs w:val="22"/>
              </w:rPr>
              <w:t>Mr. Ishwar Parkash Jain</w:t>
            </w:r>
          </w:p>
        </w:tc>
        <w:tc>
          <w:tcPr>
            <w:tcW w:w="1192" w:type="pct"/>
            <w:vAlign w:val="bottom"/>
          </w:tcPr>
          <w:p w14:paraId="7ACFABF1" w14:textId="77777777" w:rsidR="00382F20" w:rsidRPr="00397458" w:rsidRDefault="00382F20" w:rsidP="00957833">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00161727</w:t>
            </w:r>
          </w:p>
        </w:tc>
        <w:tc>
          <w:tcPr>
            <w:tcW w:w="1557" w:type="pct"/>
            <w:vAlign w:val="bottom"/>
          </w:tcPr>
          <w:p w14:paraId="0C042335" w14:textId="77777777" w:rsidR="00382F20" w:rsidRPr="00397458" w:rsidRDefault="00382F20" w:rsidP="00957833">
            <w:pPr>
              <w:spacing w:line="360" w:lineRule="auto"/>
              <w:jc w:val="center"/>
              <w:rPr>
                <w:rFonts w:asciiTheme="minorHAnsi" w:hAnsiTheme="minorHAnsi" w:cstheme="minorHAnsi"/>
                <w:color w:val="000000"/>
                <w:sz w:val="22"/>
                <w:szCs w:val="22"/>
              </w:rPr>
            </w:pPr>
            <w:r w:rsidRPr="00397458">
              <w:rPr>
                <w:rFonts w:ascii="Calibri" w:hAnsi="Calibri"/>
                <w:color w:val="000000"/>
                <w:sz w:val="22"/>
                <w:szCs w:val="22"/>
              </w:rPr>
              <w:t>1</w:t>
            </w:r>
            <w:r>
              <w:rPr>
                <w:rFonts w:ascii="Calibri" w:hAnsi="Calibri"/>
                <w:color w:val="000000"/>
                <w:sz w:val="22"/>
                <w:szCs w:val="22"/>
              </w:rPr>
              <w:t>6</w:t>
            </w:r>
            <w:r w:rsidRPr="00397458">
              <w:rPr>
                <w:rFonts w:ascii="Calibri" w:hAnsi="Calibri"/>
                <w:color w:val="000000"/>
                <w:sz w:val="22"/>
                <w:szCs w:val="22"/>
              </w:rPr>
              <w:t>/0</w:t>
            </w:r>
            <w:r>
              <w:rPr>
                <w:rFonts w:ascii="Calibri" w:hAnsi="Calibri"/>
                <w:color w:val="000000"/>
                <w:sz w:val="22"/>
                <w:szCs w:val="22"/>
              </w:rPr>
              <w:t>8</w:t>
            </w:r>
            <w:r w:rsidRPr="00397458">
              <w:rPr>
                <w:rFonts w:ascii="Calibri" w:hAnsi="Calibri"/>
                <w:color w:val="000000"/>
                <w:sz w:val="22"/>
                <w:szCs w:val="22"/>
              </w:rPr>
              <w:t>/201</w:t>
            </w:r>
            <w:r>
              <w:rPr>
                <w:rFonts w:ascii="Calibri" w:hAnsi="Calibri"/>
                <w:color w:val="000000"/>
                <w:sz w:val="22"/>
                <w:szCs w:val="22"/>
              </w:rPr>
              <w:t>0</w:t>
            </w:r>
          </w:p>
        </w:tc>
      </w:tr>
    </w:tbl>
    <w:p w14:paraId="1B3C7070" w14:textId="77777777" w:rsidR="00382F20" w:rsidRPr="006C46BB" w:rsidRDefault="00382F20" w:rsidP="00382F20">
      <w:pPr>
        <w:shd w:val="clear" w:color="auto" w:fill="FFFFFF"/>
        <w:spacing w:after="0" w:line="360" w:lineRule="auto"/>
        <w:ind w:left="6480" w:right="119" w:firstLine="720"/>
        <w:jc w:val="right"/>
        <w:rPr>
          <w:rFonts w:ascii="Arial" w:hAnsi="Arial" w:cs="Arial"/>
          <w:i/>
          <w:color w:val="000000" w:themeColor="text1"/>
          <w:sz w:val="18"/>
          <w:szCs w:val="18"/>
          <w:lang w:val="en-IN" w:eastAsia="en-IN"/>
        </w:rPr>
      </w:pPr>
      <w:r w:rsidRPr="00782B08">
        <w:rPr>
          <w:rFonts w:ascii="Arial" w:hAnsi="Arial" w:cs="Arial"/>
          <w:b/>
          <w:bCs/>
          <w:i/>
          <w:color w:val="000000" w:themeColor="text1"/>
          <w:sz w:val="18"/>
          <w:szCs w:val="18"/>
          <w:lang w:val="en-IN" w:eastAsia="en-IN"/>
        </w:rPr>
        <w:t>Source</w:t>
      </w:r>
      <w:r w:rsidRPr="006C46BB">
        <w:rPr>
          <w:rFonts w:ascii="Arial" w:hAnsi="Arial" w:cs="Arial"/>
          <w:i/>
          <w:color w:val="000000" w:themeColor="text1"/>
          <w:sz w:val="18"/>
          <w:szCs w:val="18"/>
          <w:lang w:val="en-IN" w:eastAsia="en-IN"/>
        </w:rPr>
        <w:t>: MCA Data</w:t>
      </w:r>
    </w:p>
    <w:p w14:paraId="78B23201" w14:textId="77777777" w:rsidR="00382F20"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sz w:val="22"/>
          <w:szCs w:val="22"/>
        </w:rPr>
      </w:pPr>
      <w:r>
        <w:rPr>
          <w:rFonts w:ascii="Arial" w:hAnsi="Arial" w:cs="Arial"/>
          <w:sz w:val="22"/>
          <w:szCs w:val="22"/>
        </w:rPr>
        <w:t xml:space="preserve">We could not find much details of directors/promoters, their educational background and </w:t>
      </w:r>
      <w:r w:rsidRPr="00382F20">
        <w:rPr>
          <w:rFonts w:ascii="Arial" w:hAnsi="Arial" w:cs="Arial"/>
          <w:color w:val="000000" w:themeColor="text1"/>
          <w:sz w:val="22"/>
          <w:szCs w:val="22"/>
        </w:rPr>
        <w:t>experience</w:t>
      </w:r>
      <w:r>
        <w:rPr>
          <w:rFonts w:ascii="Arial" w:hAnsi="Arial" w:cs="Arial"/>
          <w:sz w:val="22"/>
          <w:szCs w:val="22"/>
        </w:rPr>
        <w:t xml:space="preserve"> in the public domain.</w:t>
      </w:r>
    </w:p>
    <w:p w14:paraId="67354ED7" w14:textId="77777777" w:rsidR="00382F20" w:rsidRPr="00C2202B"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b/>
          <w:color w:val="1A1A1A"/>
          <w:sz w:val="22"/>
          <w:szCs w:val="22"/>
        </w:rPr>
      </w:pPr>
      <w:r w:rsidRPr="00AD27A1">
        <w:rPr>
          <w:rFonts w:ascii="Arial" w:hAnsi="Arial" w:cs="Arial"/>
          <w:b/>
          <w:sz w:val="22"/>
          <w:szCs w:val="22"/>
        </w:rPr>
        <w:t>CAPITAL</w:t>
      </w:r>
      <w:r w:rsidRPr="00AD27A1">
        <w:rPr>
          <w:rFonts w:ascii="Arial" w:hAnsi="Arial" w:cs="Arial"/>
          <w:b/>
          <w:color w:val="1A1A1A"/>
          <w:sz w:val="22"/>
          <w:szCs w:val="22"/>
        </w:rPr>
        <w:t xml:space="preserve"> STRUCTURE</w:t>
      </w:r>
      <w:r>
        <w:rPr>
          <w:rFonts w:ascii="Arial" w:hAnsi="Arial" w:cs="Arial"/>
          <w:b/>
          <w:color w:val="1A1A1A"/>
          <w:sz w:val="22"/>
          <w:szCs w:val="22"/>
        </w:rPr>
        <w:t xml:space="preserve">: </w:t>
      </w:r>
      <w:r w:rsidRPr="00AD27A1">
        <w:rPr>
          <w:rFonts w:ascii="Arial" w:hAnsi="Arial" w:cs="Arial"/>
          <w:sz w:val="22"/>
          <w:szCs w:val="22"/>
        </w:rPr>
        <w:t xml:space="preserve">The authorized Share Capital of the Company is </w:t>
      </w:r>
      <w:r>
        <w:rPr>
          <w:rFonts w:ascii="Arial" w:hAnsi="Arial" w:cs="Arial"/>
          <w:sz w:val="22"/>
          <w:szCs w:val="22"/>
        </w:rPr>
        <w:t>INR</w:t>
      </w:r>
      <w:r w:rsidRPr="00AD27A1">
        <w:rPr>
          <w:rFonts w:ascii="Arial" w:hAnsi="Arial" w:cs="Arial"/>
          <w:sz w:val="22"/>
          <w:szCs w:val="22"/>
        </w:rPr>
        <w:t xml:space="preserve"> </w:t>
      </w:r>
      <w:r>
        <w:rPr>
          <w:rFonts w:ascii="Arial" w:hAnsi="Arial" w:cs="Arial"/>
          <w:sz w:val="22"/>
          <w:szCs w:val="22"/>
        </w:rPr>
        <w:t>50.00</w:t>
      </w:r>
      <w:r w:rsidRPr="00AD27A1">
        <w:rPr>
          <w:rFonts w:ascii="Arial" w:hAnsi="Arial" w:cs="Arial"/>
          <w:sz w:val="22"/>
          <w:szCs w:val="22"/>
        </w:rPr>
        <w:t xml:space="preserve"> </w:t>
      </w:r>
      <w:r>
        <w:rPr>
          <w:rFonts w:ascii="Arial" w:hAnsi="Arial" w:cs="Arial"/>
          <w:sz w:val="22"/>
          <w:szCs w:val="22"/>
        </w:rPr>
        <w:t>Lakh</w:t>
      </w:r>
      <w:r w:rsidRPr="00AD27A1">
        <w:rPr>
          <w:rFonts w:ascii="Arial" w:hAnsi="Arial" w:cs="Arial"/>
          <w:sz w:val="22"/>
          <w:szCs w:val="22"/>
        </w:rPr>
        <w:t xml:space="preserve"> divided into </w:t>
      </w:r>
      <w:r>
        <w:rPr>
          <w:rFonts w:ascii="Arial" w:hAnsi="Arial" w:cs="Arial"/>
          <w:sz w:val="22"/>
          <w:szCs w:val="22"/>
        </w:rPr>
        <w:t>5 Lakh</w:t>
      </w:r>
      <w:r w:rsidRPr="00AD27A1">
        <w:rPr>
          <w:rFonts w:ascii="Arial" w:hAnsi="Arial" w:cs="Arial"/>
          <w:sz w:val="22"/>
          <w:szCs w:val="22"/>
        </w:rPr>
        <w:t xml:space="preserve"> Equity Shares of </w:t>
      </w:r>
      <w:r>
        <w:rPr>
          <w:rFonts w:ascii="Arial" w:hAnsi="Arial" w:cs="Arial"/>
          <w:sz w:val="22"/>
          <w:szCs w:val="22"/>
        </w:rPr>
        <w:t>INR</w:t>
      </w:r>
      <w:r w:rsidRPr="00AD27A1">
        <w:rPr>
          <w:rFonts w:ascii="Arial" w:hAnsi="Arial" w:cs="Arial"/>
          <w:sz w:val="22"/>
          <w:szCs w:val="22"/>
        </w:rPr>
        <w:t xml:space="preserve"> 10/- each.</w:t>
      </w:r>
      <w:r>
        <w:rPr>
          <w:rFonts w:ascii="Arial" w:hAnsi="Arial" w:cs="Arial"/>
          <w:sz w:val="22"/>
          <w:szCs w:val="22"/>
        </w:rPr>
        <w:t xml:space="preserve"> </w:t>
      </w:r>
      <w:r w:rsidRPr="00047820">
        <w:rPr>
          <w:rFonts w:ascii="Arial" w:hAnsi="Arial" w:cs="Arial"/>
          <w:sz w:val="22"/>
          <w:szCs w:val="22"/>
        </w:rPr>
        <w:t xml:space="preserve">During the year under review, paid up </w:t>
      </w:r>
      <w:r w:rsidRPr="00382F20">
        <w:rPr>
          <w:rFonts w:ascii="Arial" w:hAnsi="Arial" w:cs="Arial"/>
          <w:color w:val="000000" w:themeColor="text1"/>
          <w:sz w:val="22"/>
          <w:szCs w:val="22"/>
        </w:rPr>
        <w:t>capital</w:t>
      </w:r>
      <w:r w:rsidRPr="00047820">
        <w:rPr>
          <w:rFonts w:ascii="Arial" w:hAnsi="Arial" w:cs="Arial"/>
          <w:sz w:val="22"/>
          <w:szCs w:val="22"/>
        </w:rPr>
        <w:t xml:space="preserve"> of the Company was </w:t>
      </w:r>
      <w:r>
        <w:rPr>
          <w:rFonts w:ascii="Arial" w:hAnsi="Arial" w:cs="Arial"/>
          <w:sz w:val="22"/>
          <w:szCs w:val="22"/>
        </w:rPr>
        <w:t>INR</w:t>
      </w:r>
      <w:r w:rsidRPr="00047820">
        <w:rPr>
          <w:rFonts w:ascii="Arial" w:hAnsi="Arial" w:cs="Arial"/>
          <w:sz w:val="22"/>
          <w:szCs w:val="22"/>
        </w:rPr>
        <w:t xml:space="preserve"> </w:t>
      </w:r>
      <w:r>
        <w:rPr>
          <w:rFonts w:ascii="Arial" w:hAnsi="Arial" w:cs="Arial"/>
          <w:sz w:val="22"/>
          <w:szCs w:val="22"/>
        </w:rPr>
        <w:t>28.52</w:t>
      </w:r>
      <w:r w:rsidRPr="00047820">
        <w:rPr>
          <w:rFonts w:ascii="Arial" w:hAnsi="Arial" w:cs="Arial"/>
          <w:sz w:val="22"/>
          <w:szCs w:val="22"/>
        </w:rPr>
        <w:t xml:space="preserve"> </w:t>
      </w:r>
      <w:r>
        <w:rPr>
          <w:rFonts w:ascii="Arial" w:hAnsi="Arial" w:cs="Arial"/>
          <w:sz w:val="22"/>
          <w:szCs w:val="22"/>
        </w:rPr>
        <w:t>Lakh</w:t>
      </w:r>
      <w:r w:rsidRPr="00047820">
        <w:rPr>
          <w:rFonts w:ascii="Arial" w:hAnsi="Arial" w:cs="Arial"/>
          <w:sz w:val="22"/>
          <w:szCs w:val="22"/>
        </w:rPr>
        <w:t xml:space="preserve"> into </w:t>
      </w:r>
      <w:r>
        <w:rPr>
          <w:rFonts w:ascii="Arial" w:hAnsi="Arial" w:cs="Arial"/>
          <w:sz w:val="22"/>
          <w:szCs w:val="22"/>
        </w:rPr>
        <w:t>2,85,200 Equity Shares of INR 10</w:t>
      </w:r>
      <w:r w:rsidRPr="00047820">
        <w:rPr>
          <w:rFonts w:ascii="Arial" w:hAnsi="Arial" w:cs="Arial"/>
          <w:sz w:val="22"/>
          <w:szCs w:val="22"/>
        </w:rPr>
        <w:t>/- each fully paid as on 31</w:t>
      </w:r>
      <w:r w:rsidRPr="00047820">
        <w:rPr>
          <w:rFonts w:ascii="Arial" w:hAnsi="Arial" w:cs="Arial"/>
          <w:sz w:val="22"/>
          <w:szCs w:val="22"/>
          <w:vertAlign w:val="superscript"/>
        </w:rPr>
        <w:t>st</w:t>
      </w:r>
      <w:r>
        <w:rPr>
          <w:rFonts w:ascii="Arial" w:hAnsi="Arial" w:cs="Arial"/>
          <w:sz w:val="22"/>
          <w:szCs w:val="22"/>
        </w:rPr>
        <w:t xml:space="preserve"> March, 2024</w:t>
      </w:r>
      <w:r w:rsidRPr="00047820">
        <w:rPr>
          <w:rFonts w:ascii="Arial" w:hAnsi="Arial" w:cs="Arial"/>
          <w:sz w:val="22"/>
          <w:szCs w:val="22"/>
        </w:rPr>
        <w:t xml:space="preserve">.  </w:t>
      </w:r>
    </w:p>
    <w:p w14:paraId="031E7F53" w14:textId="77777777" w:rsidR="00382F20" w:rsidRDefault="00382F20" w:rsidP="00382F20">
      <w:pPr>
        <w:pStyle w:val="NormalWeb"/>
        <w:shd w:val="clear" w:color="auto" w:fill="FFFFFF"/>
        <w:spacing w:before="225" w:beforeAutospacing="0" w:after="225" w:afterAutospacing="0" w:line="360" w:lineRule="auto"/>
        <w:ind w:right="-306"/>
        <w:jc w:val="both"/>
        <w:textAlignment w:val="baseline"/>
        <w:rPr>
          <w:rFonts w:ascii="Arial" w:hAnsi="Arial" w:cs="Arial"/>
          <w:bCs/>
          <w:sz w:val="22"/>
          <w:szCs w:val="22"/>
        </w:rPr>
      </w:pPr>
      <w:r w:rsidRPr="00AD27A1">
        <w:rPr>
          <w:rFonts w:ascii="Arial" w:hAnsi="Arial" w:cs="Arial"/>
          <w:bCs/>
          <w:sz w:val="22"/>
          <w:szCs w:val="22"/>
        </w:rPr>
        <w:lastRenderedPageBreak/>
        <w:t xml:space="preserve">The </w:t>
      </w:r>
      <w:r w:rsidRPr="00382F20">
        <w:rPr>
          <w:rFonts w:ascii="Arial" w:hAnsi="Arial" w:cs="Arial"/>
          <w:color w:val="000000" w:themeColor="text1"/>
          <w:sz w:val="22"/>
          <w:szCs w:val="22"/>
        </w:rPr>
        <w:t>Shareholding</w:t>
      </w:r>
      <w:r w:rsidRPr="00AD27A1">
        <w:rPr>
          <w:rFonts w:ascii="Arial" w:hAnsi="Arial" w:cs="Arial"/>
          <w:bCs/>
          <w:sz w:val="22"/>
          <w:szCs w:val="22"/>
        </w:rPr>
        <w:t xml:space="preserve"> Pattern of the Company as per the Financial Statements for FY Ended March 202</w:t>
      </w:r>
      <w:r>
        <w:rPr>
          <w:rFonts w:ascii="Arial" w:hAnsi="Arial" w:cs="Arial"/>
          <w:bCs/>
          <w:sz w:val="22"/>
          <w:szCs w:val="22"/>
        </w:rPr>
        <w:t>4</w:t>
      </w:r>
      <w:r w:rsidRPr="00AD27A1">
        <w:rPr>
          <w:rFonts w:ascii="Arial" w:hAnsi="Arial" w:cs="Arial"/>
          <w:bCs/>
          <w:sz w:val="22"/>
          <w:szCs w:val="22"/>
        </w:rPr>
        <w:t xml:space="preserve"> is as follows: -</w:t>
      </w:r>
    </w:p>
    <w:p w14:paraId="4407583C" w14:textId="77777777" w:rsidR="00382F20" w:rsidRPr="008C5B0D" w:rsidRDefault="00382F20" w:rsidP="00382F20">
      <w:pPr>
        <w:spacing w:before="240" w:after="0" w:line="360" w:lineRule="auto"/>
        <w:ind w:left="426" w:right="119"/>
        <w:jc w:val="center"/>
        <w:rPr>
          <w:rFonts w:ascii="Arial" w:hAnsi="Arial" w:cs="Arial"/>
          <w:b/>
          <w:sz w:val="22"/>
          <w:szCs w:val="22"/>
          <w:u w:val="single"/>
          <w:lang w:val="en-IN"/>
        </w:rPr>
      </w:pPr>
      <w:r w:rsidRPr="008C5B0D">
        <w:rPr>
          <w:rFonts w:ascii="Arial" w:hAnsi="Arial" w:cs="Arial"/>
          <w:b/>
          <w:sz w:val="22"/>
          <w:szCs w:val="22"/>
          <w:u w:val="single"/>
          <w:lang w:val="en-IN"/>
        </w:rPr>
        <w:t>Details of Shareholders holding more than 5% of the Aggregate Shares</w:t>
      </w:r>
    </w:p>
    <w:tbl>
      <w:tblPr>
        <w:tblW w:w="850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3402"/>
        <w:gridCol w:w="2268"/>
        <w:gridCol w:w="1843"/>
      </w:tblGrid>
      <w:tr w:rsidR="00382F20" w:rsidRPr="008C5B0D" w14:paraId="7CC82D51" w14:textId="77777777" w:rsidTr="00382F20">
        <w:trPr>
          <w:trHeight w:val="300"/>
        </w:trPr>
        <w:tc>
          <w:tcPr>
            <w:tcW w:w="992" w:type="dxa"/>
            <w:shd w:val="clear" w:color="auto" w:fill="002060"/>
          </w:tcPr>
          <w:p w14:paraId="68D0E1C5"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S. No.</w:t>
            </w:r>
          </w:p>
        </w:tc>
        <w:tc>
          <w:tcPr>
            <w:tcW w:w="3402" w:type="dxa"/>
            <w:shd w:val="clear" w:color="auto" w:fill="002060"/>
            <w:noWrap/>
            <w:vAlign w:val="center"/>
            <w:hideMark/>
          </w:tcPr>
          <w:p w14:paraId="30722998"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Particulars</w:t>
            </w:r>
          </w:p>
        </w:tc>
        <w:tc>
          <w:tcPr>
            <w:tcW w:w="2268" w:type="dxa"/>
            <w:shd w:val="clear" w:color="auto" w:fill="002060"/>
            <w:noWrap/>
            <w:vAlign w:val="center"/>
            <w:hideMark/>
          </w:tcPr>
          <w:p w14:paraId="26B27CB2"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Number of Shares</w:t>
            </w:r>
          </w:p>
        </w:tc>
        <w:tc>
          <w:tcPr>
            <w:tcW w:w="1843" w:type="dxa"/>
            <w:shd w:val="clear" w:color="auto" w:fill="002060"/>
            <w:noWrap/>
            <w:vAlign w:val="center"/>
            <w:hideMark/>
          </w:tcPr>
          <w:p w14:paraId="28666F4A" w14:textId="77777777" w:rsidR="00382F20" w:rsidRPr="008C5B0D" w:rsidRDefault="00382F20" w:rsidP="00957833">
            <w:pPr>
              <w:spacing w:after="0" w:line="360" w:lineRule="auto"/>
              <w:jc w:val="center"/>
              <w:rPr>
                <w:rFonts w:asciiTheme="minorHAnsi" w:hAnsiTheme="minorHAnsi" w:cstheme="minorHAnsi"/>
                <w:b/>
                <w:color w:val="FFFFFF" w:themeColor="background1"/>
                <w:sz w:val="22"/>
                <w:szCs w:val="22"/>
                <w:lang w:val="en-IN" w:eastAsia="en-IN"/>
              </w:rPr>
            </w:pPr>
            <w:r w:rsidRPr="008C5B0D">
              <w:rPr>
                <w:rFonts w:asciiTheme="minorHAnsi" w:hAnsiTheme="minorHAnsi" w:cstheme="minorHAnsi"/>
                <w:b/>
                <w:color w:val="FFFFFF" w:themeColor="background1"/>
                <w:sz w:val="22"/>
                <w:szCs w:val="22"/>
                <w:lang w:val="en-IN" w:eastAsia="en-IN"/>
              </w:rPr>
              <w:t>Holding %</w:t>
            </w:r>
          </w:p>
        </w:tc>
      </w:tr>
      <w:tr w:rsidR="00382F20" w:rsidRPr="008C5B0D" w14:paraId="6918B9EA" w14:textId="77777777" w:rsidTr="00382F20">
        <w:trPr>
          <w:trHeight w:val="267"/>
        </w:trPr>
        <w:tc>
          <w:tcPr>
            <w:tcW w:w="992" w:type="dxa"/>
            <w:vAlign w:val="center"/>
          </w:tcPr>
          <w:p w14:paraId="267F688D"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1</w:t>
            </w:r>
          </w:p>
        </w:tc>
        <w:tc>
          <w:tcPr>
            <w:tcW w:w="3402" w:type="dxa"/>
            <w:shd w:val="clear" w:color="auto" w:fill="auto"/>
            <w:noWrap/>
            <w:vAlign w:val="center"/>
          </w:tcPr>
          <w:p w14:paraId="00DAA0E6"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Sandhya Shukla</w:t>
            </w:r>
          </w:p>
        </w:tc>
        <w:tc>
          <w:tcPr>
            <w:tcW w:w="2268" w:type="dxa"/>
            <w:shd w:val="clear" w:color="auto" w:fill="auto"/>
            <w:noWrap/>
            <w:vAlign w:val="center"/>
            <w:hideMark/>
          </w:tcPr>
          <w:p w14:paraId="5E5B4975"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30,000</w:t>
            </w:r>
          </w:p>
        </w:tc>
        <w:tc>
          <w:tcPr>
            <w:tcW w:w="1843" w:type="dxa"/>
            <w:shd w:val="clear" w:color="auto" w:fill="auto"/>
            <w:noWrap/>
            <w:vAlign w:val="center"/>
            <w:hideMark/>
          </w:tcPr>
          <w:p w14:paraId="6F1DE64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10.52%</w:t>
            </w:r>
          </w:p>
        </w:tc>
      </w:tr>
      <w:tr w:rsidR="00382F20" w:rsidRPr="008C5B0D" w14:paraId="330A71BC" w14:textId="77777777" w:rsidTr="00382F20">
        <w:trPr>
          <w:trHeight w:val="70"/>
        </w:trPr>
        <w:tc>
          <w:tcPr>
            <w:tcW w:w="992" w:type="dxa"/>
            <w:vAlign w:val="center"/>
          </w:tcPr>
          <w:p w14:paraId="74A12AC9"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w:t>
            </w:r>
          </w:p>
        </w:tc>
        <w:tc>
          <w:tcPr>
            <w:tcW w:w="3402" w:type="dxa"/>
            <w:shd w:val="clear" w:color="auto" w:fill="auto"/>
            <w:noWrap/>
            <w:vAlign w:val="center"/>
          </w:tcPr>
          <w:p w14:paraId="65F3469F"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Vikas Baid</w:t>
            </w:r>
          </w:p>
        </w:tc>
        <w:tc>
          <w:tcPr>
            <w:tcW w:w="2268" w:type="dxa"/>
            <w:shd w:val="clear" w:color="auto" w:fill="auto"/>
            <w:noWrap/>
            <w:vAlign w:val="center"/>
          </w:tcPr>
          <w:p w14:paraId="40E9274A"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25,000</w:t>
            </w:r>
          </w:p>
        </w:tc>
        <w:tc>
          <w:tcPr>
            <w:tcW w:w="1843" w:type="dxa"/>
            <w:shd w:val="clear" w:color="auto" w:fill="auto"/>
            <w:noWrap/>
            <w:vAlign w:val="center"/>
          </w:tcPr>
          <w:p w14:paraId="4B952071"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8.77%</w:t>
            </w:r>
          </w:p>
        </w:tc>
      </w:tr>
      <w:tr w:rsidR="00382F20" w:rsidRPr="008C5B0D" w14:paraId="5121570B" w14:textId="77777777" w:rsidTr="00382F20">
        <w:trPr>
          <w:trHeight w:val="70"/>
        </w:trPr>
        <w:tc>
          <w:tcPr>
            <w:tcW w:w="992" w:type="dxa"/>
            <w:vAlign w:val="center"/>
          </w:tcPr>
          <w:p w14:paraId="32B9F53E"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3</w:t>
            </w:r>
          </w:p>
        </w:tc>
        <w:tc>
          <w:tcPr>
            <w:tcW w:w="3402" w:type="dxa"/>
            <w:shd w:val="clear" w:color="auto" w:fill="auto"/>
            <w:noWrap/>
            <w:vAlign w:val="center"/>
          </w:tcPr>
          <w:p w14:paraId="23020AFD"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Sumit Kumar Pugalia</w:t>
            </w:r>
          </w:p>
        </w:tc>
        <w:tc>
          <w:tcPr>
            <w:tcW w:w="2268" w:type="dxa"/>
            <w:shd w:val="clear" w:color="auto" w:fill="auto"/>
            <w:noWrap/>
            <w:vAlign w:val="center"/>
          </w:tcPr>
          <w:p w14:paraId="206C5FF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78AAF260"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0283C315" w14:textId="77777777" w:rsidTr="00382F20">
        <w:trPr>
          <w:trHeight w:val="70"/>
        </w:trPr>
        <w:tc>
          <w:tcPr>
            <w:tcW w:w="992" w:type="dxa"/>
            <w:vAlign w:val="center"/>
          </w:tcPr>
          <w:p w14:paraId="071518BE"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4</w:t>
            </w:r>
          </w:p>
        </w:tc>
        <w:tc>
          <w:tcPr>
            <w:tcW w:w="3402" w:type="dxa"/>
            <w:shd w:val="clear" w:color="auto" w:fill="auto"/>
            <w:noWrap/>
            <w:vAlign w:val="center"/>
          </w:tcPr>
          <w:p w14:paraId="4F62D909"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Surjeet Pugalia</w:t>
            </w:r>
          </w:p>
        </w:tc>
        <w:tc>
          <w:tcPr>
            <w:tcW w:w="2268" w:type="dxa"/>
            <w:shd w:val="clear" w:color="auto" w:fill="auto"/>
            <w:noWrap/>
            <w:vAlign w:val="center"/>
          </w:tcPr>
          <w:p w14:paraId="1E2D07F6"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40972C1A"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6B741E70" w14:textId="77777777" w:rsidTr="00382F20">
        <w:trPr>
          <w:trHeight w:val="70"/>
        </w:trPr>
        <w:tc>
          <w:tcPr>
            <w:tcW w:w="992" w:type="dxa"/>
            <w:vAlign w:val="center"/>
          </w:tcPr>
          <w:p w14:paraId="13DFA3BF"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5</w:t>
            </w:r>
          </w:p>
        </w:tc>
        <w:tc>
          <w:tcPr>
            <w:tcW w:w="3402" w:type="dxa"/>
            <w:shd w:val="clear" w:color="auto" w:fill="auto"/>
            <w:noWrap/>
            <w:vAlign w:val="center"/>
          </w:tcPr>
          <w:p w14:paraId="059982D3"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Rajendra Kumar Bothra</w:t>
            </w:r>
          </w:p>
        </w:tc>
        <w:tc>
          <w:tcPr>
            <w:tcW w:w="2268" w:type="dxa"/>
            <w:shd w:val="clear" w:color="auto" w:fill="auto"/>
            <w:noWrap/>
            <w:vAlign w:val="center"/>
          </w:tcPr>
          <w:p w14:paraId="6D3C981D"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48A48AF8"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59D71507" w14:textId="77777777" w:rsidTr="00382F20">
        <w:trPr>
          <w:trHeight w:val="70"/>
        </w:trPr>
        <w:tc>
          <w:tcPr>
            <w:tcW w:w="992" w:type="dxa"/>
            <w:vAlign w:val="center"/>
          </w:tcPr>
          <w:p w14:paraId="60C0A06D"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6</w:t>
            </w:r>
          </w:p>
        </w:tc>
        <w:tc>
          <w:tcPr>
            <w:tcW w:w="3402" w:type="dxa"/>
            <w:shd w:val="clear" w:color="auto" w:fill="auto"/>
            <w:noWrap/>
            <w:vAlign w:val="center"/>
          </w:tcPr>
          <w:p w14:paraId="58D76B9C"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Mudit Bothra</w:t>
            </w:r>
          </w:p>
        </w:tc>
        <w:tc>
          <w:tcPr>
            <w:tcW w:w="2268" w:type="dxa"/>
            <w:shd w:val="clear" w:color="auto" w:fill="auto"/>
            <w:noWrap/>
            <w:vAlign w:val="center"/>
          </w:tcPr>
          <w:p w14:paraId="5B481CB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788322B3"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6EDE9DB7" w14:textId="77777777" w:rsidTr="00382F20">
        <w:trPr>
          <w:trHeight w:val="70"/>
        </w:trPr>
        <w:tc>
          <w:tcPr>
            <w:tcW w:w="992" w:type="dxa"/>
            <w:vAlign w:val="center"/>
          </w:tcPr>
          <w:p w14:paraId="2B4E8BE1"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w:t>
            </w:r>
          </w:p>
        </w:tc>
        <w:tc>
          <w:tcPr>
            <w:tcW w:w="3402" w:type="dxa"/>
            <w:shd w:val="clear" w:color="auto" w:fill="auto"/>
            <w:noWrap/>
            <w:vAlign w:val="center"/>
          </w:tcPr>
          <w:p w14:paraId="7F590483"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 xml:space="preserve">Rajiv Surana </w:t>
            </w:r>
          </w:p>
        </w:tc>
        <w:tc>
          <w:tcPr>
            <w:tcW w:w="2268" w:type="dxa"/>
            <w:shd w:val="clear" w:color="auto" w:fill="auto"/>
            <w:noWrap/>
            <w:vAlign w:val="center"/>
          </w:tcPr>
          <w:p w14:paraId="150F0443"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7C233CC0"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74BCE62B" w14:textId="77777777" w:rsidTr="00382F20">
        <w:trPr>
          <w:trHeight w:val="70"/>
        </w:trPr>
        <w:tc>
          <w:tcPr>
            <w:tcW w:w="992" w:type="dxa"/>
            <w:vAlign w:val="center"/>
          </w:tcPr>
          <w:p w14:paraId="6D555B02"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8</w:t>
            </w:r>
          </w:p>
        </w:tc>
        <w:tc>
          <w:tcPr>
            <w:tcW w:w="3402" w:type="dxa"/>
            <w:shd w:val="clear" w:color="auto" w:fill="auto"/>
            <w:noWrap/>
            <w:vAlign w:val="center"/>
          </w:tcPr>
          <w:p w14:paraId="7E913A5C"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Nisha Surana</w:t>
            </w:r>
          </w:p>
        </w:tc>
        <w:tc>
          <w:tcPr>
            <w:tcW w:w="2268" w:type="dxa"/>
            <w:shd w:val="clear" w:color="auto" w:fill="auto"/>
            <w:noWrap/>
            <w:vAlign w:val="center"/>
          </w:tcPr>
          <w:p w14:paraId="2478C526"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483001AB"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r w:rsidR="00382F20" w:rsidRPr="008C5B0D" w14:paraId="1BA2FD09" w14:textId="77777777" w:rsidTr="00382F20">
        <w:trPr>
          <w:trHeight w:val="70"/>
        </w:trPr>
        <w:tc>
          <w:tcPr>
            <w:tcW w:w="992" w:type="dxa"/>
            <w:vAlign w:val="center"/>
          </w:tcPr>
          <w:p w14:paraId="0DD6F2CA"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9</w:t>
            </w:r>
          </w:p>
        </w:tc>
        <w:tc>
          <w:tcPr>
            <w:tcW w:w="3402" w:type="dxa"/>
            <w:shd w:val="clear" w:color="auto" w:fill="auto"/>
            <w:noWrap/>
            <w:vAlign w:val="center"/>
          </w:tcPr>
          <w:p w14:paraId="0A2CE9E8" w14:textId="77777777" w:rsidR="00382F20" w:rsidRPr="008C5B0D" w:rsidRDefault="00382F20" w:rsidP="00957833">
            <w:pPr>
              <w:spacing w:after="0" w:line="360" w:lineRule="auto"/>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Dhiraj Pugalia</w:t>
            </w:r>
          </w:p>
        </w:tc>
        <w:tc>
          <w:tcPr>
            <w:tcW w:w="2268" w:type="dxa"/>
            <w:shd w:val="clear" w:color="auto" w:fill="auto"/>
            <w:noWrap/>
            <w:vAlign w:val="center"/>
          </w:tcPr>
          <w:p w14:paraId="7816176F"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20,000</w:t>
            </w:r>
          </w:p>
        </w:tc>
        <w:tc>
          <w:tcPr>
            <w:tcW w:w="1843" w:type="dxa"/>
            <w:shd w:val="clear" w:color="auto" w:fill="auto"/>
            <w:noWrap/>
            <w:vAlign w:val="center"/>
          </w:tcPr>
          <w:p w14:paraId="028DF956" w14:textId="77777777" w:rsidR="00382F20" w:rsidRPr="008C5B0D" w:rsidRDefault="00382F20" w:rsidP="00957833">
            <w:pPr>
              <w:spacing w:after="0" w:line="360" w:lineRule="auto"/>
              <w:jc w:val="center"/>
              <w:rPr>
                <w:rFonts w:asciiTheme="minorHAnsi" w:hAnsiTheme="minorHAnsi" w:cstheme="minorHAnsi"/>
                <w:color w:val="000000" w:themeColor="text1"/>
                <w:sz w:val="22"/>
                <w:szCs w:val="22"/>
                <w:lang w:val="en-IN" w:eastAsia="en-IN"/>
              </w:rPr>
            </w:pPr>
            <w:r w:rsidRPr="008C5B0D">
              <w:rPr>
                <w:rFonts w:asciiTheme="minorHAnsi" w:hAnsiTheme="minorHAnsi" w:cstheme="minorHAnsi"/>
                <w:color w:val="000000" w:themeColor="text1"/>
                <w:sz w:val="22"/>
                <w:szCs w:val="22"/>
                <w:lang w:val="en-IN" w:eastAsia="en-IN"/>
              </w:rPr>
              <w:t>7.01%</w:t>
            </w:r>
          </w:p>
        </w:tc>
      </w:tr>
    </w:tbl>
    <w:p w14:paraId="56D1FCDD" w14:textId="77777777" w:rsidR="00382F20" w:rsidRPr="00247D60" w:rsidRDefault="00382F20" w:rsidP="00382F20">
      <w:pPr>
        <w:spacing w:after="0" w:line="360" w:lineRule="auto"/>
        <w:ind w:left="2160" w:right="119" w:firstLine="720"/>
        <w:jc w:val="right"/>
        <w:rPr>
          <w:rFonts w:ascii="Arial" w:hAnsi="Arial" w:cs="Arial"/>
          <w:sz w:val="18"/>
          <w:szCs w:val="18"/>
          <w:lang w:val="en-IN"/>
        </w:rPr>
      </w:pPr>
      <w:r w:rsidRPr="008C5B0D">
        <w:rPr>
          <w:rFonts w:ascii="Arial" w:hAnsi="Arial" w:cs="Arial"/>
          <w:sz w:val="18"/>
          <w:szCs w:val="18"/>
          <w:lang w:val="en-IN"/>
        </w:rPr>
        <w:t xml:space="preserve">       </w:t>
      </w:r>
      <w:r w:rsidRPr="008C5B0D">
        <w:rPr>
          <w:rFonts w:ascii="Arial" w:hAnsi="Arial" w:cs="Arial"/>
          <w:b/>
          <w:sz w:val="18"/>
          <w:szCs w:val="18"/>
          <w:lang w:val="en-IN"/>
        </w:rPr>
        <w:t>Source</w:t>
      </w:r>
      <w:r w:rsidRPr="008C5B0D">
        <w:rPr>
          <w:rFonts w:ascii="Arial" w:hAnsi="Arial" w:cs="Arial"/>
          <w:sz w:val="18"/>
          <w:szCs w:val="18"/>
          <w:lang w:val="en-IN"/>
        </w:rPr>
        <w:t xml:space="preserve">: </w:t>
      </w:r>
      <w:r w:rsidRPr="008C5B0D">
        <w:rPr>
          <w:rFonts w:ascii="Arial" w:hAnsi="Arial" w:cs="Arial"/>
          <w:i/>
          <w:iCs/>
          <w:sz w:val="18"/>
          <w:szCs w:val="18"/>
          <w:lang w:val="en-IN"/>
        </w:rPr>
        <w:t>Consolidated Financial Statement provided by the company</w:t>
      </w:r>
    </w:p>
    <w:p w14:paraId="16656BA1" w14:textId="1EC9C09D" w:rsidR="00382F20" w:rsidRDefault="00382F20">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2F060D" w:rsidRPr="005C6FC8" w14:paraId="618B29E2" w14:textId="77777777" w:rsidTr="002F060D">
        <w:trPr>
          <w:trHeight w:val="548"/>
        </w:trPr>
        <w:tc>
          <w:tcPr>
            <w:tcW w:w="782" w:type="pct"/>
            <w:shd w:val="clear" w:color="auto" w:fill="002060"/>
            <w:vAlign w:val="center"/>
          </w:tcPr>
          <w:p w14:paraId="7EFA91E5" w14:textId="1BB4DC8B" w:rsidR="002F060D" w:rsidRPr="005C6FC8" w:rsidRDefault="002F060D" w:rsidP="008B6152">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82F20">
              <w:rPr>
                <w:rFonts w:ascii="Arial" w:hAnsi="Arial" w:cs="Arial"/>
                <w:b/>
                <w:sz w:val="22"/>
                <w:szCs w:val="22"/>
              </w:rPr>
              <w:t>C</w:t>
            </w:r>
          </w:p>
        </w:tc>
        <w:tc>
          <w:tcPr>
            <w:tcW w:w="4218" w:type="pct"/>
            <w:shd w:val="clear" w:color="auto" w:fill="DEEAF6" w:themeFill="accent1" w:themeFillTint="33"/>
            <w:vAlign w:val="center"/>
          </w:tcPr>
          <w:p w14:paraId="6DBC07FB" w14:textId="12D5C631" w:rsidR="002F060D" w:rsidRPr="005C6FC8" w:rsidRDefault="002F060D" w:rsidP="008B6152">
            <w:pPr>
              <w:spacing w:after="0" w:line="276" w:lineRule="auto"/>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SHARES OF THE </w:t>
            </w:r>
            <w:r w:rsidRPr="0039670B">
              <w:rPr>
                <w:rFonts w:ascii="Arial" w:hAnsi="Arial" w:cs="Arial"/>
                <w:b/>
                <w:sz w:val="22"/>
                <w:szCs w:val="22"/>
              </w:rPr>
              <w:t>COMPANY</w:t>
            </w:r>
          </w:p>
        </w:tc>
      </w:tr>
    </w:tbl>
    <w:p w14:paraId="0A69269A" w14:textId="77777777" w:rsidR="002F060D" w:rsidRDefault="002F060D" w:rsidP="002F060D">
      <w:pPr>
        <w:pStyle w:val="DefaultText11"/>
        <w:spacing w:after="0" w:line="360" w:lineRule="auto"/>
        <w:jc w:val="both"/>
        <w:rPr>
          <w:rFonts w:ascii="Arial" w:hAnsi="Arial" w:cs="Arial"/>
          <w:b/>
          <w:noProof/>
          <w:sz w:val="22"/>
          <w:szCs w:val="22"/>
        </w:rPr>
      </w:pPr>
    </w:p>
    <w:p w14:paraId="23D8F57E" w14:textId="77777777" w:rsidR="001A36FB" w:rsidRDefault="001A36FB" w:rsidP="00DE2E0C">
      <w:pPr>
        <w:numPr>
          <w:ilvl w:val="0"/>
          <w:numId w:val="9"/>
        </w:numPr>
        <w:pBdr>
          <w:top w:val="nil"/>
          <w:left w:val="nil"/>
          <w:bottom w:val="nil"/>
          <w:right w:val="nil"/>
          <w:between w:val="nil"/>
        </w:pBdr>
        <w:spacing w:line="360" w:lineRule="auto"/>
        <w:ind w:left="426"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00A59F7F" w:rsidR="001A36FB" w:rsidRPr="00B01A8B" w:rsidRDefault="001A36FB" w:rsidP="00A338E9">
      <w:pPr>
        <w:pBdr>
          <w:top w:val="nil"/>
          <w:left w:val="nil"/>
          <w:bottom w:val="nil"/>
          <w:right w:val="nil"/>
          <w:between w:val="nil"/>
        </w:pBdr>
        <w:spacing w:line="360" w:lineRule="auto"/>
        <w:ind w:left="426" w:right="-306"/>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t>
      </w:r>
      <w:r w:rsidR="00BB7D51" w:rsidRPr="0057483E">
        <w:rPr>
          <w:rFonts w:ascii="Arial" w:hAnsi="Arial" w:cs="Arial"/>
          <w:sz w:val="22"/>
          <w:szCs w:val="22"/>
        </w:rPr>
        <w:t xml:space="preserve">we have adopted the most widely used &amp; acceptable approach to calculate the </w:t>
      </w:r>
      <w:r w:rsidR="00BB7D51">
        <w:rPr>
          <w:rFonts w:ascii="Arial" w:hAnsi="Arial" w:cs="Arial"/>
          <w:sz w:val="22"/>
          <w:szCs w:val="22"/>
        </w:rPr>
        <w:t xml:space="preserve">fair value of the equity of </w:t>
      </w:r>
      <w:r w:rsidR="00BB7D51" w:rsidRPr="0057483E">
        <w:rPr>
          <w:rFonts w:ascii="Arial" w:hAnsi="Arial" w:cs="Arial"/>
          <w:sz w:val="22"/>
          <w:szCs w:val="22"/>
        </w:rPr>
        <w:t xml:space="preserve">the Company, which is, </w:t>
      </w:r>
      <w:r w:rsidR="00BB7D51">
        <w:rPr>
          <w:rFonts w:ascii="Arial" w:hAnsi="Arial" w:cs="Arial"/>
          <w:sz w:val="22"/>
          <w:szCs w:val="22"/>
        </w:rPr>
        <w:t>Net Assets Value</w:t>
      </w:r>
      <w:r w:rsidR="00BB7D51" w:rsidRPr="0057483E">
        <w:rPr>
          <w:rFonts w:ascii="Arial" w:hAnsi="Arial" w:cs="Arial"/>
          <w:sz w:val="22"/>
          <w:szCs w:val="22"/>
        </w:rPr>
        <w:t xml:space="preserve"> approach (</w:t>
      </w:r>
      <w:r w:rsidR="00BB7D51">
        <w:rPr>
          <w:rFonts w:ascii="Arial" w:hAnsi="Arial" w:cs="Arial"/>
          <w:sz w:val="22"/>
          <w:szCs w:val="22"/>
        </w:rPr>
        <w:t>Net Worth Model</w:t>
      </w:r>
      <w:r w:rsidR="00BB7D51" w:rsidRPr="0057483E">
        <w:rPr>
          <w:rFonts w:ascii="Arial" w:hAnsi="Arial" w:cs="Arial"/>
          <w:sz w:val="22"/>
          <w:szCs w:val="22"/>
        </w:rPr>
        <w:t>)</w:t>
      </w:r>
      <w:r w:rsidR="00BB7D51">
        <w:rPr>
          <w:rFonts w:ascii="Arial" w:hAnsi="Arial" w:cs="Arial"/>
          <w:sz w:val="22"/>
          <w:szCs w:val="22"/>
        </w:rPr>
        <w:t xml:space="preserve">, </w:t>
      </w:r>
      <w:r w:rsidRPr="00B01A8B">
        <w:rPr>
          <w:rFonts w:ascii="Arial" w:hAnsi="Arial" w:cs="Arial"/>
          <w:sz w:val="22"/>
          <w:szCs w:val="22"/>
          <w:lang w:val="en-IN"/>
        </w:rPr>
        <w:t xml:space="preserve">and the NAV is being considered as the proxy of the </w:t>
      </w:r>
      <w:r w:rsidR="00A338E9">
        <w:rPr>
          <w:rFonts w:ascii="Arial" w:hAnsi="Arial" w:cs="Arial"/>
          <w:sz w:val="22"/>
          <w:szCs w:val="22"/>
          <w:lang w:val="en-IN"/>
        </w:rPr>
        <w:t>Equity V</w:t>
      </w:r>
      <w:r w:rsidRPr="00B01A8B">
        <w:rPr>
          <w:rFonts w:ascii="Arial" w:hAnsi="Arial" w:cs="Arial"/>
          <w:sz w:val="22"/>
          <w:szCs w:val="22"/>
          <w:lang w:val="en-IN"/>
        </w:rPr>
        <w:t xml:space="preserve">alue of M/s </w:t>
      </w:r>
      <w:r w:rsidR="00632E53">
        <w:rPr>
          <w:rFonts w:ascii="Arial" w:hAnsi="Arial" w:cs="Arial"/>
          <w:sz w:val="22"/>
          <w:szCs w:val="22"/>
          <w:lang w:val="en-IN"/>
        </w:rPr>
        <w:t>G. D. Contractors Private Limited</w:t>
      </w:r>
      <w:r w:rsidRPr="00B01A8B">
        <w:rPr>
          <w:rFonts w:ascii="Arial" w:hAnsi="Arial" w:cs="Arial"/>
          <w:sz w:val="22"/>
          <w:szCs w:val="22"/>
          <w:lang w:val="en-IN"/>
        </w:rPr>
        <w:t>:</w:t>
      </w:r>
    </w:p>
    <w:p w14:paraId="7BCEA248" w14:textId="77777777" w:rsidR="001A688B" w:rsidRDefault="001A36FB" w:rsidP="00DE2E0C">
      <w:pPr>
        <w:pStyle w:val="Default"/>
        <w:numPr>
          <w:ilvl w:val="0"/>
          <w:numId w:val="2"/>
        </w:numPr>
        <w:spacing w:after="240" w:line="360" w:lineRule="auto"/>
        <w:ind w:left="851" w:right="-306"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rsidP="00DE2E0C">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rsidP="00DE2E0C">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3D1D2D68" w:rsidR="001A36FB" w:rsidRDefault="001A36FB" w:rsidP="00DE2E0C">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Further, the liabilities of the company will be net off with the Total asset value estimated based on the present scenario.</w:t>
      </w:r>
    </w:p>
    <w:p w14:paraId="3E465F8E" w14:textId="56A730A3" w:rsidR="001A36FB" w:rsidRPr="00A947B8" w:rsidRDefault="00382F20" w:rsidP="00BB7D51">
      <w:pPr>
        <w:pStyle w:val="Default"/>
        <w:spacing w:line="360" w:lineRule="auto"/>
        <w:ind w:left="426" w:right="-306"/>
        <w:jc w:val="both"/>
        <w:rPr>
          <w:sz w:val="22"/>
          <w:szCs w:val="22"/>
        </w:rPr>
      </w:pPr>
      <w:r>
        <w:rPr>
          <w:b/>
          <w:sz w:val="22"/>
          <w:szCs w:val="22"/>
        </w:rPr>
        <w:t xml:space="preserve">For </w:t>
      </w:r>
      <w:r w:rsidR="00441C26">
        <w:rPr>
          <w:b/>
          <w:sz w:val="22"/>
          <w:szCs w:val="22"/>
        </w:rPr>
        <w:t xml:space="preserve">Financial and Current Assets: </w:t>
      </w:r>
      <w:r w:rsidR="001A36FB" w:rsidRPr="00441C26">
        <w:rPr>
          <w:bCs/>
          <w:sz w:val="22"/>
          <w:szCs w:val="22"/>
        </w:rPr>
        <w:t xml:space="preserve">Gathering of Information on high level breakup of each head of </w:t>
      </w:r>
      <w:r w:rsidR="007642CE" w:rsidRPr="00441C26">
        <w:rPr>
          <w:bCs/>
          <w:sz w:val="22"/>
          <w:szCs w:val="22"/>
        </w:rPr>
        <w:t xml:space="preserve">Financial </w:t>
      </w:r>
      <w:r w:rsidR="001A36FB" w:rsidRPr="00441C26">
        <w:rPr>
          <w:bCs/>
          <w:sz w:val="22"/>
          <w:szCs w:val="22"/>
        </w:rPr>
        <w:t>and Current Assets for assessment (as per RKA Format).</w:t>
      </w:r>
    </w:p>
    <w:p w14:paraId="62F6CE69" w14:textId="77777777" w:rsidR="001A688B" w:rsidRPr="00A947B8" w:rsidRDefault="001A36FB" w:rsidP="00DE2E0C">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A947B8" w:rsidRDefault="001A36FB" w:rsidP="00DE2E0C">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Final assessment as per the data /information available on record.</w:t>
      </w:r>
    </w:p>
    <w:p w14:paraId="3D11470C" w14:textId="250B87EB" w:rsidR="001A36FB" w:rsidRPr="00A947B8" w:rsidRDefault="001A36FB" w:rsidP="00BB7D51">
      <w:pPr>
        <w:autoSpaceDE w:val="0"/>
        <w:autoSpaceDN w:val="0"/>
        <w:adjustRightInd w:val="0"/>
        <w:spacing w:before="240" w:line="360" w:lineRule="auto"/>
        <w:ind w:left="426" w:right="-306"/>
        <w:jc w:val="both"/>
        <w:rPr>
          <w:rFonts w:ascii="Arial" w:hAnsi="Arial" w:cs="Arial"/>
          <w:b/>
          <w:sz w:val="22"/>
          <w:szCs w:val="22"/>
          <w:lang w:val="en-IN"/>
        </w:rPr>
      </w:pPr>
      <w:r w:rsidRPr="00A947B8">
        <w:rPr>
          <w:rFonts w:ascii="Arial" w:hAnsi="Arial" w:cs="Arial"/>
          <w:b/>
          <w:sz w:val="22"/>
          <w:szCs w:val="22"/>
          <w:lang w:val="en-IN"/>
        </w:rPr>
        <w:t>Note</w:t>
      </w:r>
      <w:r w:rsidR="001A688B" w:rsidRPr="00A947B8">
        <w:rPr>
          <w:rFonts w:ascii="Arial" w:hAnsi="Arial" w:cs="Arial"/>
          <w:b/>
          <w:sz w:val="22"/>
          <w:szCs w:val="22"/>
          <w:lang w:val="en-IN"/>
        </w:rPr>
        <w:t>s</w:t>
      </w:r>
      <w:r w:rsidRPr="00A947B8">
        <w:rPr>
          <w:rFonts w:ascii="Arial" w:hAnsi="Arial" w:cs="Arial"/>
          <w:b/>
          <w:sz w:val="22"/>
          <w:szCs w:val="22"/>
          <w:lang w:val="en-IN"/>
        </w:rPr>
        <w:t>:</w:t>
      </w:r>
    </w:p>
    <w:p w14:paraId="3EE6F474" w14:textId="3F87CF70" w:rsidR="001A688B" w:rsidRPr="00A947B8" w:rsidRDefault="001A36FB" w:rsidP="00DE2E0C">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There is no a fixed criterion, formula or norm for the Valuation of Current Assets. It is purely based on the individual assessment and may differ from consultant to consultant based on the practicality he analyses in recoveries of the outstanding dues. Ultimate recovery depends on efforts, extensive follow-ups of the individual case by the company. </w:t>
      </w:r>
      <w:r w:rsidR="002E3CDA" w:rsidRPr="00A947B8">
        <w:rPr>
          <w:rFonts w:ascii="Arial" w:hAnsi="Arial" w:cs="Arial"/>
          <w:i/>
          <w:sz w:val="22"/>
          <w:szCs w:val="22"/>
          <w:lang w:val="en-IN"/>
        </w:rPr>
        <w:t>So,</w:t>
      </w:r>
      <w:r w:rsidRPr="00A947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008602D9" w14:textId="77777777" w:rsidR="001A688B" w:rsidRPr="00A947B8" w:rsidRDefault="001A36FB" w:rsidP="00DE2E0C">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No audit of any kind is performed by us at our end from the books of account or ledger statements. All the data/ information/ input/ details provided to us by the company/ </w:t>
      </w:r>
      <w:r w:rsidRPr="00A947B8">
        <w:rPr>
          <w:rFonts w:ascii="Arial" w:hAnsi="Arial" w:cs="Arial"/>
          <w:i/>
          <w:sz w:val="22"/>
          <w:szCs w:val="22"/>
          <w:lang w:val="en-IN"/>
        </w:rPr>
        <w:lastRenderedPageBreak/>
        <w:t>lenders are taken by us as-it-is on good faith and assumed that that these are factually correct information.</w:t>
      </w:r>
    </w:p>
    <w:p w14:paraId="7CC98373" w14:textId="24C80695" w:rsidR="00C608CB" w:rsidRPr="00A947B8" w:rsidRDefault="001A36FB" w:rsidP="00DE2E0C">
      <w:pPr>
        <w:pStyle w:val="ListParagraph"/>
        <w:numPr>
          <w:ilvl w:val="0"/>
          <w:numId w:val="8"/>
        </w:numPr>
        <w:autoSpaceDE w:val="0"/>
        <w:autoSpaceDN w:val="0"/>
        <w:adjustRightInd w:val="0"/>
        <w:spacing w:after="0" w:line="360" w:lineRule="auto"/>
        <w:ind w:left="851" w:right="-306" w:hanging="426"/>
        <w:jc w:val="both"/>
        <w:rPr>
          <w:rFonts w:ascii="Arial" w:hAnsi="Arial" w:cs="Arial"/>
          <w:i/>
          <w:sz w:val="22"/>
          <w:szCs w:val="22"/>
          <w:lang w:val="en-IN"/>
        </w:rPr>
      </w:pPr>
      <w:r w:rsidRPr="00A947B8">
        <w:rPr>
          <w:rFonts w:ascii="Arial" w:hAnsi="Arial" w:cs="Arial"/>
          <w:i/>
          <w:sz w:val="22"/>
        </w:rPr>
        <w:t xml:space="preserve">This is a general assessment of the estimated fair value of the current assets based on the data/ input/ Information Company/ lenders could provide to us against our questions/ queries. In no </w:t>
      </w:r>
      <w:r w:rsidRPr="00BB7D51">
        <w:rPr>
          <w:rFonts w:ascii="Arial" w:hAnsi="Arial" w:cs="Arial"/>
          <w:i/>
          <w:sz w:val="22"/>
          <w:szCs w:val="22"/>
          <w:lang w:val="en-IN"/>
        </w:rPr>
        <w:t>manner</w:t>
      </w:r>
      <w:r w:rsidRPr="00A947B8">
        <w:rPr>
          <w:rFonts w:ascii="Arial" w:hAnsi="Arial" w:cs="Arial"/>
          <w:i/>
          <w:sz w:val="22"/>
        </w:rPr>
        <w:t xml:space="preserve"> this should be regarded as an audit activity/ report and NO micro analysis or detailed or forensic audit/ scrutiny of the financial transactions or accounts of any kind has been carried out at our end.</w:t>
      </w:r>
    </w:p>
    <w:p w14:paraId="50A72B76" w14:textId="77777777" w:rsidR="002001E9" w:rsidRPr="002001E9" w:rsidRDefault="002001E9" w:rsidP="002001E9">
      <w:pPr>
        <w:pStyle w:val="ListParagraph"/>
        <w:autoSpaceDE w:val="0"/>
        <w:autoSpaceDN w:val="0"/>
        <w:adjustRightInd w:val="0"/>
        <w:spacing w:after="0" w:line="360" w:lineRule="auto"/>
        <w:ind w:left="284" w:right="-472"/>
        <w:jc w:val="both"/>
        <w:rPr>
          <w:rFonts w:ascii="Arial" w:hAnsi="Arial" w:cs="Arial"/>
          <w:iCs/>
          <w:sz w:val="22"/>
          <w:szCs w:val="22"/>
          <w:highlight w:val="yellow"/>
          <w:lang w:val="en-IN"/>
        </w:rPr>
      </w:pPr>
    </w:p>
    <w:p w14:paraId="29B50008" w14:textId="3C578B1C" w:rsidR="00C608CB" w:rsidRPr="0077108A" w:rsidRDefault="00C608CB" w:rsidP="00DE2E0C">
      <w:pPr>
        <w:numPr>
          <w:ilvl w:val="0"/>
          <w:numId w:val="9"/>
        </w:numPr>
        <w:pBdr>
          <w:top w:val="nil"/>
          <w:left w:val="nil"/>
          <w:bottom w:val="nil"/>
          <w:right w:val="nil"/>
          <w:between w:val="nil"/>
        </w:pBdr>
        <w:spacing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0BEE6269" w:rsidR="0077108A" w:rsidRDefault="0077108A" w:rsidP="00E559FA">
      <w:pPr>
        <w:pBdr>
          <w:top w:val="nil"/>
          <w:left w:val="nil"/>
          <w:bottom w:val="nil"/>
          <w:right w:val="nil"/>
          <w:between w:val="nil"/>
        </w:pBdr>
        <w:spacing w:after="0" w:line="240" w:lineRule="auto"/>
        <w:ind w:right="-306"/>
        <w:jc w:val="right"/>
        <w:rPr>
          <w:rFonts w:ascii="Arial" w:hAnsi="Arial" w:cs="Arial"/>
          <w:bCs/>
          <w:i/>
          <w:iCs/>
          <w:sz w:val="20"/>
          <w:szCs w:val="20"/>
          <w:lang w:val="en-IN"/>
        </w:rPr>
      </w:pPr>
      <w:r w:rsidRPr="00E846AF">
        <w:rPr>
          <w:rFonts w:ascii="Arial" w:hAnsi="Arial" w:cs="Arial"/>
          <w:bCs/>
          <w:i/>
          <w:iCs/>
          <w:sz w:val="20"/>
          <w:szCs w:val="20"/>
          <w:lang w:val="en-IN"/>
        </w:rPr>
        <w:t>(Value in INR</w:t>
      </w:r>
      <w:r w:rsidR="00441C26">
        <w:rPr>
          <w:rFonts w:ascii="Arial" w:hAnsi="Arial" w:cs="Arial"/>
          <w:bCs/>
          <w:i/>
          <w:iCs/>
          <w:sz w:val="20"/>
          <w:szCs w:val="20"/>
          <w:lang w:val="en-IN"/>
        </w:rPr>
        <w:t xml:space="preserve"> Thousands</w:t>
      </w:r>
      <w:r w:rsidRPr="00E846AF">
        <w:rPr>
          <w:rFonts w:ascii="Arial" w:hAnsi="Arial" w:cs="Arial"/>
          <w:bCs/>
          <w:i/>
          <w:iCs/>
          <w:sz w:val="20"/>
          <w:szCs w:val="20"/>
          <w:lang w:val="en-I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486"/>
        <w:gridCol w:w="1985"/>
      </w:tblGrid>
      <w:tr w:rsidR="00581D72" w:rsidRPr="00581D72" w14:paraId="3C6B5E7D" w14:textId="77777777" w:rsidTr="00E559FA">
        <w:trPr>
          <w:trHeight w:val="600"/>
        </w:trPr>
        <w:tc>
          <w:tcPr>
            <w:tcW w:w="4880" w:type="dxa"/>
            <w:shd w:val="clear" w:color="auto" w:fill="002060"/>
            <w:noWrap/>
            <w:vAlign w:val="center"/>
            <w:hideMark/>
          </w:tcPr>
          <w:p w14:paraId="3AD9EBFC" w14:textId="77777777" w:rsidR="00581D72" w:rsidRPr="00581D72" w:rsidRDefault="00581D72" w:rsidP="00632E53">
            <w:pPr>
              <w:spacing w:after="0" w:line="276" w:lineRule="auto"/>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Assets</w:t>
            </w:r>
          </w:p>
        </w:tc>
        <w:tc>
          <w:tcPr>
            <w:tcW w:w="2486" w:type="dxa"/>
            <w:shd w:val="clear" w:color="auto" w:fill="002060"/>
            <w:vAlign w:val="center"/>
            <w:hideMark/>
          </w:tcPr>
          <w:p w14:paraId="553EF7D1"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Amount as on 31st March 2024</w:t>
            </w:r>
          </w:p>
        </w:tc>
        <w:tc>
          <w:tcPr>
            <w:tcW w:w="1985" w:type="dxa"/>
            <w:shd w:val="clear" w:color="auto" w:fill="002060"/>
            <w:vAlign w:val="center"/>
            <w:hideMark/>
          </w:tcPr>
          <w:p w14:paraId="6BB5E6FD"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Fair Market Value</w:t>
            </w:r>
          </w:p>
        </w:tc>
      </w:tr>
      <w:tr w:rsidR="00581D72" w:rsidRPr="00581D72" w14:paraId="23F1A175" w14:textId="77777777" w:rsidTr="00E559FA">
        <w:trPr>
          <w:trHeight w:val="300"/>
        </w:trPr>
        <w:tc>
          <w:tcPr>
            <w:tcW w:w="4880" w:type="dxa"/>
            <w:shd w:val="clear" w:color="auto" w:fill="auto"/>
            <w:noWrap/>
            <w:vAlign w:val="center"/>
            <w:hideMark/>
          </w:tcPr>
          <w:p w14:paraId="7E14AE82"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Assets</w:t>
            </w:r>
          </w:p>
        </w:tc>
        <w:tc>
          <w:tcPr>
            <w:tcW w:w="2486" w:type="dxa"/>
            <w:shd w:val="clear" w:color="auto" w:fill="auto"/>
            <w:noWrap/>
            <w:vAlign w:val="center"/>
            <w:hideMark/>
          </w:tcPr>
          <w:p w14:paraId="7A77ADE7"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5C5780B6" w14:textId="77777777" w:rsidR="00581D72" w:rsidRPr="00581D72" w:rsidRDefault="00581D72" w:rsidP="00632E53">
            <w:pPr>
              <w:spacing w:after="0" w:line="276" w:lineRule="auto"/>
              <w:jc w:val="center"/>
              <w:rPr>
                <w:sz w:val="20"/>
                <w:szCs w:val="20"/>
                <w:lang w:val="en-IN" w:eastAsia="en-IN"/>
              </w:rPr>
            </w:pPr>
          </w:p>
        </w:tc>
      </w:tr>
      <w:tr w:rsidR="008933F4" w:rsidRPr="00581D72" w14:paraId="245F1ABB" w14:textId="77777777" w:rsidTr="008933F4">
        <w:trPr>
          <w:trHeight w:val="300"/>
        </w:trPr>
        <w:tc>
          <w:tcPr>
            <w:tcW w:w="4880" w:type="dxa"/>
            <w:shd w:val="clear" w:color="auto" w:fill="auto"/>
            <w:noWrap/>
            <w:vAlign w:val="bottom"/>
          </w:tcPr>
          <w:p w14:paraId="09C64F7F" w14:textId="70E5F259"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color w:val="000000"/>
                <w:sz w:val="22"/>
                <w:szCs w:val="22"/>
              </w:rPr>
              <w:t>Property, Plant &amp; Equipment</w:t>
            </w:r>
          </w:p>
        </w:tc>
        <w:tc>
          <w:tcPr>
            <w:tcW w:w="2486" w:type="dxa"/>
            <w:shd w:val="clear" w:color="auto" w:fill="auto"/>
            <w:noWrap/>
            <w:vAlign w:val="center"/>
          </w:tcPr>
          <w:p w14:paraId="17E47DFA" w14:textId="67BB7DA0"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color w:val="000000"/>
                <w:sz w:val="22"/>
                <w:szCs w:val="22"/>
              </w:rPr>
              <w:t>49.63</w:t>
            </w:r>
          </w:p>
        </w:tc>
        <w:tc>
          <w:tcPr>
            <w:tcW w:w="1985" w:type="dxa"/>
            <w:shd w:val="clear" w:color="auto" w:fill="auto"/>
            <w:noWrap/>
            <w:vAlign w:val="center"/>
          </w:tcPr>
          <w:p w14:paraId="33C19432" w14:textId="24694074" w:rsidR="008933F4" w:rsidRPr="00581D72" w:rsidRDefault="008933F4" w:rsidP="008933F4">
            <w:pPr>
              <w:spacing w:after="0" w:line="276" w:lineRule="auto"/>
              <w:jc w:val="center"/>
              <w:rPr>
                <w:sz w:val="20"/>
                <w:szCs w:val="20"/>
                <w:lang w:val="en-IN" w:eastAsia="en-IN"/>
              </w:rPr>
            </w:pPr>
            <w:r>
              <w:rPr>
                <w:rFonts w:ascii="Calibri" w:hAnsi="Calibri" w:cs="Calibri"/>
                <w:color w:val="000000"/>
                <w:sz w:val="22"/>
                <w:szCs w:val="22"/>
              </w:rPr>
              <w:t>27.39</w:t>
            </w:r>
          </w:p>
        </w:tc>
      </w:tr>
      <w:tr w:rsidR="008933F4" w:rsidRPr="00581D72" w14:paraId="25A44C19" w14:textId="77777777" w:rsidTr="008933F4">
        <w:trPr>
          <w:trHeight w:val="300"/>
        </w:trPr>
        <w:tc>
          <w:tcPr>
            <w:tcW w:w="4880" w:type="dxa"/>
            <w:shd w:val="clear" w:color="auto" w:fill="auto"/>
            <w:noWrap/>
            <w:vAlign w:val="bottom"/>
            <w:hideMark/>
          </w:tcPr>
          <w:p w14:paraId="07CBC918" w14:textId="54BA87A5"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Non-Current Investments</w:t>
            </w:r>
          </w:p>
        </w:tc>
        <w:tc>
          <w:tcPr>
            <w:tcW w:w="2486" w:type="dxa"/>
            <w:shd w:val="clear" w:color="auto" w:fill="auto"/>
            <w:noWrap/>
            <w:vAlign w:val="center"/>
            <w:hideMark/>
          </w:tcPr>
          <w:p w14:paraId="2FEE4B0D" w14:textId="74FFB578"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3,795.45</w:t>
            </w:r>
          </w:p>
        </w:tc>
        <w:tc>
          <w:tcPr>
            <w:tcW w:w="1985" w:type="dxa"/>
            <w:shd w:val="clear" w:color="auto" w:fill="auto"/>
            <w:noWrap/>
            <w:vAlign w:val="center"/>
            <w:hideMark/>
          </w:tcPr>
          <w:p w14:paraId="63C20770" w14:textId="7A8E77FA"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51,837.45</w:t>
            </w:r>
          </w:p>
        </w:tc>
      </w:tr>
      <w:tr w:rsidR="008933F4" w:rsidRPr="00581D72" w14:paraId="16660977" w14:textId="77777777" w:rsidTr="008933F4">
        <w:trPr>
          <w:trHeight w:val="300"/>
        </w:trPr>
        <w:tc>
          <w:tcPr>
            <w:tcW w:w="4880" w:type="dxa"/>
            <w:shd w:val="clear" w:color="auto" w:fill="auto"/>
            <w:noWrap/>
            <w:vAlign w:val="bottom"/>
            <w:hideMark/>
          </w:tcPr>
          <w:p w14:paraId="2B0830F4" w14:textId="22D5A1B5"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Deferred Tax Assets</w:t>
            </w:r>
          </w:p>
        </w:tc>
        <w:tc>
          <w:tcPr>
            <w:tcW w:w="2486" w:type="dxa"/>
            <w:shd w:val="clear" w:color="auto" w:fill="auto"/>
            <w:noWrap/>
            <w:vAlign w:val="center"/>
            <w:hideMark/>
          </w:tcPr>
          <w:p w14:paraId="744ABA42" w14:textId="598C1CE0"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325.37</w:t>
            </w:r>
          </w:p>
        </w:tc>
        <w:tc>
          <w:tcPr>
            <w:tcW w:w="1985" w:type="dxa"/>
            <w:shd w:val="clear" w:color="auto" w:fill="auto"/>
            <w:noWrap/>
            <w:vAlign w:val="center"/>
            <w:hideMark/>
          </w:tcPr>
          <w:p w14:paraId="71D869F6" w14:textId="28F7769F"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325.37</w:t>
            </w:r>
          </w:p>
        </w:tc>
      </w:tr>
      <w:tr w:rsidR="008933F4" w:rsidRPr="00581D72" w14:paraId="24FEDC0C" w14:textId="77777777" w:rsidTr="008933F4">
        <w:trPr>
          <w:trHeight w:val="300"/>
        </w:trPr>
        <w:tc>
          <w:tcPr>
            <w:tcW w:w="4880" w:type="dxa"/>
            <w:shd w:val="clear" w:color="000000" w:fill="DDEBF7"/>
            <w:noWrap/>
            <w:vAlign w:val="bottom"/>
            <w:hideMark/>
          </w:tcPr>
          <w:p w14:paraId="6385E0E3" w14:textId="12F1D0E4"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Non-Current Assets</w:t>
            </w:r>
          </w:p>
        </w:tc>
        <w:tc>
          <w:tcPr>
            <w:tcW w:w="2486" w:type="dxa"/>
            <w:shd w:val="clear" w:color="000000" w:fill="DDEBF7"/>
            <w:noWrap/>
            <w:vAlign w:val="center"/>
            <w:hideMark/>
          </w:tcPr>
          <w:p w14:paraId="22114952" w14:textId="6BA4CC77"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4,120.82</w:t>
            </w:r>
          </w:p>
        </w:tc>
        <w:tc>
          <w:tcPr>
            <w:tcW w:w="1985" w:type="dxa"/>
            <w:shd w:val="clear" w:color="000000" w:fill="DDEBF7"/>
            <w:noWrap/>
            <w:vAlign w:val="center"/>
            <w:hideMark/>
          </w:tcPr>
          <w:p w14:paraId="0C369500" w14:textId="4BDCAF2A" w:rsidR="008933F4" w:rsidRPr="008933F4" w:rsidRDefault="008933F4" w:rsidP="008933F4">
            <w:pPr>
              <w:spacing w:after="0" w:line="276" w:lineRule="auto"/>
              <w:jc w:val="center"/>
              <w:rPr>
                <w:rFonts w:ascii="Calibri" w:hAnsi="Calibri" w:cs="Calibri"/>
                <w:b/>
                <w:bCs/>
                <w:color w:val="000000"/>
                <w:sz w:val="22"/>
                <w:szCs w:val="22"/>
                <w:lang w:val="en-IN" w:eastAsia="en-IN"/>
              </w:rPr>
            </w:pPr>
            <w:r w:rsidRPr="008933F4">
              <w:rPr>
                <w:rFonts w:ascii="Calibri" w:hAnsi="Calibri" w:cs="Calibri"/>
                <w:b/>
                <w:bCs/>
                <w:color w:val="000000"/>
                <w:sz w:val="22"/>
                <w:szCs w:val="22"/>
              </w:rPr>
              <w:t>52,162.82</w:t>
            </w:r>
          </w:p>
        </w:tc>
      </w:tr>
      <w:tr w:rsidR="00581D72" w:rsidRPr="00581D72" w14:paraId="7D46D63F" w14:textId="77777777" w:rsidTr="00E559FA">
        <w:trPr>
          <w:trHeight w:val="300"/>
        </w:trPr>
        <w:tc>
          <w:tcPr>
            <w:tcW w:w="4880" w:type="dxa"/>
            <w:shd w:val="clear" w:color="auto" w:fill="auto"/>
            <w:noWrap/>
            <w:vAlign w:val="center"/>
            <w:hideMark/>
          </w:tcPr>
          <w:p w14:paraId="3697875F"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Assets</w:t>
            </w:r>
          </w:p>
        </w:tc>
        <w:tc>
          <w:tcPr>
            <w:tcW w:w="2486" w:type="dxa"/>
            <w:shd w:val="clear" w:color="auto" w:fill="auto"/>
            <w:noWrap/>
            <w:vAlign w:val="center"/>
            <w:hideMark/>
          </w:tcPr>
          <w:p w14:paraId="6E3121A6"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DE4CAD9" w14:textId="77777777" w:rsidR="00581D72" w:rsidRPr="00581D72" w:rsidRDefault="00581D72" w:rsidP="00632E53">
            <w:pPr>
              <w:spacing w:after="0" w:line="276" w:lineRule="auto"/>
              <w:jc w:val="center"/>
              <w:rPr>
                <w:sz w:val="20"/>
                <w:szCs w:val="20"/>
                <w:lang w:val="en-IN" w:eastAsia="en-IN"/>
              </w:rPr>
            </w:pPr>
          </w:p>
        </w:tc>
      </w:tr>
      <w:tr w:rsidR="008933F4" w:rsidRPr="00581D72" w14:paraId="50A1D37C" w14:textId="77777777" w:rsidTr="008933F4">
        <w:trPr>
          <w:trHeight w:val="300"/>
        </w:trPr>
        <w:tc>
          <w:tcPr>
            <w:tcW w:w="4880" w:type="dxa"/>
            <w:shd w:val="clear" w:color="auto" w:fill="auto"/>
            <w:noWrap/>
            <w:vAlign w:val="bottom"/>
            <w:hideMark/>
          </w:tcPr>
          <w:p w14:paraId="219632FD" w14:textId="6DC81EFB"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Cash and cash equivalents</w:t>
            </w:r>
          </w:p>
        </w:tc>
        <w:tc>
          <w:tcPr>
            <w:tcW w:w="2486" w:type="dxa"/>
            <w:shd w:val="clear" w:color="auto" w:fill="auto"/>
            <w:noWrap/>
            <w:vAlign w:val="center"/>
            <w:hideMark/>
          </w:tcPr>
          <w:p w14:paraId="1A2ED061" w14:textId="3EA384F6"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783.62</w:t>
            </w:r>
          </w:p>
        </w:tc>
        <w:tc>
          <w:tcPr>
            <w:tcW w:w="1985" w:type="dxa"/>
            <w:shd w:val="clear" w:color="auto" w:fill="auto"/>
            <w:noWrap/>
            <w:vAlign w:val="center"/>
            <w:hideMark/>
          </w:tcPr>
          <w:p w14:paraId="10FCE31F" w14:textId="04C183CE"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783.62</w:t>
            </w:r>
          </w:p>
        </w:tc>
      </w:tr>
      <w:tr w:rsidR="008933F4" w:rsidRPr="00581D72" w14:paraId="6890E351" w14:textId="77777777" w:rsidTr="008933F4">
        <w:trPr>
          <w:trHeight w:val="300"/>
        </w:trPr>
        <w:tc>
          <w:tcPr>
            <w:tcW w:w="4880" w:type="dxa"/>
            <w:shd w:val="clear" w:color="auto" w:fill="auto"/>
            <w:noWrap/>
            <w:vAlign w:val="bottom"/>
            <w:hideMark/>
          </w:tcPr>
          <w:p w14:paraId="6B3B10DD" w14:textId="14113B72"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Short term loans and advances</w:t>
            </w:r>
          </w:p>
        </w:tc>
        <w:tc>
          <w:tcPr>
            <w:tcW w:w="2486" w:type="dxa"/>
            <w:shd w:val="clear" w:color="auto" w:fill="auto"/>
            <w:noWrap/>
            <w:vAlign w:val="center"/>
            <w:hideMark/>
          </w:tcPr>
          <w:p w14:paraId="5402DFCD" w14:textId="3D3FCD76"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2,107.87</w:t>
            </w:r>
          </w:p>
        </w:tc>
        <w:tc>
          <w:tcPr>
            <w:tcW w:w="1985" w:type="dxa"/>
            <w:shd w:val="clear" w:color="auto" w:fill="auto"/>
            <w:noWrap/>
            <w:vAlign w:val="center"/>
            <w:hideMark/>
          </w:tcPr>
          <w:p w14:paraId="0D509C82" w14:textId="4717A10E"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2,107.87</w:t>
            </w:r>
          </w:p>
        </w:tc>
      </w:tr>
      <w:tr w:rsidR="008933F4" w:rsidRPr="00581D72" w14:paraId="51560716" w14:textId="77777777" w:rsidTr="008933F4">
        <w:trPr>
          <w:trHeight w:val="300"/>
        </w:trPr>
        <w:tc>
          <w:tcPr>
            <w:tcW w:w="4880" w:type="dxa"/>
            <w:shd w:val="clear" w:color="auto" w:fill="auto"/>
            <w:noWrap/>
            <w:vAlign w:val="bottom"/>
            <w:hideMark/>
          </w:tcPr>
          <w:p w14:paraId="196D8E31" w14:textId="6F6569CE" w:rsidR="008933F4" w:rsidRPr="00581D72" w:rsidRDefault="008933F4" w:rsidP="008933F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Current Assets</w:t>
            </w:r>
          </w:p>
        </w:tc>
        <w:tc>
          <w:tcPr>
            <w:tcW w:w="2486" w:type="dxa"/>
            <w:shd w:val="clear" w:color="auto" w:fill="auto"/>
            <w:noWrap/>
            <w:vAlign w:val="center"/>
            <w:hideMark/>
          </w:tcPr>
          <w:p w14:paraId="1AF4B9A1" w14:textId="67D0A80F"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11.39</w:t>
            </w:r>
          </w:p>
        </w:tc>
        <w:tc>
          <w:tcPr>
            <w:tcW w:w="1985" w:type="dxa"/>
            <w:shd w:val="clear" w:color="auto" w:fill="auto"/>
            <w:noWrap/>
            <w:vAlign w:val="center"/>
            <w:hideMark/>
          </w:tcPr>
          <w:p w14:paraId="3982286F" w14:textId="0A424548" w:rsidR="008933F4" w:rsidRPr="00581D72" w:rsidRDefault="008933F4" w:rsidP="008933F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11.39</w:t>
            </w:r>
          </w:p>
        </w:tc>
      </w:tr>
      <w:tr w:rsidR="008933F4" w:rsidRPr="00581D72" w14:paraId="2FFB6A74" w14:textId="77777777" w:rsidTr="008933F4">
        <w:trPr>
          <w:trHeight w:val="300"/>
        </w:trPr>
        <w:tc>
          <w:tcPr>
            <w:tcW w:w="4880" w:type="dxa"/>
            <w:shd w:val="clear" w:color="000000" w:fill="DDEBF7"/>
            <w:noWrap/>
            <w:vAlign w:val="bottom"/>
            <w:hideMark/>
          </w:tcPr>
          <w:p w14:paraId="6C5AABE2" w14:textId="3708DBF0"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Current Assets</w:t>
            </w:r>
          </w:p>
        </w:tc>
        <w:tc>
          <w:tcPr>
            <w:tcW w:w="2486" w:type="dxa"/>
            <w:shd w:val="clear" w:color="000000" w:fill="DDEBF7"/>
            <w:noWrap/>
            <w:vAlign w:val="center"/>
            <w:hideMark/>
          </w:tcPr>
          <w:p w14:paraId="6D80F595" w14:textId="6F294CDD"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2,902.88</w:t>
            </w:r>
          </w:p>
        </w:tc>
        <w:tc>
          <w:tcPr>
            <w:tcW w:w="1985" w:type="dxa"/>
            <w:shd w:val="clear" w:color="000000" w:fill="DDEBF7"/>
            <w:noWrap/>
            <w:vAlign w:val="center"/>
            <w:hideMark/>
          </w:tcPr>
          <w:p w14:paraId="075A5855" w14:textId="65B8E893"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2,902.88</w:t>
            </w:r>
          </w:p>
        </w:tc>
      </w:tr>
      <w:tr w:rsidR="008933F4" w:rsidRPr="00581D72" w14:paraId="6E08AC52" w14:textId="77777777" w:rsidTr="008933F4">
        <w:trPr>
          <w:trHeight w:val="300"/>
        </w:trPr>
        <w:tc>
          <w:tcPr>
            <w:tcW w:w="4880" w:type="dxa"/>
            <w:shd w:val="clear" w:color="000000" w:fill="DDEBF7"/>
            <w:noWrap/>
            <w:vAlign w:val="bottom"/>
            <w:hideMark/>
          </w:tcPr>
          <w:p w14:paraId="5B2FB91C" w14:textId="42FBC335" w:rsidR="008933F4" w:rsidRPr="00581D72" w:rsidRDefault="008933F4" w:rsidP="008933F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Assets</w:t>
            </w:r>
          </w:p>
        </w:tc>
        <w:tc>
          <w:tcPr>
            <w:tcW w:w="2486" w:type="dxa"/>
            <w:shd w:val="clear" w:color="000000" w:fill="DDEBF7"/>
            <w:noWrap/>
            <w:vAlign w:val="center"/>
            <w:hideMark/>
          </w:tcPr>
          <w:p w14:paraId="50DD4043" w14:textId="605C6A1B"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7,023.70</w:t>
            </w:r>
          </w:p>
        </w:tc>
        <w:tc>
          <w:tcPr>
            <w:tcW w:w="1985" w:type="dxa"/>
            <w:shd w:val="clear" w:color="000000" w:fill="DDEBF7"/>
            <w:noWrap/>
            <w:vAlign w:val="center"/>
            <w:hideMark/>
          </w:tcPr>
          <w:p w14:paraId="52F7230E" w14:textId="1DE2FE18" w:rsidR="008933F4" w:rsidRPr="00581D72" w:rsidRDefault="008933F4" w:rsidP="008933F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55,065.70</w:t>
            </w:r>
          </w:p>
        </w:tc>
      </w:tr>
      <w:tr w:rsidR="00581D72" w:rsidRPr="00581D72" w14:paraId="3908D451" w14:textId="77777777" w:rsidTr="00E559FA">
        <w:trPr>
          <w:trHeight w:val="300"/>
        </w:trPr>
        <w:tc>
          <w:tcPr>
            <w:tcW w:w="4880" w:type="dxa"/>
            <w:shd w:val="clear" w:color="auto" w:fill="auto"/>
            <w:noWrap/>
            <w:vAlign w:val="center"/>
            <w:hideMark/>
          </w:tcPr>
          <w:p w14:paraId="57A24ED3"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Liabilities</w:t>
            </w:r>
          </w:p>
        </w:tc>
        <w:tc>
          <w:tcPr>
            <w:tcW w:w="2486" w:type="dxa"/>
            <w:shd w:val="clear" w:color="auto" w:fill="auto"/>
            <w:noWrap/>
            <w:vAlign w:val="center"/>
            <w:hideMark/>
          </w:tcPr>
          <w:p w14:paraId="08B6E413"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B586432" w14:textId="77777777" w:rsidR="00581D72" w:rsidRPr="00581D72" w:rsidRDefault="00581D72" w:rsidP="00632E53">
            <w:pPr>
              <w:spacing w:after="0" w:line="276" w:lineRule="auto"/>
              <w:jc w:val="center"/>
              <w:rPr>
                <w:sz w:val="20"/>
                <w:szCs w:val="20"/>
                <w:lang w:val="en-IN" w:eastAsia="en-IN"/>
              </w:rPr>
            </w:pPr>
          </w:p>
        </w:tc>
      </w:tr>
      <w:tr w:rsidR="00581D72" w:rsidRPr="00581D72" w14:paraId="378E0F3D" w14:textId="77777777" w:rsidTr="00E559FA">
        <w:trPr>
          <w:trHeight w:val="300"/>
        </w:trPr>
        <w:tc>
          <w:tcPr>
            <w:tcW w:w="4880" w:type="dxa"/>
            <w:shd w:val="clear" w:color="auto" w:fill="auto"/>
            <w:noWrap/>
            <w:vAlign w:val="center"/>
            <w:hideMark/>
          </w:tcPr>
          <w:p w14:paraId="22C5EE89" w14:textId="2538A914"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Liabilities</w:t>
            </w:r>
          </w:p>
        </w:tc>
        <w:tc>
          <w:tcPr>
            <w:tcW w:w="2486" w:type="dxa"/>
            <w:shd w:val="clear" w:color="auto" w:fill="auto"/>
            <w:noWrap/>
            <w:vAlign w:val="center"/>
            <w:hideMark/>
          </w:tcPr>
          <w:p w14:paraId="1E5CBFB5"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7335699" w14:textId="77777777" w:rsidR="00581D72" w:rsidRPr="00581D72" w:rsidRDefault="00581D72" w:rsidP="00632E53">
            <w:pPr>
              <w:spacing w:after="0" w:line="276" w:lineRule="auto"/>
              <w:jc w:val="center"/>
              <w:rPr>
                <w:sz w:val="20"/>
                <w:szCs w:val="20"/>
                <w:lang w:val="en-IN" w:eastAsia="en-IN"/>
              </w:rPr>
            </w:pPr>
          </w:p>
        </w:tc>
      </w:tr>
      <w:tr w:rsidR="00441C26" w:rsidRPr="00581D72" w14:paraId="07436536" w14:textId="77777777" w:rsidTr="008B6152">
        <w:trPr>
          <w:trHeight w:val="300"/>
        </w:trPr>
        <w:tc>
          <w:tcPr>
            <w:tcW w:w="4880" w:type="dxa"/>
            <w:shd w:val="clear" w:color="auto" w:fill="auto"/>
            <w:noWrap/>
            <w:vAlign w:val="bottom"/>
            <w:hideMark/>
          </w:tcPr>
          <w:p w14:paraId="5FEB60F7" w14:textId="37E24806" w:rsidR="00441C26" w:rsidRPr="00581D72" w:rsidRDefault="00441C26" w:rsidP="00441C26">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Current Liabilities</w:t>
            </w:r>
          </w:p>
        </w:tc>
        <w:tc>
          <w:tcPr>
            <w:tcW w:w="2486" w:type="dxa"/>
            <w:shd w:val="clear" w:color="auto" w:fill="auto"/>
            <w:noWrap/>
            <w:vAlign w:val="center"/>
            <w:hideMark/>
          </w:tcPr>
          <w:p w14:paraId="63F3BA59" w14:textId="102883E7" w:rsidR="00441C26" w:rsidRPr="00581D72" w:rsidRDefault="00441C26" w:rsidP="00441C26">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17.70</w:t>
            </w:r>
          </w:p>
        </w:tc>
        <w:tc>
          <w:tcPr>
            <w:tcW w:w="1985" w:type="dxa"/>
            <w:shd w:val="clear" w:color="auto" w:fill="auto"/>
            <w:noWrap/>
            <w:vAlign w:val="bottom"/>
            <w:hideMark/>
          </w:tcPr>
          <w:p w14:paraId="1840C146" w14:textId="560F056A" w:rsidR="00441C26" w:rsidRPr="00581D72" w:rsidRDefault="00441C26" w:rsidP="00441C26">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17.70</w:t>
            </w:r>
          </w:p>
        </w:tc>
      </w:tr>
      <w:tr w:rsidR="00441C26" w:rsidRPr="00581D72" w14:paraId="2104E4DD" w14:textId="77777777" w:rsidTr="008B6152">
        <w:trPr>
          <w:trHeight w:val="300"/>
        </w:trPr>
        <w:tc>
          <w:tcPr>
            <w:tcW w:w="4880" w:type="dxa"/>
            <w:shd w:val="clear" w:color="000000" w:fill="DDEBF7"/>
            <w:noWrap/>
            <w:vAlign w:val="bottom"/>
            <w:hideMark/>
          </w:tcPr>
          <w:p w14:paraId="3F8E86BC" w14:textId="67A07319" w:rsidR="00441C26" w:rsidRPr="00581D72" w:rsidRDefault="00441C26" w:rsidP="00441C26">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Liabilities</w:t>
            </w:r>
          </w:p>
        </w:tc>
        <w:tc>
          <w:tcPr>
            <w:tcW w:w="2486" w:type="dxa"/>
            <w:shd w:val="clear" w:color="000000" w:fill="DDEBF7"/>
            <w:noWrap/>
            <w:vAlign w:val="center"/>
            <w:hideMark/>
          </w:tcPr>
          <w:p w14:paraId="59D3A406" w14:textId="1ED9BF62" w:rsidR="00441C26" w:rsidRPr="00581D72" w:rsidRDefault="00441C26" w:rsidP="00441C26">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17.70</w:t>
            </w:r>
          </w:p>
        </w:tc>
        <w:tc>
          <w:tcPr>
            <w:tcW w:w="1985" w:type="dxa"/>
            <w:shd w:val="clear" w:color="000000" w:fill="DDEBF7"/>
            <w:noWrap/>
            <w:vAlign w:val="center"/>
            <w:hideMark/>
          </w:tcPr>
          <w:p w14:paraId="27487032" w14:textId="0104FB10" w:rsidR="00441C26" w:rsidRPr="00581D72" w:rsidRDefault="00441C26" w:rsidP="00441C26">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17.70</w:t>
            </w:r>
          </w:p>
        </w:tc>
      </w:tr>
    </w:tbl>
    <w:p w14:paraId="60EFBADA" w14:textId="0677A29D" w:rsidR="00581D72" w:rsidRDefault="00581D72"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63EA48C9" w:rsidR="0077108A" w:rsidRPr="00C01760" w:rsidRDefault="00C01760" w:rsidP="00AE26E4">
            <w:pPr>
              <w:spacing w:after="0" w:line="276"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t>NET ASSET VALUE (N</w:t>
            </w:r>
            <w:r w:rsidR="00581D72">
              <w:rPr>
                <w:rFonts w:asciiTheme="minorHAnsi" w:hAnsiTheme="minorHAnsi" w:cstheme="minorHAnsi"/>
                <w:b/>
                <w:bCs/>
                <w:color w:val="FFFFFF" w:themeColor="background1"/>
                <w:sz w:val="22"/>
                <w:szCs w:val="22"/>
              </w:rPr>
              <w:t>et Worth</w:t>
            </w:r>
            <w:r w:rsidRPr="00C01760">
              <w:rPr>
                <w:rFonts w:asciiTheme="minorHAnsi" w:hAnsiTheme="minorHAnsi" w:cstheme="minorHAnsi"/>
                <w:b/>
                <w:bCs/>
                <w:color w:val="FFFFFF" w:themeColor="background1"/>
                <w:sz w:val="22"/>
                <w:szCs w:val="22"/>
              </w:rPr>
              <w:t>)</w:t>
            </w:r>
          </w:p>
        </w:tc>
      </w:tr>
      <w:tr w:rsidR="00C01760" w:rsidRPr="002D647E" w14:paraId="7B18C508" w14:textId="77777777" w:rsidTr="00581D72">
        <w:trPr>
          <w:trHeight w:val="164"/>
          <w:jc w:val="center"/>
        </w:trPr>
        <w:tc>
          <w:tcPr>
            <w:tcW w:w="3828" w:type="dxa"/>
            <w:shd w:val="clear" w:color="auto" w:fill="DEEAF6" w:themeFill="accent1" w:themeFillTint="33"/>
            <w:noWrap/>
            <w:vAlign w:val="center"/>
          </w:tcPr>
          <w:p w14:paraId="2D66EA56" w14:textId="065E391B" w:rsidR="00C01760" w:rsidRPr="00F4197C" w:rsidRDefault="00C01760" w:rsidP="00AE26E4">
            <w:pPr>
              <w:spacing w:after="0" w:line="276"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DEEAF6" w:themeFill="accent1" w:themeFillTint="33"/>
            <w:noWrap/>
            <w:vAlign w:val="center"/>
          </w:tcPr>
          <w:p w14:paraId="6038B8DC" w14:textId="7D63905E" w:rsidR="00C01760" w:rsidRPr="00F4197C" w:rsidRDefault="00C01760" w:rsidP="00AE26E4">
            <w:pPr>
              <w:spacing w:after="0" w:line="276"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r w:rsidR="00441C26">
              <w:rPr>
                <w:rFonts w:asciiTheme="minorHAnsi" w:hAnsiTheme="minorHAnsi" w:cstheme="minorHAnsi"/>
                <w:b/>
                <w:bCs/>
                <w:color w:val="000000" w:themeColor="text1"/>
                <w:sz w:val="22"/>
                <w:szCs w:val="22"/>
              </w:rPr>
              <w:t xml:space="preserve"> (In INR Thousands)</w:t>
            </w:r>
          </w:p>
        </w:tc>
      </w:tr>
      <w:tr w:rsidR="008933F4" w:rsidRPr="002D647E" w14:paraId="73BAC584" w14:textId="77777777" w:rsidTr="008933F4">
        <w:trPr>
          <w:trHeight w:val="164"/>
          <w:jc w:val="center"/>
        </w:trPr>
        <w:tc>
          <w:tcPr>
            <w:tcW w:w="3828" w:type="dxa"/>
            <w:shd w:val="clear" w:color="auto" w:fill="auto"/>
            <w:noWrap/>
            <w:vAlign w:val="center"/>
            <w:hideMark/>
          </w:tcPr>
          <w:p w14:paraId="72CB5D2A" w14:textId="77777777" w:rsidR="008933F4" w:rsidRPr="006542C7" w:rsidRDefault="008933F4" w:rsidP="008933F4">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tcPr>
          <w:p w14:paraId="7EC2015A" w14:textId="76DE96DE" w:rsidR="008933F4" w:rsidRPr="00581D72" w:rsidRDefault="008933F4" w:rsidP="008933F4">
            <w:pPr>
              <w:spacing w:after="0" w:line="276" w:lineRule="auto"/>
              <w:jc w:val="center"/>
              <w:rPr>
                <w:rFonts w:ascii="Calibri" w:hAnsi="Calibri" w:cs="Calibri"/>
                <w:b/>
                <w:bCs/>
                <w:sz w:val="22"/>
                <w:szCs w:val="22"/>
                <w:lang w:val="en-IN"/>
              </w:rPr>
            </w:pPr>
            <w:r>
              <w:rPr>
                <w:rFonts w:ascii="Calibri" w:hAnsi="Calibri" w:cs="Calibri"/>
                <w:color w:val="000000"/>
                <w:sz w:val="22"/>
                <w:szCs w:val="22"/>
              </w:rPr>
              <w:t>55,065.70</w:t>
            </w:r>
          </w:p>
        </w:tc>
      </w:tr>
      <w:tr w:rsidR="008933F4" w:rsidRPr="002D647E" w14:paraId="60D53FB3" w14:textId="77777777" w:rsidTr="008933F4">
        <w:trPr>
          <w:trHeight w:val="164"/>
          <w:jc w:val="center"/>
        </w:trPr>
        <w:tc>
          <w:tcPr>
            <w:tcW w:w="3828" w:type="dxa"/>
            <w:shd w:val="clear" w:color="auto" w:fill="auto"/>
            <w:noWrap/>
            <w:vAlign w:val="center"/>
            <w:hideMark/>
          </w:tcPr>
          <w:p w14:paraId="5F38417A" w14:textId="02E43D3A" w:rsidR="008933F4" w:rsidRPr="006542C7" w:rsidRDefault="008933F4" w:rsidP="008933F4">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Liabilities (B)</w:t>
            </w:r>
          </w:p>
        </w:tc>
        <w:tc>
          <w:tcPr>
            <w:tcW w:w="3827" w:type="dxa"/>
            <w:shd w:val="clear" w:color="auto" w:fill="auto"/>
            <w:noWrap/>
            <w:vAlign w:val="center"/>
          </w:tcPr>
          <w:p w14:paraId="0C34CE26" w14:textId="6C429AC4" w:rsidR="008933F4" w:rsidRPr="00581D72" w:rsidRDefault="008933F4" w:rsidP="008933F4">
            <w:pPr>
              <w:spacing w:after="0" w:line="276" w:lineRule="auto"/>
              <w:jc w:val="center"/>
              <w:rPr>
                <w:rFonts w:asciiTheme="minorHAnsi" w:hAnsiTheme="minorHAnsi" w:cstheme="minorHAnsi"/>
                <w:b/>
                <w:bCs/>
                <w:sz w:val="22"/>
                <w:szCs w:val="22"/>
              </w:rPr>
            </w:pPr>
            <w:r>
              <w:rPr>
                <w:rFonts w:ascii="Calibri" w:hAnsi="Calibri" w:cs="Calibri"/>
                <w:color w:val="000000"/>
                <w:sz w:val="22"/>
                <w:szCs w:val="22"/>
              </w:rPr>
              <w:t>17.70</w:t>
            </w:r>
          </w:p>
        </w:tc>
      </w:tr>
      <w:tr w:rsidR="008933F4" w:rsidRPr="002D647E" w14:paraId="4F961FF8" w14:textId="77777777" w:rsidTr="008933F4">
        <w:trPr>
          <w:trHeight w:val="164"/>
          <w:jc w:val="center"/>
        </w:trPr>
        <w:tc>
          <w:tcPr>
            <w:tcW w:w="3828" w:type="dxa"/>
            <w:shd w:val="clear" w:color="auto" w:fill="DEEAF6" w:themeFill="accent1" w:themeFillTint="33"/>
            <w:noWrap/>
            <w:vAlign w:val="center"/>
            <w:hideMark/>
          </w:tcPr>
          <w:p w14:paraId="6FF9A332" w14:textId="67B628C5" w:rsidR="008933F4" w:rsidRPr="004918D6" w:rsidRDefault="008933F4" w:rsidP="008933F4">
            <w:pPr>
              <w:spacing w:after="0" w:line="276"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w:t>
            </w:r>
            <w:r>
              <w:rPr>
                <w:rFonts w:asciiTheme="minorHAnsi" w:hAnsiTheme="minorHAnsi" w:cstheme="minorHAnsi"/>
                <w:b/>
                <w:bCs/>
                <w:sz w:val="22"/>
                <w:szCs w:val="22"/>
              </w:rPr>
              <w:t>et Worth</w:t>
            </w:r>
            <w:r w:rsidRPr="004918D6">
              <w:rPr>
                <w:rFonts w:asciiTheme="minorHAnsi" w:hAnsiTheme="minorHAnsi" w:cstheme="minorHAnsi"/>
                <w:b/>
                <w:bCs/>
                <w:sz w:val="22"/>
                <w:szCs w:val="22"/>
              </w:rPr>
              <w:t>) (A-B)</w:t>
            </w:r>
          </w:p>
        </w:tc>
        <w:tc>
          <w:tcPr>
            <w:tcW w:w="3827" w:type="dxa"/>
            <w:shd w:val="clear" w:color="auto" w:fill="DEEAF6" w:themeFill="accent1" w:themeFillTint="33"/>
            <w:noWrap/>
            <w:vAlign w:val="center"/>
          </w:tcPr>
          <w:p w14:paraId="56F6A7F4" w14:textId="528717E8" w:rsidR="008933F4" w:rsidRPr="008933F4" w:rsidRDefault="008933F4" w:rsidP="008933F4">
            <w:pPr>
              <w:spacing w:after="0" w:line="276" w:lineRule="auto"/>
              <w:jc w:val="center"/>
              <w:rPr>
                <w:rFonts w:asciiTheme="minorHAnsi" w:hAnsiTheme="minorHAnsi" w:cstheme="minorHAnsi"/>
                <w:b/>
                <w:bCs/>
                <w:sz w:val="22"/>
                <w:szCs w:val="22"/>
              </w:rPr>
            </w:pPr>
            <w:r w:rsidRPr="008933F4">
              <w:rPr>
                <w:rFonts w:ascii="Calibri" w:hAnsi="Calibri" w:cs="Calibri"/>
                <w:b/>
                <w:bCs/>
                <w:color w:val="000000"/>
                <w:sz w:val="22"/>
                <w:szCs w:val="22"/>
              </w:rPr>
              <w:t>55,048.00</w:t>
            </w:r>
          </w:p>
        </w:tc>
      </w:tr>
    </w:tbl>
    <w:p w14:paraId="49195771" w14:textId="4F9C796C" w:rsidR="00AE26E4" w:rsidRDefault="00AE26E4" w:rsidP="00382F20">
      <w:pPr>
        <w:spacing w:after="0"/>
        <w:rPr>
          <w:rFonts w:ascii="Arial" w:hAnsi="Arial" w:cs="Arial"/>
          <w:b/>
          <w:sz w:val="22"/>
          <w:szCs w:val="22"/>
        </w:rPr>
      </w:pPr>
    </w:p>
    <w:p w14:paraId="14D813B2" w14:textId="79EE6158" w:rsidR="00C608CB" w:rsidRDefault="00581D72" w:rsidP="00382F20">
      <w:pPr>
        <w:numPr>
          <w:ilvl w:val="0"/>
          <w:numId w:val="9"/>
        </w:numPr>
        <w:pBdr>
          <w:top w:val="nil"/>
          <w:left w:val="nil"/>
          <w:bottom w:val="nil"/>
          <w:right w:val="nil"/>
          <w:between w:val="nil"/>
        </w:pBdr>
        <w:spacing w:after="0" w:line="360" w:lineRule="auto"/>
        <w:ind w:left="0" w:right="-306" w:hanging="426"/>
        <w:rPr>
          <w:rFonts w:ascii="Arial" w:hAnsi="Arial" w:cs="Arial"/>
          <w:b/>
          <w:sz w:val="22"/>
          <w:szCs w:val="22"/>
        </w:rPr>
      </w:pPr>
      <w:r>
        <w:rPr>
          <w:rFonts w:ascii="Arial" w:hAnsi="Arial" w:cs="Arial"/>
          <w:b/>
          <w:sz w:val="22"/>
          <w:szCs w:val="22"/>
        </w:rPr>
        <w:t>SHARE</w:t>
      </w:r>
      <w:r w:rsidR="00C637EF" w:rsidRPr="00C637EF">
        <w:rPr>
          <w:rFonts w:ascii="Arial" w:hAnsi="Arial" w:cs="Arial"/>
          <w:b/>
          <w:sz w:val="22"/>
          <w:szCs w:val="22"/>
        </w:rPr>
        <w:t xml:space="preserve"> VALUE</w:t>
      </w:r>
      <w:r w:rsidR="00C608CB" w:rsidRPr="00C637EF">
        <w:rPr>
          <w:rFonts w:ascii="Arial" w:hAnsi="Arial" w:cs="Arial"/>
          <w:b/>
          <w:sz w:val="22"/>
          <w:szCs w:val="22"/>
        </w:rPr>
        <w:t>:</w:t>
      </w:r>
    </w:p>
    <w:p w14:paraId="5B523BF7" w14:textId="5CA0F683" w:rsidR="00C637EF" w:rsidRPr="00C637EF" w:rsidRDefault="00C637EF" w:rsidP="002D45F2">
      <w:pPr>
        <w:spacing w:after="0" w:line="360" w:lineRule="auto"/>
        <w:ind w:left="851" w:right="16"/>
        <w:jc w:val="center"/>
        <w:rPr>
          <w:rFonts w:ascii="Arial" w:hAnsi="Arial" w:cs="Arial"/>
          <w:b/>
          <w:sz w:val="22"/>
          <w:szCs w:val="22"/>
          <w:u w:val="single"/>
          <w:lang w:val="en-IN"/>
        </w:rPr>
      </w:pPr>
      <w:r w:rsidRPr="00C637EF">
        <w:rPr>
          <w:rFonts w:ascii="Arial" w:hAnsi="Arial" w:cs="Arial"/>
          <w:b/>
          <w:sz w:val="22"/>
          <w:szCs w:val="22"/>
          <w:u w:val="single"/>
          <w:lang w:val="en-IN"/>
        </w:rPr>
        <w:t xml:space="preserve">CALCULATION OF </w:t>
      </w:r>
      <w:r w:rsidR="00581D72">
        <w:rPr>
          <w:rFonts w:ascii="Arial" w:hAnsi="Arial" w:cs="Arial"/>
          <w:b/>
          <w:sz w:val="22"/>
          <w:szCs w:val="22"/>
          <w:u w:val="single"/>
          <w:lang w:val="en-IN"/>
        </w:rPr>
        <w:t>SHARE PRICE</w:t>
      </w:r>
    </w:p>
    <w:tbl>
      <w:tblPr>
        <w:tblStyle w:val="TableGrid1"/>
        <w:tblW w:w="3676" w:type="pct"/>
        <w:jc w:val="center"/>
        <w:tblLook w:val="04A0" w:firstRow="1" w:lastRow="0" w:firstColumn="1" w:lastColumn="0" w:noHBand="0" w:noVBand="1"/>
      </w:tblPr>
      <w:tblGrid>
        <w:gridCol w:w="4646"/>
        <w:gridCol w:w="2000"/>
      </w:tblGrid>
      <w:tr w:rsidR="00C637EF" w:rsidRPr="00EC4B19" w14:paraId="239897B0" w14:textId="77777777" w:rsidTr="002001E9">
        <w:trPr>
          <w:trHeight w:val="90"/>
          <w:jc w:val="center"/>
        </w:trPr>
        <w:tc>
          <w:tcPr>
            <w:tcW w:w="3495" w:type="pct"/>
            <w:shd w:val="clear" w:color="auto" w:fill="002060"/>
            <w:noWrap/>
            <w:vAlign w:val="center"/>
            <w:hideMark/>
          </w:tcPr>
          <w:p w14:paraId="5107F064" w14:textId="77777777" w:rsidR="00C637EF" w:rsidRPr="00EC4B19" w:rsidRDefault="00C637EF" w:rsidP="00581D72">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05" w:type="pct"/>
            <w:shd w:val="clear" w:color="auto" w:fill="002060"/>
            <w:noWrap/>
            <w:vAlign w:val="center"/>
          </w:tcPr>
          <w:p w14:paraId="389E1501" w14:textId="5C5DCD44" w:rsidR="00C637EF" w:rsidRPr="00EC4B19" w:rsidRDefault="00C637EF" w:rsidP="00581D72">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r w:rsidR="0068191F">
              <w:rPr>
                <w:rFonts w:ascii="Calibri" w:hAnsi="Calibri" w:cs="Calibri"/>
                <w:b/>
                <w:color w:val="FFFFFF" w:themeColor="background1"/>
                <w:sz w:val="22"/>
                <w:szCs w:val="22"/>
                <w:lang w:val="en-IN" w:eastAsia="en-IN"/>
              </w:rPr>
              <w:t xml:space="preserve"> </w:t>
            </w:r>
          </w:p>
        </w:tc>
      </w:tr>
      <w:tr w:rsidR="002943AE" w:rsidRPr="00BA6409" w14:paraId="711937DD" w14:textId="77777777" w:rsidTr="002001E9">
        <w:trPr>
          <w:trHeight w:val="414"/>
          <w:jc w:val="center"/>
        </w:trPr>
        <w:tc>
          <w:tcPr>
            <w:tcW w:w="3495" w:type="pct"/>
            <w:noWrap/>
            <w:vAlign w:val="center"/>
            <w:hideMark/>
          </w:tcPr>
          <w:p w14:paraId="300009FD" w14:textId="7CAA1349"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N</w:t>
            </w:r>
            <w:r w:rsidR="00581D72">
              <w:rPr>
                <w:rFonts w:asciiTheme="minorHAnsi" w:hAnsiTheme="minorHAnsi" w:cstheme="minorHAnsi"/>
                <w:b/>
                <w:bCs/>
                <w:sz w:val="22"/>
                <w:szCs w:val="22"/>
              </w:rPr>
              <w:t>et Worth</w:t>
            </w:r>
            <w:r w:rsidRPr="00BA6409">
              <w:rPr>
                <w:rFonts w:asciiTheme="minorHAnsi" w:hAnsiTheme="minorHAnsi" w:cstheme="minorHAnsi"/>
                <w:b/>
                <w:bCs/>
                <w:sz w:val="22"/>
                <w:szCs w:val="22"/>
              </w:rPr>
              <w:t xml:space="preserve"> of </w:t>
            </w:r>
            <w:r w:rsidR="00632E53">
              <w:rPr>
                <w:rFonts w:asciiTheme="minorHAnsi" w:hAnsiTheme="minorHAnsi" w:cstheme="minorHAnsi"/>
                <w:b/>
                <w:bCs/>
                <w:sz w:val="22"/>
                <w:szCs w:val="22"/>
              </w:rPr>
              <w:t xml:space="preserve">G. D. Contractors Private Limited </w:t>
            </w:r>
          </w:p>
        </w:tc>
        <w:tc>
          <w:tcPr>
            <w:tcW w:w="1505" w:type="pct"/>
            <w:noWrap/>
            <w:vAlign w:val="center"/>
            <w:hideMark/>
          </w:tcPr>
          <w:p w14:paraId="0C8BFA97" w14:textId="7E2C3DFC" w:rsidR="002943AE" w:rsidRPr="005D7EB7" w:rsidRDefault="00CA13DF" w:rsidP="008933F4">
            <w:pPr>
              <w:spacing w:line="360" w:lineRule="auto"/>
              <w:jc w:val="center"/>
              <w:rPr>
                <w:rFonts w:asciiTheme="minorHAnsi" w:hAnsiTheme="minorHAnsi" w:cstheme="minorHAnsi"/>
                <w:b/>
                <w:color w:val="000000"/>
                <w:sz w:val="22"/>
                <w:szCs w:val="22"/>
                <w:lang w:val="en-IN" w:eastAsia="en-IN"/>
              </w:rPr>
            </w:pPr>
            <w:r w:rsidRPr="005D7EB7">
              <w:rPr>
                <w:rFonts w:asciiTheme="minorHAnsi" w:hAnsiTheme="minorHAnsi" w:cstheme="minorHAnsi"/>
                <w:b/>
                <w:color w:val="000000"/>
                <w:sz w:val="22"/>
                <w:szCs w:val="22"/>
                <w:lang w:val="en-IN" w:eastAsia="en-IN"/>
              </w:rPr>
              <w:t>INR</w:t>
            </w:r>
            <w:r w:rsidR="008933F4" w:rsidRPr="005D7EB7">
              <w:rPr>
                <w:rFonts w:ascii="Calibri" w:hAnsi="Calibri" w:cs="Calibri"/>
                <w:b/>
                <w:color w:val="000000"/>
                <w:sz w:val="22"/>
                <w:szCs w:val="22"/>
              </w:rPr>
              <w:t xml:space="preserve"> 5,50,47,996.57 </w:t>
            </w:r>
          </w:p>
        </w:tc>
      </w:tr>
      <w:tr w:rsidR="002001E9" w:rsidRPr="00BA6409" w14:paraId="496DB2C8" w14:textId="77777777" w:rsidTr="002001E9">
        <w:trPr>
          <w:trHeight w:val="407"/>
          <w:jc w:val="center"/>
        </w:trPr>
        <w:tc>
          <w:tcPr>
            <w:tcW w:w="3495" w:type="pct"/>
            <w:noWrap/>
            <w:vAlign w:val="bottom"/>
            <w:hideMark/>
          </w:tcPr>
          <w:p w14:paraId="6F80FE49" w14:textId="73FA0A92" w:rsidR="002001E9" w:rsidRPr="00BA6409" w:rsidRDefault="002001E9" w:rsidP="002001E9">
            <w:pPr>
              <w:spacing w:line="360" w:lineRule="auto"/>
              <w:rPr>
                <w:rFonts w:asciiTheme="minorHAnsi" w:hAnsiTheme="minorHAnsi" w:cstheme="minorHAnsi"/>
                <w:b/>
                <w:bCs/>
                <w:color w:val="000000"/>
                <w:sz w:val="22"/>
                <w:szCs w:val="22"/>
                <w:lang w:val="en-IN" w:eastAsia="en-IN"/>
              </w:rPr>
            </w:pPr>
            <w:r>
              <w:rPr>
                <w:rFonts w:ascii="Calibri" w:hAnsi="Calibri" w:cs="Calibri"/>
                <w:color w:val="000000"/>
                <w:sz w:val="22"/>
                <w:szCs w:val="22"/>
              </w:rPr>
              <w:t>No. of Shares Outstanding</w:t>
            </w:r>
          </w:p>
        </w:tc>
        <w:tc>
          <w:tcPr>
            <w:tcW w:w="1505" w:type="pct"/>
            <w:noWrap/>
            <w:vAlign w:val="center"/>
          </w:tcPr>
          <w:p w14:paraId="42A83107" w14:textId="0A6B179B" w:rsidR="002001E9" w:rsidRPr="00BA6409" w:rsidRDefault="0068191F" w:rsidP="002001E9">
            <w:pPr>
              <w:spacing w:line="360" w:lineRule="auto"/>
              <w:jc w:val="center"/>
              <w:rPr>
                <w:rFonts w:asciiTheme="minorHAnsi" w:hAnsiTheme="minorHAnsi" w:cstheme="minorHAnsi"/>
                <w:b/>
                <w:color w:val="000000"/>
                <w:sz w:val="22"/>
                <w:szCs w:val="22"/>
                <w:lang w:val="en-IN" w:eastAsia="en-IN"/>
              </w:rPr>
            </w:pPr>
            <w:r>
              <w:rPr>
                <w:rFonts w:ascii="Calibri" w:hAnsi="Calibri" w:cs="Calibri"/>
                <w:color w:val="000000"/>
                <w:sz w:val="22"/>
                <w:szCs w:val="22"/>
              </w:rPr>
              <w:t>2,85,200</w:t>
            </w:r>
          </w:p>
        </w:tc>
      </w:tr>
      <w:tr w:rsidR="002001E9" w:rsidRPr="00BA6409" w14:paraId="2BE6A2F1" w14:textId="77777777" w:rsidTr="002001E9">
        <w:trPr>
          <w:trHeight w:val="407"/>
          <w:jc w:val="center"/>
        </w:trPr>
        <w:tc>
          <w:tcPr>
            <w:tcW w:w="3495" w:type="pct"/>
            <w:shd w:val="clear" w:color="auto" w:fill="DEEAF6" w:themeFill="accent1" w:themeFillTint="33"/>
            <w:noWrap/>
            <w:vAlign w:val="bottom"/>
          </w:tcPr>
          <w:p w14:paraId="75C96C2F" w14:textId="3E1A035F" w:rsidR="002001E9" w:rsidRPr="002001E9" w:rsidRDefault="002001E9" w:rsidP="002001E9">
            <w:pPr>
              <w:spacing w:line="360" w:lineRule="auto"/>
              <w:rPr>
                <w:rFonts w:asciiTheme="minorHAnsi" w:hAnsiTheme="minorHAnsi" w:cstheme="minorHAnsi"/>
                <w:b/>
                <w:bCs/>
                <w:sz w:val="22"/>
                <w:szCs w:val="22"/>
              </w:rPr>
            </w:pPr>
            <w:r w:rsidRPr="002001E9">
              <w:rPr>
                <w:rFonts w:ascii="Calibri" w:hAnsi="Calibri" w:cs="Calibri"/>
                <w:b/>
                <w:bCs/>
                <w:sz w:val="22"/>
                <w:szCs w:val="22"/>
              </w:rPr>
              <w:t>Share Price</w:t>
            </w:r>
          </w:p>
        </w:tc>
        <w:tc>
          <w:tcPr>
            <w:tcW w:w="1505" w:type="pct"/>
            <w:shd w:val="clear" w:color="auto" w:fill="DEEAF6" w:themeFill="accent1" w:themeFillTint="33"/>
            <w:noWrap/>
            <w:vAlign w:val="center"/>
          </w:tcPr>
          <w:p w14:paraId="4B483358" w14:textId="1979C797" w:rsidR="002001E9" w:rsidRPr="002001E9" w:rsidRDefault="002001E9" w:rsidP="002001E9">
            <w:pPr>
              <w:spacing w:line="360" w:lineRule="auto"/>
              <w:jc w:val="center"/>
              <w:rPr>
                <w:rFonts w:asciiTheme="minorHAnsi" w:hAnsiTheme="minorHAnsi" w:cstheme="minorHAnsi"/>
                <w:b/>
                <w:sz w:val="22"/>
                <w:szCs w:val="22"/>
                <w:lang w:val="en-IN" w:eastAsia="en-IN"/>
              </w:rPr>
            </w:pPr>
            <w:r>
              <w:rPr>
                <w:rFonts w:ascii="Calibri" w:hAnsi="Calibri" w:cs="Calibri"/>
                <w:b/>
                <w:bCs/>
                <w:sz w:val="22"/>
                <w:szCs w:val="22"/>
              </w:rPr>
              <w:t xml:space="preserve">INR </w:t>
            </w:r>
            <w:r w:rsidR="008933F4">
              <w:rPr>
                <w:rFonts w:ascii="Calibri" w:hAnsi="Calibri" w:cs="Calibri"/>
                <w:b/>
                <w:bCs/>
                <w:sz w:val="22"/>
                <w:szCs w:val="22"/>
              </w:rPr>
              <w:t>193.02</w:t>
            </w:r>
          </w:p>
        </w:tc>
      </w:tr>
    </w:tbl>
    <w:p w14:paraId="6BD12788" w14:textId="77777777" w:rsidR="004F2614" w:rsidRPr="00BA640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356" w:type="dxa"/>
        <w:tblInd w:w="-5" w:type="dxa"/>
        <w:tblLook w:val="04A0" w:firstRow="1" w:lastRow="0" w:firstColumn="1" w:lastColumn="0" w:noHBand="0" w:noVBand="1"/>
      </w:tblPr>
      <w:tblGrid>
        <w:gridCol w:w="9356"/>
      </w:tblGrid>
      <w:tr w:rsidR="00F82C89" w:rsidRPr="00BA6409" w14:paraId="632C51CA" w14:textId="77777777" w:rsidTr="00E559FA">
        <w:trPr>
          <w:trHeight w:val="289"/>
        </w:trPr>
        <w:tc>
          <w:tcPr>
            <w:tcW w:w="9356" w:type="dxa"/>
            <w:shd w:val="clear" w:color="auto" w:fill="002060"/>
            <w:vAlign w:val="center"/>
          </w:tcPr>
          <w:p w14:paraId="04F91877" w14:textId="27064715" w:rsidR="00F82C89" w:rsidRPr="00BA6409" w:rsidRDefault="002001E9" w:rsidP="00C01760">
            <w:pPr>
              <w:spacing w:line="360" w:lineRule="auto"/>
              <w:jc w:val="center"/>
              <w:rPr>
                <w:rFonts w:ascii="Arial" w:hAnsi="Arial" w:cs="Arial"/>
                <w:b/>
                <w:sz w:val="22"/>
                <w:lang w:val="en-IN"/>
              </w:rPr>
            </w:pPr>
            <w:r>
              <w:rPr>
                <w:rFonts w:ascii="Arial" w:hAnsi="Arial" w:cs="Arial"/>
                <w:b/>
                <w:bCs/>
                <w:color w:val="FFFFFF"/>
                <w:sz w:val="22"/>
                <w:szCs w:val="22"/>
              </w:rPr>
              <w:t>SHARE PRICE</w:t>
            </w:r>
            <w:r w:rsidR="00622956" w:rsidRPr="00BA6409">
              <w:rPr>
                <w:rFonts w:ascii="Arial" w:hAnsi="Arial" w:cs="Arial"/>
                <w:b/>
                <w:bCs/>
                <w:color w:val="FFFFFF"/>
                <w:sz w:val="22"/>
                <w:szCs w:val="22"/>
              </w:rPr>
              <w:t xml:space="preserve"> OF M/S </w:t>
            </w:r>
            <w:r>
              <w:rPr>
                <w:rFonts w:ascii="Arial" w:hAnsi="Arial" w:cs="Arial"/>
                <w:b/>
                <w:bCs/>
                <w:color w:val="FFFFFF"/>
                <w:sz w:val="22"/>
                <w:szCs w:val="22"/>
              </w:rPr>
              <w:t xml:space="preserve">G.D. </w:t>
            </w:r>
            <w:r w:rsidR="00441C26">
              <w:rPr>
                <w:rFonts w:ascii="Arial" w:hAnsi="Arial" w:cs="Arial"/>
                <w:b/>
                <w:bCs/>
                <w:color w:val="FFFFFF"/>
                <w:sz w:val="22"/>
                <w:szCs w:val="22"/>
              </w:rPr>
              <w:t>CONTRACTORS PRIVATE</w:t>
            </w:r>
            <w:r w:rsidR="00622956" w:rsidRPr="00BA6409">
              <w:rPr>
                <w:rFonts w:ascii="Arial" w:hAnsi="Arial" w:cs="Arial"/>
                <w:b/>
                <w:bCs/>
                <w:color w:val="FFFFFF"/>
                <w:sz w:val="22"/>
                <w:szCs w:val="22"/>
              </w:rPr>
              <w:t xml:space="preserve"> LIMTED</w:t>
            </w:r>
          </w:p>
        </w:tc>
      </w:tr>
      <w:tr w:rsidR="00F82C89" w14:paraId="661A4B0E" w14:textId="77777777" w:rsidTr="00E559FA">
        <w:trPr>
          <w:trHeight w:val="550"/>
        </w:trPr>
        <w:tc>
          <w:tcPr>
            <w:tcW w:w="9356" w:type="dxa"/>
            <w:vAlign w:val="center"/>
          </w:tcPr>
          <w:p w14:paraId="364A93F1" w14:textId="72555AE9" w:rsidR="00F82C89" w:rsidRPr="00BA6409" w:rsidRDefault="00D044DB" w:rsidP="00C01760">
            <w:pPr>
              <w:spacing w:line="360" w:lineRule="auto"/>
              <w:ind w:right="35"/>
              <w:jc w:val="center"/>
              <w:rPr>
                <w:rFonts w:ascii="Arial" w:hAnsi="Arial" w:cs="Arial"/>
                <w:b/>
                <w:sz w:val="22"/>
                <w:lang w:val="en-IN"/>
              </w:rPr>
            </w:pPr>
            <w:r w:rsidRPr="00BA6409">
              <w:rPr>
                <w:rFonts w:ascii="Arial" w:hAnsi="Arial" w:cs="Arial"/>
                <w:b/>
                <w:sz w:val="22"/>
                <w:szCs w:val="22"/>
              </w:rPr>
              <w:t xml:space="preserve">INR </w:t>
            </w:r>
            <w:r w:rsidR="005D7EB7">
              <w:rPr>
                <w:rFonts w:ascii="Arial" w:hAnsi="Arial" w:cs="Arial"/>
                <w:b/>
                <w:sz w:val="22"/>
                <w:szCs w:val="22"/>
              </w:rPr>
              <w:t>ONE HUNDRED NINETY</w:t>
            </w:r>
            <w:r w:rsidR="002001E9">
              <w:rPr>
                <w:rFonts w:ascii="Arial" w:hAnsi="Arial" w:cs="Arial"/>
                <w:b/>
                <w:sz w:val="22"/>
                <w:szCs w:val="22"/>
              </w:rPr>
              <w:t>-</w:t>
            </w:r>
            <w:r w:rsidR="005D7EB7">
              <w:rPr>
                <w:rFonts w:ascii="Arial" w:hAnsi="Arial" w:cs="Arial"/>
                <w:b/>
                <w:sz w:val="22"/>
                <w:szCs w:val="22"/>
              </w:rPr>
              <w:t>THREE</w:t>
            </w:r>
            <w:r w:rsidR="002001E9">
              <w:rPr>
                <w:rFonts w:ascii="Arial" w:hAnsi="Arial" w:cs="Arial"/>
                <w:b/>
                <w:sz w:val="22"/>
                <w:szCs w:val="22"/>
              </w:rPr>
              <w:t xml:space="preserve"> RUPEES </w:t>
            </w:r>
            <w:r w:rsidRPr="00BA6409">
              <w:rPr>
                <w:rFonts w:ascii="Arial" w:hAnsi="Arial" w:cs="Arial"/>
                <w:b/>
                <w:sz w:val="22"/>
                <w:szCs w:val="22"/>
              </w:rPr>
              <w:t xml:space="preserve">AND </w:t>
            </w:r>
            <w:r w:rsidR="005D7EB7">
              <w:rPr>
                <w:rFonts w:ascii="Arial" w:hAnsi="Arial" w:cs="Arial"/>
                <w:b/>
                <w:sz w:val="22"/>
                <w:szCs w:val="22"/>
              </w:rPr>
              <w:t>TWO</w:t>
            </w:r>
            <w:r w:rsidRPr="00BA6409">
              <w:rPr>
                <w:rFonts w:ascii="Arial" w:hAnsi="Arial" w:cs="Arial"/>
                <w:b/>
                <w:sz w:val="22"/>
                <w:szCs w:val="22"/>
              </w:rPr>
              <w:t xml:space="preserve"> </w:t>
            </w:r>
            <w:r w:rsidR="002001E9">
              <w:rPr>
                <w:rFonts w:ascii="Arial" w:hAnsi="Arial" w:cs="Arial"/>
                <w:b/>
                <w:sz w:val="22"/>
                <w:szCs w:val="22"/>
              </w:rPr>
              <w:t>PAISE</w:t>
            </w:r>
            <w:r w:rsidRPr="00BA6409">
              <w:rPr>
                <w:rFonts w:ascii="Arial" w:hAnsi="Arial" w:cs="Arial"/>
                <w:b/>
                <w:sz w:val="22"/>
                <w:szCs w:val="22"/>
              </w:rPr>
              <w:t xml:space="preserve"> </w:t>
            </w:r>
            <w:r w:rsidR="00622956" w:rsidRPr="00BA6409">
              <w:rPr>
                <w:rFonts w:ascii="Arial" w:hAnsi="Arial" w:cs="Arial"/>
                <w:b/>
                <w:sz w:val="22"/>
                <w:szCs w:val="22"/>
              </w:rPr>
              <w:t xml:space="preserve">(INR </w:t>
            </w:r>
            <w:r w:rsidR="008933F4">
              <w:rPr>
                <w:rFonts w:ascii="Arial" w:hAnsi="Arial" w:cs="Arial"/>
                <w:b/>
                <w:sz w:val="22"/>
                <w:szCs w:val="22"/>
              </w:rPr>
              <w:t>193.02</w:t>
            </w:r>
            <w:r w:rsidR="00622956" w:rsidRPr="00BA6409">
              <w:rPr>
                <w:rFonts w:ascii="Arial" w:hAnsi="Arial" w:cs="Arial"/>
                <w:b/>
                <w:sz w:val="22"/>
                <w:szCs w:val="22"/>
              </w:rPr>
              <w:t>)</w:t>
            </w:r>
          </w:p>
        </w:tc>
      </w:tr>
    </w:tbl>
    <w:p w14:paraId="2FA001A2" w14:textId="53B4BF11" w:rsidR="006D4266" w:rsidRPr="00A00296" w:rsidRDefault="006D4266" w:rsidP="00E559FA">
      <w:pPr>
        <w:spacing w:before="240" w:line="360" w:lineRule="auto"/>
        <w:ind w:right="-306"/>
        <w:jc w:val="both"/>
        <w:rPr>
          <w:rFonts w:ascii="Arial" w:hAnsi="Arial" w:cs="Arial"/>
          <w:b/>
          <w:sz w:val="22"/>
          <w:lang w:val="en-IN"/>
        </w:rPr>
      </w:pPr>
      <w:r>
        <w:rPr>
          <w:rFonts w:ascii="Arial" w:hAnsi="Arial" w:cs="Arial"/>
          <w:b/>
          <w:sz w:val="22"/>
          <w:lang w:val="en-IN"/>
        </w:rPr>
        <w:t>Hence</w:t>
      </w:r>
      <w:r w:rsidR="00622956">
        <w:rPr>
          <w:rFonts w:ascii="Arial" w:hAnsi="Arial" w:cs="Arial"/>
          <w:b/>
          <w:sz w:val="22"/>
          <w:lang w:val="en-IN"/>
        </w:rPr>
        <w:t>,</w:t>
      </w:r>
      <w:r>
        <w:rPr>
          <w:rFonts w:ascii="Arial" w:hAnsi="Arial" w:cs="Arial"/>
          <w:b/>
          <w:sz w:val="22"/>
          <w:lang w:val="en-IN"/>
        </w:rPr>
        <w:t xml:space="preserve"> the “</w:t>
      </w:r>
      <w:r w:rsidR="002001E9">
        <w:rPr>
          <w:rFonts w:ascii="Arial" w:hAnsi="Arial" w:cs="Arial"/>
          <w:b/>
          <w:sz w:val="22"/>
          <w:lang w:val="en-IN"/>
        </w:rPr>
        <w:t xml:space="preserve">Share Price” </w:t>
      </w:r>
      <w:r>
        <w:rPr>
          <w:rFonts w:ascii="Arial" w:hAnsi="Arial" w:cs="Arial"/>
          <w:b/>
          <w:sz w:val="22"/>
          <w:lang w:val="en-IN"/>
        </w:rPr>
        <w:t xml:space="preserve">of the Firm “M/s </w:t>
      </w:r>
      <w:r w:rsidR="00632E53">
        <w:rPr>
          <w:rFonts w:ascii="Arial" w:hAnsi="Arial" w:cs="Arial"/>
          <w:b/>
          <w:sz w:val="22"/>
          <w:lang w:val="en-IN"/>
        </w:rPr>
        <w:t>G. D. Contractors Private Limited</w:t>
      </w:r>
      <w:r>
        <w:rPr>
          <w:rFonts w:ascii="Arial" w:hAnsi="Arial" w:cs="Arial"/>
          <w:b/>
          <w:sz w:val="22"/>
          <w:lang w:val="en-IN"/>
        </w:rPr>
        <w:t xml:space="preserve">” is INR </w:t>
      </w:r>
      <w:r w:rsidR="008933F4">
        <w:rPr>
          <w:rFonts w:ascii="Arial" w:hAnsi="Arial" w:cs="Arial"/>
          <w:b/>
          <w:sz w:val="22"/>
          <w:lang w:val="en-IN"/>
        </w:rPr>
        <w:t>193.02</w:t>
      </w:r>
    </w:p>
    <w:p w14:paraId="653D6478" w14:textId="7C82CE93" w:rsidR="00DA35D5" w:rsidRDefault="006D4266" w:rsidP="00AE26E4">
      <w:pPr>
        <w:autoSpaceDE w:val="0"/>
        <w:autoSpaceDN w:val="0"/>
        <w:adjustRightInd w:val="0"/>
        <w:spacing w:after="0" w:line="360" w:lineRule="auto"/>
        <w:ind w:right="-306"/>
        <w:jc w:val="both"/>
        <w:rPr>
          <w:rFonts w:ascii="Arial" w:hAnsi="Arial" w:cs="Arial"/>
          <w:iCs/>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sidR="002001E9">
        <w:rPr>
          <w:rFonts w:ascii="Arial" w:hAnsi="Arial" w:cs="Arial"/>
          <w:i/>
          <w:sz w:val="22"/>
        </w:rPr>
        <w:t>equity shares</w:t>
      </w:r>
      <w:r>
        <w:rPr>
          <w:rFonts w:ascii="Arial" w:hAnsi="Arial" w:cs="Arial"/>
          <w:i/>
          <w:sz w:val="22"/>
        </w:rPr>
        <w:t xml:space="preserve">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13BD9B5" w14:textId="77777777" w:rsidR="00AE26E4" w:rsidRPr="00AE26E4" w:rsidRDefault="00AE26E4" w:rsidP="00AE26E4">
      <w:pPr>
        <w:autoSpaceDE w:val="0"/>
        <w:autoSpaceDN w:val="0"/>
        <w:adjustRightInd w:val="0"/>
        <w:spacing w:after="0" w:line="360" w:lineRule="auto"/>
        <w:ind w:right="-306"/>
        <w:jc w:val="both"/>
        <w:rPr>
          <w:rFonts w:ascii="Arial" w:hAnsi="Arial" w:cs="Arial"/>
          <w:iCs/>
          <w:sz w:val="22"/>
        </w:rPr>
      </w:pPr>
    </w:p>
    <w:p w14:paraId="0322CEA6" w14:textId="41D9A6EA" w:rsidR="00C608CB" w:rsidRPr="00E25799" w:rsidRDefault="009F0903" w:rsidP="00DE2E0C">
      <w:pPr>
        <w:numPr>
          <w:ilvl w:val="0"/>
          <w:numId w:val="9"/>
        </w:numPr>
        <w:pBdr>
          <w:top w:val="nil"/>
          <w:left w:val="nil"/>
          <w:bottom w:val="nil"/>
          <w:right w:val="nil"/>
          <w:between w:val="nil"/>
        </w:pBdr>
        <w:spacing w:line="360" w:lineRule="auto"/>
        <w:ind w:left="0" w:right="-306"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667791DD" w14:textId="6C4891D0" w:rsidR="001C408F" w:rsidRPr="00E559FA" w:rsidRDefault="00E559FA" w:rsidP="00DE2E0C">
      <w:pPr>
        <w:pStyle w:val="ListParagraph"/>
        <w:numPr>
          <w:ilvl w:val="0"/>
          <w:numId w:val="11"/>
        </w:numPr>
        <w:autoSpaceDE w:val="0"/>
        <w:autoSpaceDN w:val="0"/>
        <w:adjustRightInd w:val="0"/>
        <w:spacing w:after="0" w:line="360" w:lineRule="auto"/>
        <w:ind w:left="426" w:right="-306" w:hanging="426"/>
        <w:jc w:val="both"/>
        <w:rPr>
          <w:rFonts w:ascii="Arial" w:hAnsi="Arial" w:cs="Arial"/>
          <w:b/>
          <w:sz w:val="22"/>
          <w:u w:val="single"/>
        </w:rPr>
      </w:pPr>
      <w:r w:rsidRPr="00E559FA">
        <w:rPr>
          <w:rFonts w:ascii="Arial" w:hAnsi="Arial" w:cs="Arial"/>
          <w:b/>
          <w:sz w:val="22"/>
          <w:u w:val="single"/>
        </w:rPr>
        <w:t>NON-CURRENT ASSETS</w:t>
      </w:r>
      <w:r w:rsidRPr="00E559FA">
        <w:rPr>
          <w:rFonts w:ascii="Arial" w:hAnsi="Arial" w:cs="Arial"/>
          <w:b/>
          <w:sz w:val="22"/>
        </w:rPr>
        <w:t>:</w:t>
      </w:r>
      <w:r w:rsidRPr="00E559FA">
        <w:rPr>
          <w:rFonts w:ascii="Arial" w:hAnsi="Arial" w:cs="Arial"/>
          <w:b/>
          <w:sz w:val="22"/>
          <w:u w:val="single"/>
        </w:rPr>
        <w:t xml:space="preserve"> </w:t>
      </w:r>
    </w:p>
    <w:p w14:paraId="36F662EB" w14:textId="50208030" w:rsidR="005D7EB7" w:rsidRDefault="005D7EB7" w:rsidP="00DE2E0C">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lang w:val="en-IN"/>
        </w:rPr>
        <w:t>PROPERTY, PLANT AND EQUIPMENTS:</w:t>
      </w:r>
    </w:p>
    <w:tbl>
      <w:tblPr>
        <w:tblW w:w="8647" w:type="dxa"/>
        <w:tblInd w:w="699" w:type="dxa"/>
        <w:tblLayout w:type="fixed"/>
        <w:tblLook w:val="04A0" w:firstRow="1" w:lastRow="0" w:firstColumn="1" w:lastColumn="0" w:noHBand="0" w:noVBand="1"/>
      </w:tblPr>
      <w:tblGrid>
        <w:gridCol w:w="567"/>
        <w:gridCol w:w="2126"/>
        <w:gridCol w:w="1418"/>
        <w:gridCol w:w="1276"/>
        <w:gridCol w:w="1417"/>
        <w:gridCol w:w="1843"/>
      </w:tblGrid>
      <w:tr w:rsidR="005D7EB7" w:rsidRPr="005D7EB7" w14:paraId="245BD8BF" w14:textId="77777777" w:rsidTr="008B6152">
        <w:trPr>
          <w:trHeight w:val="315"/>
        </w:trPr>
        <w:tc>
          <w:tcPr>
            <w:tcW w:w="567" w:type="dxa"/>
            <w:vMerge w:val="restart"/>
            <w:tcBorders>
              <w:top w:val="single" w:sz="8" w:space="0" w:color="auto"/>
              <w:left w:val="single" w:sz="8" w:space="0" w:color="auto"/>
              <w:bottom w:val="single" w:sz="8" w:space="0" w:color="000000"/>
              <w:right w:val="single" w:sz="8" w:space="0" w:color="auto"/>
            </w:tcBorders>
            <w:shd w:val="clear" w:color="000000" w:fill="002060"/>
            <w:vAlign w:val="center"/>
            <w:hideMark/>
          </w:tcPr>
          <w:p w14:paraId="591B83B7"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S. No.</w:t>
            </w:r>
          </w:p>
        </w:tc>
        <w:tc>
          <w:tcPr>
            <w:tcW w:w="2126" w:type="dxa"/>
            <w:vMerge w:val="restart"/>
            <w:tcBorders>
              <w:top w:val="single" w:sz="8" w:space="0" w:color="auto"/>
              <w:left w:val="nil"/>
              <w:right w:val="single" w:sz="8" w:space="0" w:color="000000"/>
            </w:tcBorders>
            <w:shd w:val="clear" w:color="000000" w:fill="002060"/>
            <w:noWrap/>
            <w:vAlign w:val="center"/>
            <w:hideMark/>
          </w:tcPr>
          <w:p w14:paraId="75C2C6BD" w14:textId="098D20B3"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Particular</w:t>
            </w:r>
          </w:p>
        </w:tc>
        <w:tc>
          <w:tcPr>
            <w:tcW w:w="2694" w:type="dxa"/>
            <w:gridSpan w:val="2"/>
            <w:tcBorders>
              <w:top w:val="single" w:sz="8" w:space="0" w:color="auto"/>
              <w:left w:val="nil"/>
              <w:bottom w:val="single" w:sz="8" w:space="0" w:color="auto"/>
              <w:right w:val="single" w:sz="8" w:space="0" w:color="000000"/>
            </w:tcBorders>
            <w:shd w:val="clear" w:color="000000" w:fill="002060"/>
            <w:vAlign w:val="center"/>
          </w:tcPr>
          <w:p w14:paraId="0F98E3D7" w14:textId="1E2AF10B"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As per Balance Sheet as on 31-03-2024</w:t>
            </w:r>
          </w:p>
        </w:tc>
        <w:tc>
          <w:tcPr>
            <w:tcW w:w="3260" w:type="dxa"/>
            <w:gridSpan w:val="2"/>
            <w:tcBorders>
              <w:top w:val="single" w:sz="8" w:space="0" w:color="auto"/>
              <w:left w:val="nil"/>
              <w:bottom w:val="single" w:sz="8" w:space="0" w:color="auto"/>
              <w:right w:val="single" w:sz="8" w:space="0" w:color="000000"/>
            </w:tcBorders>
            <w:shd w:val="clear" w:color="000000" w:fill="002060"/>
            <w:noWrap/>
            <w:vAlign w:val="center"/>
            <w:hideMark/>
          </w:tcPr>
          <w:p w14:paraId="77697935"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As per RKA as on 09-09-2024</w:t>
            </w:r>
          </w:p>
        </w:tc>
      </w:tr>
      <w:tr w:rsidR="005D7EB7" w:rsidRPr="005D7EB7" w14:paraId="6AB215BE" w14:textId="77777777" w:rsidTr="008B6152">
        <w:trPr>
          <w:trHeight w:val="524"/>
        </w:trPr>
        <w:tc>
          <w:tcPr>
            <w:tcW w:w="567" w:type="dxa"/>
            <w:vMerge/>
            <w:tcBorders>
              <w:top w:val="single" w:sz="8" w:space="0" w:color="auto"/>
              <w:left w:val="single" w:sz="8" w:space="0" w:color="auto"/>
              <w:bottom w:val="single" w:sz="8" w:space="0" w:color="000000"/>
              <w:right w:val="single" w:sz="8" w:space="0" w:color="auto"/>
            </w:tcBorders>
            <w:vAlign w:val="center"/>
            <w:hideMark/>
          </w:tcPr>
          <w:p w14:paraId="7296DFD7" w14:textId="77777777" w:rsidR="005D7EB7" w:rsidRPr="005D7EB7" w:rsidRDefault="005D7EB7" w:rsidP="005D7EB7">
            <w:pPr>
              <w:spacing w:after="0" w:line="240" w:lineRule="auto"/>
              <w:rPr>
                <w:rFonts w:ascii="Calibri" w:hAnsi="Calibri" w:cs="Calibri"/>
                <w:b/>
                <w:bCs/>
                <w:color w:val="FFFFFF"/>
                <w:sz w:val="22"/>
                <w:szCs w:val="22"/>
                <w:lang w:val="en-IN" w:eastAsia="en-IN"/>
              </w:rPr>
            </w:pPr>
          </w:p>
        </w:tc>
        <w:tc>
          <w:tcPr>
            <w:tcW w:w="2126" w:type="dxa"/>
            <w:vMerge/>
            <w:tcBorders>
              <w:left w:val="single" w:sz="8" w:space="0" w:color="auto"/>
              <w:bottom w:val="single" w:sz="8" w:space="0" w:color="000000"/>
              <w:right w:val="single" w:sz="8" w:space="0" w:color="000000"/>
            </w:tcBorders>
            <w:shd w:val="clear" w:color="000000" w:fill="002060"/>
            <w:vAlign w:val="center"/>
            <w:hideMark/>
          </w:tcPr>
          <w:p w14:paraId="21162DBF" w14:textId="0E73BFAE"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p>
        </w:tc>
        <w:tc>
          <w:tcPr>
            <w:tcW w:w="1418" w:type="dxa"/>
            <w:tcBorders>
              <w:top w:val="nil"/>
              <w:left w:val="single" w:sz="8" w:space="0" w:color="000000"/>
              <w:bottom w:val="single" w:sz="8" w:space="0" w:color="000000"/>
              <w:right w:val="single" w:sz="8" w:space="0" w:color="auto"/>
            </w:tcBorders>
            <w:shd w:val="clear" w:color="000000" w:fill="002060"/>
            <w:noWrap/>
            <w:vAlign w:val="center"/>
            <w:hideMark/>
          </w:tcPr>
          <w:p w14:paraId="6AE5CEED"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Gross Block</w:t>
            </w:r>
          </w:p>
        </w:tc>
        <w:tc>
          <w:tcPr>
            <w:tcW w:w="1276" w:type="dxa"/>
            <w:tcBorders>
              <w:top w:val="nil"/>
              <w:left w:val="single" w:sz="8" w:space="0" w:color="auto"/>
              <w:bottom w:val="single" w:sz="8" w:space="0" w:color="000000"/>
              <w:right w:val="single" w:sz="8" w:space="0" w:color="auto"/>
            </w:tcBorders>
            <w:shd w:val="clear" w:color="000000" w:fill="002060"/>
            <w:noWrap/>
            <w:vAlign w:val="center"/>
            <w:hideMark/>
          </w:tcPr>
          <w:p w14:paraId="0D405270"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Net Block</w:t>
            </w:r>
          </w:p>
        </w:tc>
        <w:tc>
          <w:tcPr>
            <w:tcW w:w="1417" w:type="dxa"/>
            <w:tcBorders>
              <w:top w:val="nil"/>
              <w:left w:val="single" w:sz="8" w:space="0" w:color="auto"/>
              <w:bottom w:val="single" w:sz="8" w:space="0" w:color="000000"/>
              <w:right w:val="single" w:sz="8" w:space="0" w:color="auto"/>
            </w:tcBorders>
            <w:shd w:val="clear" w:color="000000" w:fill="002060"/>
            <w:noWrap/>
            <w:vAlign w:val="center"/>
            <w:hideMark/>
          </w:tcPr>
          <w:p w14:paraId="77A73B5F" w14:textId="77777777"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GCRC</w:t>
            </w:r>
          </w:p>
        </w:tc>
        <w:tc>
          <w:tcPr>
            <w:tcW w:w="1843" w:type="dxa"/>
            <w:tcBorders>
              <w:top w:val="nil"/>
              <w:left w:val="nil"/>
              <w:right w:val="single" w:sz="8" w:space="0" w:color="auto"/>
            </w:tcBorders>
            <w:shd w:val="clear" w:color="000000" w:fill="002060"/>
            <w:noWrap/>
            <w:vAlign w:val="center"/>
            <w:hideMark/>
          </w:tcPr>
          <w:p w14:paraId="659D9D8D" w14:textId="315137F0" w:rsidR="005D7EB7" w:rsidRPr="005D7EB7" w:rsidRDefault="005D7EB7" w:rsidP="005D7EB7">
            <w:pPr>
              <w:spacing w:after="0" w:line="240" w:lineRule="auto"/>
              <w:ind w:left="-120" w:right="-132"/>
              <w:jc w:val="center"/>
              <w:rPr>
                <w:rFonts w:ascii="Calibri" w:hAnsi="Calibri" w:cs="Calibri"/>
                <w:b/>
                <w:bCs/>
                <w:color w:val="FFFFFF"/>
                <w:sz w:val="22"/>
                <w:szCs w:val="22"/>
                <w:lang w:val="en-IN" w:eastAsia="en-IN"/>
              </w:rPr>
            </w:pPr>
            <w:r w:rsidRPr="005D7EB7">
              <w:rPr>
                <w:rFonts w:ascii="Calibri" w:hAnsi="Calibri" w:cs="Calibri"/>
                <w:b/>
                <w:bCs/>
                <w:color w:val="FFFFFF"/>
                <w:sz w:val="22"/>
                <w:szCs w:val="22"/>
                <w:lang w:val="en-IN" w:eastAsia="en-IN"/>
              </w:rPr>
              <w:t>Prospective Fair</w:t>
            </w:r>
            <w:r>
              <w:rPr>
                <w:rFonts w:ascii="Calibri" w:hAnsi="Calibri" w:cs="Calibri"/>
                <w:b/>
                <w:bCs/>
                <w:color w:val="FFFFFF"/>
                <w:sz w:val="22"/>
                <w:szCs w:val="22"/>
                <w:lang w:val="en-IN" w:eastAsia="en-IN"/>
              </w:rPr>
              <w:t xml:space="preserve"> </w:t>
            </w:r>
            <w:r w:rsidRPr="005D7EB7">
              <w:rPr>
                <w:rFonts w:ascii="Calibri" w:hAnsi="Calibri" w:cs="Calibri"/>
                <w:b/>
                <w:bCs/>
                <w:color w:val="FFFFFF"/>
                <w:sz w:val="22"/>
                <w:szCs w:val="22"/>
                <w:lang w:val="en-IN" w:eastAsia="en-IN"/>
              </w:rPr>
              <w:t>Market Value</w:t>
            </w:r>
          </w:p>
        </w:tc>
      </w:tr>
      <w:tr w:rsidR="005D7EB7" w:rsidRPr="005D7EB7" w14:paraId="2EB3DF55" w14:textId="77777777" w:rsidTr="008B6152">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14:paraId="0C5E36BB"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1</w:t>
            </w:r>
          </w:p>
        </w:tc>
        <w:tc>
          <w:tcPr>
            <w:tcW w:w="2126" w:type="dxa"/>
            <w:tcBorders>
              <w:top w:val="nil"/>
              <w:left w:val="nil"/>
              <w:bottom w:val="single" w:sz="8" w:space="0" w:color="auto"/>
              <w:right w:val="single" w:sz="8" w:space="0" w:color="auto"/>
            </w:tcBorders>
            <w:shd w:val="clear" w:color="auto" w:fill="auto"/>
            <w:noWrap/>
            <w:vAlign w:val="center"/>
            <w:hideMark/>
          </w:tcPr>
          <w:p w14:paraId="15666DBE" w14:textId="77777777" w:rsidR="005D7EB7" w:rsidRPr="005D7EB7" w:rsidRDefault="005D7EB7" w:rsidP="005D7EB7">
            <w:pPr>
              <w:spacing w:after="0" w:line="240" w:lineRule="auto"/>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Office Equipments</w:t>
            </w:r>
          </w:p>
        </w:tc>
        <w:tc>
          <w:tcPr>
            <w:tcW w:w="1418" w:type="dxa"/>
            <w:tcBorders>
              <w:top w:val="nil"/>
              <w:left w:val="nil"/>
              <w:bottom w:val="single" w:sz="8" w:space="0" w:color="auto"/>
              <w:right w:val="single" w:sz="8" w:space="0" w:color="auto"/>
            </w:tcBorders>
            <w:shd w:val="clear" w:color="auto" w:fill="auto"/>
            <w:noWrap/>
            <w:vAlign w:val="center"/>
            <w:hideMark/>
          </w:tcPr>
          <w:p w14:paraId="158CC248"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9,32,057</w:t>
            </w:r>
          </w:p>
        </w:tc>
        <w:tc>
          <w:tcPr>
            <w:tcW w:w="1276" w:type="dxa"/>
            <w:tcBorders>
              <w:top w:val="nil"/>
              <w:left w:val="nil"/>
              <w:bottom w:val="single" w:sz="8" w:space="0" w:color="auto"/>
              <w:right w:val="single" w:sz="8" w:space="0" w:color="auto"/>
            </w:tcBorders>
            <w:shd w:val="clear" w:color="auto" w:fill="auto"/>
            <w:noWrap/>
            <w:vAlign w:val="center"/>
            <w:hideMark/>
          </w:tcPr>
          <w:p w14:paraId="5405F6BB"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49,632</w:t>
            </w:r>
          </w:p>
        </w:tc>
        <w:tc>
          <w:tcPr>
            <w:tcW w:w="1417" w:type="dxa"/>
            <w:tcBorders>
              <w:top w:val="nil"/>
              <w:left w:val="nil"/>
              <w:bottom w:val="single" w:sz="8" w:space="0" w:color="auto"/>
              <w:right w:val="single" w:sz="8" w:space="0" w:color="auto"/>
            </w:tcBorders>
            <w:shd w:val="clear" w:color="auto" w:fill="auto"/>
            <w:noWrap/>
            <w:vAlign w:val="center"/>
            <w:hideMark/>
          </w:tcPr>
          <w:p w14:paraId="03D75514"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3,85,611</w:t>
            </w:r>
          </w:p>
        </w:tc>
        <w:tc>
          <w:tcPr>
            <w:tcW w:w="1843" w:type="dxa"/>
            <w:tcBorders>
              <w:top w:val="nil"/>
              <w:left w:val="nil"/>
              <w:bottom w:val="single" w:sz="8" w:space="0" w:color="auto"/>
              <w:right w:val="single" w:sz="8" w:space="0" w:color="auto"/>
            </w:tcBorders>
            <w:shd w:val="clear" w:color="auto" w:fill="auto"/>
            <w:noWrap/>
            <w:vAlign w:val="center"/>
            <w:hideMark/>
          </w:tcPr>
          <w:p w14:paraId="76E79E61" w14:textId="77777777" w:rsidR="005D7EB7" w:rsidRPr="005D7EB7" w:rsidRDefault="005D7EB7" w:rsidP="005D7EB7">
            <w:pPr>
              <w:spacing w:after="0" w:line="240" w:lineRule="auto"/>
              <w:jc w:val="center"/>
              <w:rPr>
                <w:rFonts w:ascii="Calibri" w:hAnsi="Calibri" w:cs="Calibri"/>
                <w:color w:val="000000"/>
                <w:sz w:val="22"/>
                <w:szCs w:val="22"/>
                <w:lang w:val="en-IN" w:eastAsia="en-IN"/>
              </w:rPr>
            </w:pPr>
            <w:r w:rsidRPr="005D7EB7">
              <w:rPr>
                <w:rFonts w:ascii="Calibri" w:hAnsi="Calibri" w:cs="Calibri"/>
                <w:color w:val="000000"/>
                <w:sz w:val="22"/>
                <w:szCs w:val="22"/>
                <w:lang w:val="en-IN" w:eastAsia="en-IN"/>
              </w:rPr>
              <w:t>27,385</w:t>
            </w:r>
          </w:p>
        </w:tc>
      </w:tr>
      <w:tr w:rsidR="005D7EB7" w:rsidRPr="005D7EB7" w14:paraId="0138D914" w14:textId="77777777" w:rsidTr="005D7EB7">
        <w:trPr>
          <w:trHeight w:val="315"/>
        </w:trPr>
        <w:tc>
          <w:tcPr>
            <w:tcW w:w="2693" w:type="dxa"/>
            <w:gridSpan w:val="2"/>
            <w:tcBorders>
              <w:top w:val="single" w:sz="8" w:space="0" w:color="auto"/>
              <w:left w:val="single" w:sz="8" w:space="0" w:color="auto"/>
              <w:bottom w:val="single" w:sz="8" w:space="0" w:color="auto"/>
              <w:right w:val="single" w:sz="8" w:space="0" w:color="000000"/>
            </w:tcBorders>
            <w:shd w:val="clear" w:color="auto" w:fill="DEEAF6" w:themeFill="accent1" w:themeFillTint="33"/>
            <w:vAlign w:val="center"/>
            <w:hideMark/>
          </w:tcPr>
          <w:p w14:paraId="458B8F87"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Total</w:t>
            </w:r>
          </w:p>
        </w:tc>
        <w:tc>
          <w:tcPr>
            <w:tcW w:w="1418" w:type="dxa"/>
            <w:tcBorders>
              <w:top w:val="nil"/>
              <w:left w:val="nil"/>
              <w:bottom w:val="single" w:sz="8" w:space="0" w:color="auto"/>
              <w:right w:val="single" w:sz="8" w:space="0" w:color="auto"/>
            </w:tcBorders>
            <w:shd w:val="clear" w:color="auto" w:fill="DEEAF6" w:themeFill="accent1" w:themeFillTint="33"/>
            <w:noWrap/>
            <w:vAlign w:val="center"/>
            <w:hideMark/>
          </w:tcPr>
          <w:p w14:paraId="160E0B1B"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9,32,057</w:t>
            </w:r>
          </w:p>
        </w:tc>
        <w:tc>
          <w:tcPr>
            <w:tcW w:w="1276" w:type="dxa"/>
            <w:tcBorders>
              <w:top w:val="nil"/>
              <w:left w:val="nil"/>
              <w:bottom w:val="single" w:sz="8" w:space="0" w:color="auto"/>
              <w:right w:val="single" w:sz="8" w:space="0" w:color="auto"/>
            </w:tcBorders>
            <w:shd w:val="clear" w:color="auto" w:fill="DEEAF6" w:themeFill="accent1" w:themeFillTint="33"/>
            <w:noWrap/>
            <w:vAlign w:val="center"/>
            <w:hideMark/>
          </w:tcPr>
          <w:p w14:paraId="33CCD537"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49,632</w:t>
            </w:r>
          </w:p>
        </w:tc>
        <w:tc>
          <w:tcPr>
            <w:tcW w:w="1417" w:type="dxa"/>
            <w:tcBorders>
              <w:top w:val="nil"/>
              <w:left w:val="nil"/>
              <w:bottom w:val="single" w:sz="8" w:space="0" w:color="auto"/>
              <w:right w:val="single" w:sz="8" w:space="0" w:color="auto"/>
            </w:tcBorders>
            <w:shd w:val="clear" w:color="auto" w:fill="DEEAF6" w:themeFill="accent1" w:themeFillTint="33"/>
            <w:noWrap/>
            <w:vAlign w:val="center"/>
            <w:hideMark/>
          </w:tcPr>
          <w:p w14:paraId="541C609E"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3,85,611</w:t>
            </w:r>
          </w:p>
        </w:tc>
        <w:tc>
          <w:tcPr>
            <w:tcW w:w="1843" w:type="dxa"/>
            <w:tcBorders>
              <w:top w:val="nil"/>
              <w:left w:val="nil"/>
              <w:bottom w:val="single" w:sz="8" w:space="0" w:color="auto"/>
              <w:right w:val="single" w:sz="8" w:space="0" w:color="auto"/>
            </w:tcBorders>
            <w:shd w:val="clear" w:color="auto" w:fill="DEEAF6" w:themeFill="accent1" w:themeFillTint="33"/>
            <w:noWrap/>
            <w:vAlign w:val="center"/>
            <w:hideMark/>
          </w:tcPr>
          <w:p w14:paraId="5FB36BBB" w14:textId="77777777" w:rsidR="005D7EB7" w:rsidRPr="005D7EB7" w:rsidRDefault="005D7EB7" w:rsidP="005D7EB7">
            <w:pPr>
              <w:spacing w:after="0" w:line="240" w:lineRule="auto"/>
              <w:jc w:val="center"/>
              <w:rPr>
                <w:rFonts w:ascii="Calibri" w:hAnsi="Calibri" w:cs="Calibri"/>
                <w:b/>
                <w:bCs/>
                <w:color w:val="000000"/>
                <w:sz w:val="22"/>
                <w:szCs w:val="22"/>
                <w:lang w:val="en-IN" w:eastAsia="en-IN"/>
              </w:rPr>
            </w:pPr>
            <w:r w:rsidRPr="005D7EB7">
              <w:rPr>
                <w:rFonts w:ascii="Calibri" w:hAnsi="Calibri" w:cs="Calibri"/>
                <w:b/>
                <w:bCs/>
                <w:color w:val="000000"/>
                <w:sz w:val="22"/>
                <w:szCs w:val="22"/>
                <w:lang w:val="en-IN" w:eastAsia="en-IN"/>
              </w:rPr>
              <w:t>27,385</w:t>
            </w:r>
          </w:p>
        </w:tc>
      </w:tr>
      <w:tr w:rsidR="005D7EB7" w:rsidRPr="005D7EB7" w14:paraId="167FB3F6" w14:textId="77777777" w:rsidTr="009A7D47">
        <w:trPr>
          <w:trHeight w:val="189"/>
        </w:trPr>
        <w:tc>
          <w:tcPr>
            <w:tcW w:w="8647" w:type="dxa"/>
            <w:gridSpan w:val="6"/>
            <w:tcBorders>
              <w:top w:val="single" w:sz="8" w:space="0" w:color="auto"/>
              <w:left w:val="single" w:sz="8" w:space="0" w:color="auto"/>
              <w:bottom w:val="single" w:sz="8" w:space="0" w:color="auto"/>
              <w:right w:val="single" w:sz="8" w:space="0" w:color="000000"/>
            </w:tcBorders>
            <w:shd w:val="clear" w:color="auto" w:fill="002060"/>
            <w:vAlign w:val="center"/>
            <w:hideMark/>
          </w:tcPr>
          <w:p w14:paraId="7CEC7634" w14:textId="740611E8" w:rsidR="005D7EB7" w:rsidRPr="005D7EB7" w:rsidRDefault="005D7EB7" w:rsidP="005D7EB7">
            <w:pPr>
              <w:spacing w:after="0" w:line="240" w:lineRule="auto"/>
              <w:ind w:right="-132"/>
              <w:rPr>
                <w:rFonts w:ascii="Calibri" w:hAnsi="Calibri" w:cs="Calibri"/>
                <w:b/>
                <w:bCs/>
                <w:i/>
                <w:iCs/>
                <w:color w:val="000000"/>
                <w:sz w:val="22"/>
                <w:szCs w:val="22"/>
                <w:lang w:val="en-IN" w:eastAsia="en-IN"/>
              </w:rPr>
            </w:pPr>
            <w:r w:rsidRPr="005D7EB7">
              <w:rPr>
                <w:rFonts w:ascii="Calibri" w:hAnsi="Calibri" w:cs="Calibri"/>
                <w:b/>
                <w:bCs/>
                <w:i/>
                <w:iCs/>
                <w:color w:val="FFFFFF" w:themeColor="background1"/>
                <w:sz w:val="22"/>
                <w:szCs w:val="22"/>
                <w:lang w:val="en-IN" w:eastAsia="en-IN"/>
              </w:rPr>
              <w:t>NOTE</w:t>
            </w:r>
            <w:r>
              <w:rPr>
                <w:rFonts w:ascii="Calibri" w:hAnsi="Calibri" w:cs="Calibri"/>
                <w:b/>
                <w:bCs/>
                <w:i/>
                <w:iCs/>
                <w:color w:val="FFFFFF" w:themeColor="background1"/>
                <w:sz w:val="22"/>
                <w:szCs w:val="22"/>
                <w:lang w:val="en-IN" w:eastAsia="en-IN"/>
              </w:rPr>
              <w:t>S</w:t>
            </w:r>
            <w:r w:rsidRPr="005D7EB7">
              <w:rPr>
                <w:rFonts w:ascii="Calibri" w:hAnsi="Calibri" w:cs="Calibri"/>
                <w:b/>
                <w:bCs/>
                <w:i/>
                <w:iCs/>
                <w:color w:val="FFFFFF" w:themeColor="background1"/>
                <w:sz w:val="22"/>
                <w:szCs w:val="22"/>
                <w:lang w:val="en-IN" w:eastAsia="en-IN"/>
              </w:rPr>
              <w:t>:</w:t>
            </w:r>
          </w:p>
        </w:tc>
      </w:tr>
      <w:tr w:rsidR="005D7EB7" w:rsidRPr="005D7EB7" w14:paraId="586BAEF2" w14:textId="77777777" w:rsidTr="005D7EB7">
        <w:trPr>
          <w:trHeight w:val="555"/>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3C27A82E" w14:textId="52663DFE"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Office equipment pertaining to</w:t>
            </w:r>
            <w:r w:rsidR="00382F20" w:rsidRPr="00382F20">
              <w:rPr>
                <w:rFonts w:ascii="Calibri" w:hAnsi="Calibri" w:cs="Calibri"/>
                <w:i/>
                <w:iCs/>
                <w:color w:val="000000"/>
                <w:sz w:val="22"/>
                <w:szCs w:val="22"/>
                <w:lang w:val="en-IN" w:eastAsia="en-IN"/>
              </w:rPr>
              <w:t xml:space="preserve"> U</w:t>
            </w:r>
            <w:r w:rsidRPr="00382F20">
              <w:rPr>
                <w:rFonts w:ascii="Calibri" w:hAnsi="Calibri" w:cs="Calibri"/>
                <w:i/>
                <w:iCs/>
                <w:color w:val="000000"/>
                <w:sz w:val="22"/>
                <w:szCs w:val="22"/>
                <w:lang w:val="en-IN" w:eastAsia="en-IN"/>
              </w:rPr>
              <w:t xml:space="preserve">nit </w:t>
            </w:r>
            <w:r w:rsidR="00382F20" w:rsidRPr="00382F20">
              <w:rPr>
                <w:rFonts w:ascii="Calibri" w:hAnsi="Calibri" w:cs="Calibri"/>
                <w:i/>
                <w:iCs/>
                <w:color w:val="000000"/>
                <w:sz w:val="22"/>
                <w:szCs w:val="22"/>
                <w:lang w:val="en-IN" w:eastAsia="en-IN"/>
              </w:rPr>
              <w:t xml:space="preserve">No. 15 Ground Floor </w:t>
            </w:r>
            <w:r w:rsidRPr="00382F20">
              <w:rPr>
                <w:rFonts w:ascii="Calibri" w:hAnsi="Calibri" w:cs="Calibri"/>
                <w:i/>
                <w:iCs/>
                <w:color w:val="000000"/>
                <w:sz w:val="22"/>
                <w:szCs w:val="22"/>
                <w:lang w:val="en-IN" w:eastAsia="en-IN"/>
              </w:rPr>
              <w:t xml:space="preserve">GDITL Northex Tower </w:t>
            </w:r>
            <w:r w:rsidR="00382F20" w:rsidRPr="00382F20">
              <w:rPr>
                <w:rFonts w:ascii="Calibri" w:hAnsi="Calibri" w:cs="Calibri"/>
                <w:i/>
                <w:iCs/>
                <w:color w:val="000000"/>
                <w:sz w:val="22"/>
                <w:szCs w:val="22"/>
                <w:lang w:val="en-IN" w:eastAsia="en-IN"/>
              </w:rPr>
              <w:t xml:space="preserve">Plot No. A-9 </w:t>
            </w:r>
            <w:r w:rsidRPr="00382F20">
              <w:rPr>
                <w:rFonts w:ascii="Calibri" w:hAnsi="Calibri" w:cs="Calibri"/>
                <w:i/>
                <w:iCs/>
                <w:color w:val="000000"/>
                <w:sz w:val="22"/>
                <w:szCs w:val="22"/>
                <w:lang w:val="en-IN" w:eastAsia="en-IN"/>
              </w:rPr>
              <w:t xml:space="preserve">Netaji </w:t>
            </w:r>
            <w:r w:rsidR="00382F20" w:rsidRPr="00382F20">
              <w:rPr>
                <w:rFonts w:ascii="Calibri" w:hAnsi="Calibri" w:cs="Calibri"/>
                <w:i/>
                <w:iCs/>
                <w:color w:val="000000"/>
                <w:sz w:val="22"/>
                <w:szCs w:val="22"/>
                <w:lang w:val="en-IN" w:eastAsia="en-IN"/>
              </w:rPr>
              <w:t>Subhash Place Pitampura New Delhi 11003</w:t>
            </w:r>
            <w:r w:rsidRPr="00382F20">
              <w:rPr>
                <w:rFonts w:ascii="Calibri" w:hAnsi="Calibri" w:cs="Calibri"/>
                <w:i/>
                <w:iCs/>
                <w:color w:val="000000"/>
                <w:sz w:val="22"/>
                <w:szCs w:val="22"/>
                <w:lang w:val="en-IN" w:eastAsia="en-IN"/>
              </w:rPr>
              <w:t>. is considered in this section of valuation report.</w:t>
            </w:r>
          </w:p>
        </w:tc>
      </w:tr>
      <w:tr w:rsidR="005D7EB7" w:rsidRPr="005D7EB7" w14:paraId="07983F07" w14:textId="77777777" w:rsidTr="005D7EB7">
        <w:trPr>
          <w:trHeight w:val="355"/>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2369A2" w14:textId="78E816EB"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Useful life of office equipments of the like printer, Air conditioner &amp; Table chairs etc. is taken as 3</w:t>
            </w:r>
            <w:r w:rsidR="009A7D47" w:rsidRPr="00382F20">
              <w:rPr>
                <w:rFonts w:ascii="Calibri" w:hAnsi="Calibri" w:cs="Calibri"/>
                <w:i/>
                <w:iCs/>
                <w:color w:val="000000"/>
                <w:sz w:val="22"/>
                <w:szCs w:val="22"/>
                <w:lang w:val="en-IN" w:eastAsia="en-IN"/>
              </w:rPr>
              <w:t xml:space="preserve"> to </w:t>
            </w:r>
            <w:r w:rsidRPr="00382F20">
              <w:rPr>
                <w:rFonts w:ascii="Calibri" w:hAnsi="Calibri" w:cs="Calibri"/>
                <w:i/>
                <w:iCs/>
                <w:color w:val="000000"/>
                <w:sz w:val="22"/>
                <w:szCs w:val="22"/>
                <w:lang w:val="en-IN" w:eastAsia="en-IN"/>
              </w:rPr>
              <w:t xml:space="preserve">5 years. </w:t>
            </w:r>
          </w:p>
        </w:tc>
      </w:tr>
      <w:tr w:rsidR="005D7EB7" w:rsidRPr="005D7EB7" w14:paraId="556B2194" w14:textId="77777777" w:rsidTr="005D7EB7">
        <w:trPr>
          <w:trHeight w:val="540"/>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76B6947B" w14:textId="446240F1"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During the site visit, the office equipments are in average condition. Our engineering team visited all the sections and manually inspected the machines and equipment on the basis of their physical existence not on the basis technical.</w:t>
            </w:r>
          </w:p>
        </w:tc>
      </w:tr>
      <w:tr w:rsidR="005D7EB7" w:rsidRPr="005D7EB7" w14:paraId="70648B5C" w14:textId="77777777" w:rsidTr="005D7EB7">
        <w:trPr>
          <w:trHeight w:val="570"/>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09F3FE04" w14:textId="22394B58"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 xml:space="preserve">The valuation is done by considering the Market Comparable Sales Method, further </w:t>
            </w:r>
            <w:r w:rsidR="00382F20" w:rsidRPr="00382F20">
              <w:rPr>
                <w:rFonts w:ascii="Calibri" w:hAnsi="Calibri" w:cs="Calibri"/>
                <w:i/>
                <w:iCs/>
                <w:color w:val="000000"/>
                <w:sz w:val="22"/>
                <w:szCs w:val="22"/>
                <w:lang w:val="en-IN" w:eastAsia="en-IN"/>
              </w:rPr>
              <w:t>depreciation</w:t>
            </w:r>
            <w:r w:rsidRPr="00382F20">
              <w:rPr>
                <w:rFonts w:ascii="Calibri" w:hAnsi="Calibri" w:cs="Calibri"/>
                <w:i/>
                <w:iCs/>
                <w:color w:val="000000"/>
                <w:sz w:val="22"/>
                <w:szCs w:val="22"/>
                <w:lang w:val="en-IN" w:eastAsia="en-IN"/>
              </w:rPr>
              <w:t xml:space="preserve"> in respective commodity has been applied to the respective Gross current reproduction Cost to derive the Fair Market Value.</w:t>
            </w:r>
          </w:p>
        </w:tc>
      </w:tr>
      <w:tr w:rsidR="005D7EB7" w:rsidRPr="005D7EB7" w14:paraId="190FD8DD" w14:textId="77777777" w:rsidTr="005D7EB7">
        <w:trPr>
          <w:trHeight w:val="315"/>
        </w:trPr>
        <w:tc>
          <w:tcPr>
            <w:tcW w:w="8647" w:type="dxa"/>
            <w:gridSpan w:val="6"/>
            <w:tcBorders>
              <w:top w:val="single" w:sz="8" w:space="0" w:color="auto"/>
              <w:left w:val="single" w:sz="8" w:space="0" w:color="auto"/>
              <w:bottom w:val="single" w:sz="8" w:space="0" w:color="auto"/>
              <w:right w:val="single" w:sz="8" w:space="0" w:color="000000"/>
            </w:tcBorders>
            <w:shd w:val="clear" w:color="000000" w:fill="FFFFFF"/>
            <w:vAlign w:val="center"/>
            <w:hideMark/>
          </w:tcPr>
          <w:p w14:paraId="5C433331" w14:textId="3AD42A6C" w:rsidR="005D7EB7" w:rsidRPr="00382F20" w:rsidRDefault="005D7EB7" w:rsidP="00DE2E0C">
            <w:pPr>
              <w:pStyle w:val="ListParagraph"/>
              <w:numPr>
                <w:ilvl w:val="0"/>
                <w:numId w:val="19"/>
              </w:numPr>
              <w:spacing w:after="0" w:line="240" w:lineRule="auto"/>
              <w:ind w:left="306" w:hanging="284"/>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Since the FAR is not provided to us, all the valuation of the office equipment has been done according to the site survey.</w:t>
            </w:r>
          </w:p>
        </w:tc>
      </w:tr>
    </w:tbl>
    <w:p w14:paraId="6221225C" w14:textId="5C36A21F" w:rsidR="008933F4" w:rsidRPr="008933F4" w:rsidRDefault="00E559FA" w:rsidP="00DE2E0C">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rPr>
        <w:t xml:space="preserve">INVESTMENTS: </w:t>
      </w:r>
    </w:p>
    <w:p w14:paraId="372C26AB" w14:textId="5812BE73" w:rsidR="001C408F" w:rsidRDefault="00E559FA" w:rsidP="00DE2E0C">
      <w:pPr>
        <w:pStyle w:val="ListParagraph"/>
        <w:numPr>
          <w:ilvl w:val="0"/>
          <w:numId w:val="17"/>
        </w:numPr>
        <w:spacing w:before="240" w:line="360" w:lineRule="auto"/>
        <w:ind w:left="993" w:right="-306" w:hanging="142"/>
        <w:jc w:val="both"/>
        <w:rPr>
          <w:rFonts w:ascii="Arial" w:hAnsi="Arial" w:cs="Arial"/>
          <w:b/>
          <w:sz w:val="22"/>
          <w:lang w:val="en-IN"/>
        </w:rPr>
      </w:pPr>
      <w:r w:rsidRPr="00E559FA">
        <w:rPr>
          <w:rFonts w:ascii="Arial" w:hAnsi="Arial" w:cs="Arial"/>
          <w:bCs/>
          <w:sz w:val="22"/>
          <w:lang w:val="en-IN"/>
        </w:rPr>
        <w:t xml:space="preserve">Investments in capital partnership firms unquoted non-trade - </w:t>
      </w:r>
      <w:r w:rsidRPr="00E559FA">
        <w:rPr>
          <w:rFonts w:ascii="Arial" w:hAnsi="Arial" w:cs="Arial"/>
          <w:b/>
          <w:sz w:val="22"/>
          <w:lang w:val="en-IN"/>
        </w:rPr>
        <w:t>ITL Infotech LLP</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732"/>
      </w:tblGrid>
      <w:tr w:rsidR="00E559FA" w:rsidRPr="00E559FA" w14:paraId="591B0A49" w14:textId="77777777" w:rsidTr="00632E53">
        <w:trPr>
          <w:trHeight w:val="275"/>
        </w:trPr>
        <w:tc>
          <w:tcPr>
            <w:tcW w:w="3827" w:type="dxa"/>
            <w:shd w:val="clear" w:color="000000" w:fill="002060"/>
            <w:noWrap/>
            <w:vAlign w:val="center"/>
            <w:hideMark/>
          </w:tcPr>
          <w:p w14:paraId="59503EEF" w14:textId="77777777" w:rsidR="00E559FA" w:rsidRPr="00E559FA" w:rsidRDefault="00E559FA" w:rsidP="00632E53">
            <w:pPr>
              <w:spacing w:after="0" w:line="276" w:lineRule="auto"/>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Assets</w:t>
            </w:r>
          </w:p>
        </w:tc>
        <w:tc>
          <w:tcPr>
            <w:tcW w:w="2732" w:type="dxa"/>
            <w:shd w:val="clear" w:color="000000" w:fill="002060"/>
            <w:vAlign w:val="center"/>
            <w:hideMark/>
          </w:tcPr>
          <w:p w14:paraId="768B4D22" w14:textId="77777777" w:rsidR="00E559FA" w:rsidRPr="00E559FA" w:rsidRDefault="00E559FA" w:rsidP="00632E53">
            <w:pPr>
              <w:spacing w:after="0" w:line="276"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2024</w:t>
            </w:r>
          </w:p>
        </w:tc>
      </w:tr>
      <w:tr w:rsidR="00E559FA" w:rsidRPr="00E559FA" w14:paraId="7617F3A2" w14:textId="77777777" w:rsidTr="00E559FA">
        <w:trPr>
          <w:trHeight w:val="300"/>
        </w:trPr>
        <w:tc>
          <w:tcPr>
            <w:tcW w:w="3827" w:type="dxa"/>
            <w:shd w:val="clear" w:color="auto" w:fill="auto"/>
            <w:noWrap/>
            <w:vAlign w:val="bottom"/>
            <w:hideMark/>
          </w:tcPr>
          <w:p w14:paraId="7D6672F3"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lastRenderedPageBreak/>
              <w:t>Non-Current Assets</w:t>
            </w:r>
          </w:p>
        </w:tc>
        <w:tc>
          <w:tcPr>
            <w:tcW w:w="2732" w:type="dxa"/>
            <w:shd w:val="clear" w:color="auto" w:fill="auto"/>
            <w:noWrap/>
            <w:vAlign w:val="bottom"/>
            <w:hideMark/>
          </w:tcPr>
          <w:p w14:paraId="5E54CBB6"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190F3618" w14:textId="77777777" w:rsidTr="00E559FA">
        <w:trPr>
          <w:trHeight w:val="300"/>
        </w:trPr>
        <w:tc>
          <w:tcPr>
            <w:tcW w:w="3827" w:type="dxa"/>
            <w:shd w:val="clear" w:color="auto" w:fill="auto"/>
            <w:noWrap/>
            <w:vAlign w:val="bottom"/>
            <w:hideMark/>
          </w:tcPr>
          <w:p w14:paraId="0FEA8AFC"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Non-Current Investment</w:t>
            </w:r>
          </w:p>
        </w:tc>
        <w:tc>
          <w:tcPr>
            <w:tcW w:w="2732" w:type="dxa"/>
            <w:shd w:val="clear" w:color="auto" w:fill="auto"/>
            <w:noWrap/>
            <w:vAlign w:val="bottom"/>
            <w:hideMark/>
          </w:tcPr>
          <w:p w14:paraId="33E2A636" w14:textId="623B5B10"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12</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79</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000.00</w:t>
            </w:r>
          </w:p>
        </w:tc>
      </w:tr>
      <w:tr w:rsidR="00E559FA" w:rsidRPr="00E559FA" w14:paraId="1C86775E" w14:textId="77777777" w:rsidTr="00E559FA">
        <w:trPr>
          <w:trHeight w:val="300"/>
        </w:trPr>
        <w:tc>
          <w:tcPr>
            <w:tcW w:w="3827" w:type="dxa"/>
            <w:shd w:val="clear" w:color="auto" w:fill="auto"/>
            <w:noWrap/>
            <w:vAlign w:val="bottom"/>
            <w:hideMark/>
          </w:tcPr>
          <w:p w14:paraId="1CE60718"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Assets</w:t>
            </w:r>
          </w:p>
        </w:tc>
        <w:tc>
          <w:tcPr>
            <w:tcW w:w="2732" w:type="dxa"/>
            <w:shd w:val="clear" w:color="auto" w:fill="auto"/>
            <w:noWrap/>
            <w:vAlign w:val="bottom"/>
            <w:hideMark/>
          </w:tcPr>
          <w:p w14:paraId="3FAAF504"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54B1F187" w14:textId="77777777" w:rsidTr="00E559FA">
        <w:trPr>
          <w:trHeight w:val="300"/>
        </w:trPr>
        <w:tc>
          <w:tcPr>
            <w:tcW w:w="3827" w:type="dxa"/>
            <w:shd w:val="clear" w:color="auto" w:fill="auto"/>
            <w:noWrap/>
            <w:vAlign w:val="bottom"/>
            <w:hideMark/>
          </w:tcPr>
          <w:p w14:paraId="6D9E0D9D" w14:textId="24823322"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Cash and Cash Equivalent</w:t>
            </w:r>
          </w:p>
        </w:tc>
        <w:tc>
          <w:tcPr>
            <w:tcW w:w="2732" w:type="dxa"/>
            <w:shd w:val="clear" w:color="auto" w:fill="auto"/>
            <w:noWrap/>
            <w:vAlign w:val="bottom"/>
            <w:hideMark/>
          </w:tcPr>
          <w:p w14:paraId="637D3047" w14:textId="0C31DE91"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3</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48</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559.00</w:t>
            </w:r>
          </w:p>
        </w:tc>
      </w:tr>
      <w:tr w:rsidR="00E559FA" w:rsidRPr="00E559FA" w14:paraId="1F53BA4F" w14:textId="77777777" w:rsidTr="00E559FA">
        <w:trPr>
          <w:trHeight w:val="300"/>
        </w:trPr>
        <w:tc>
          <w:tcPr>
            <w:tcW w:w="3827" w:type="dxa"/>
            <w:shd w:val="clear" w:color="auto" w:fill="auto"/>
            <w:noWrap/>
            <w:vAlign w:val="bottom"/>
            <w:hideMark/>
          </w:tcPr>
          <w:p w14:paraId="498BAACC"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0E243D63" w14:textId="1849759A"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27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298.00</w:t>
            </w:r>
          </w:p>
        </w:tc>
      </w:tr>
      <w:tr w:rsidR="00E559FA" w:rsidRPr="00E559FA" w14:paraId="0FA7E51A" w14:textId="77777777" w:rsidTr="00E559FA">
        <w:trPr>
          <w:trHeight w:val="300"/>
        </w:trPr>
        <w:tc>
          <w:tcPr>
            <w:tcW w:w="3827" w:type="dxa"/>
            <w:shd w:val="clear" w:color="000000" w:fill="DDEBF7"/>
            <w:noWrap/>
            <w:vAlign w:val="bottom"/>
            <w:hideMark/>
          </w:tcPr>
          <w:p w14:paraId="6A1F3D24"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Assets</w:t>
            </w:r>
          </w:p>
        </w:tc>
        <w:tc>
          <w:tcPr>
            <w:tcW w:w="2732" w:type="dxa"/>
            <w:shd w:val="clear" w:color="000000" w:fill="DDEBF7"/>
            <w:noWrap/>
            <w:vAlign w:val="bottom"/>
            <w:hideMark/>
          </w:tcPr>
          <w:p w14:paraId="4B79831E" w14:textId="61380BEF" w:rsidR="00E559FA" w:rsidRPr="00E559FA" w:rsidRDefault="00E559FA" w:rsidP="00632E53">
            <w:pPr>
              <w:spacing w:after="0" w:line="276"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43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94</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857.00</w:t>
            </w:r>
          </w:p>
        </w:tc>
      </w:tr>
      <w:tr w:rsidR="00E559FA" w:rsidRPr="00E559FA" w14:paraId="0B6EF7BA" w14:textId="77777777" w:rsidTr="00E559FA">
        <w:trPr>
          <w:trHeight w:val="300"/>
        </w:trPr>
        <w:tc>
          <w:tcPr>
            <w:tcW w:w="3827" w:type="dxa"/>
            <w:shd w:val="clear" w:color="auto" w:fill="auto"/>
            <w:noWrap/>
            <w:vAlign w:val="bottom"/>
            <w:hideMark/>
          </w:tcPr>
          <w:p w14:paraId="5ACC9C9A"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Liabilities</w:t>
            </w:r>
          </w:p>
        </w:tc>
        <w:tc>
          <w:tcPr>
            <w:tcW w:w="2732" w:type="dxa"/>
            <w:shd w:val="clear" w:color="auto" w:fill="auto"/>
            <w:noWrap/>
            <w:vAlign w:val="bottom"/>
            <w:hideMark/>
          </w:tcPr>
          <w:p w14:paraId="76A0A1E0"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35596A6E" w14:textId="77777777" w:rsidTr="00E559FA">
        <w:trPr>
          <w:trHeight w:val="300"/>
        </w:trPr>
        <w:tc>
          <w:tcPr>
            <w:tcW w:w="3827" w:type="dxa"/>
            <w:shd w:val="clear" w:color="auto" w:fill="auto"/>
            <w:noWrap/>
            <w:vAlign w:val="bottom"/>
            <w:hideMark/>
          </w:tcPr>
          <w:p w14:paraId="3B225D08"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Liabilities</w:t>
            </w:r>
          </w:p>
        </w:tc>
        <w:tc>
          <w:tcPr>
            <w:tcW w:w="2732" w:type="dxa"/>
            <w:shd w:val="clear" w:color="auto" w:fill="auto"/>
            <w:noWrap/>
            <w:vAlign w:val="bottom"/>
            <w:hideMark/>
          </w:tcPr>
          <w:p w14:paraId="3057DA2B" w14:textId="77777777" w:rsidR="00E559FA" w:rsidRPr="00E559FA" w:rsidRDefault="00E559FA" w:rsidP="00632E53">
            <w:pPr>
              <w:spacing w:after="0" w:line="276" w:lineRule="auto"/>
              <w:rPr>
                <w:rFonts w:ascii="Calibri" w:hAnsi="Calibri" w:cs="Calibri"/>
                <w:b/>
                <w:bCs/>
                <w:color w:val="000000"/>
                <w:sz w:val="22"/>
                <w:szCs w:val="22"/>
                <w:lang w:val="en-IN" w:eastAsia="en-IN"/>
              </w:rPr>
            </w:pPr>
          </w:p>
        </w:tc>
      </w:tr>
      <w:tr w:rsidR="00E559FA" w:rsidRPr="00E559FA" w14:paraId="2F3A6169" w14:textId="77777777" w:rsidTr="00E559FA">
        <w:trPr>
          <w:trHeight w:val="300"/>
        </w:trPr>
        <w:tc>
          <w:tcPr>
            <w:tcW w:w="3827" w:type="dxa"/>
            <w:shd w:val="clear" w:color="auto" w:fill="auto"/>
            <w:noWrap/>
            <w:vAlign w:val="bottom"/>
            <w:hideMark/>
          </w:tcPr>
          <w:p w14:paraId="16088650"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Other Current Liabilities</w:t>
            </w:r>
          </w:p>
        </w:tc>
        <w:tc>
          <w:tcPr>
            <w:tcW w:w="2732" w:type="dxa"/>
            <w:shd w:val="clear" w:color="auto" w:fill="auto"/>
            <w:noWrap/>
            <w:vAlign w:val="bottom"/>
            <w:hideMark/>
          </w:tcPr>
          <w:p w14:paraId="60156116" w14:textId="31F05587"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7</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500.00</w:t>
            </w:r>
          </w:p>
        </w:tc>
      </w:tr>
      <w:tr w:rsidR="00E559FA" w:rsidRPr="00E559FA" w14:paraId="126C9E10" w14:textId="77777777" w:rsidTr="00E559FA">
        <w:trPr>
          <w:trHeight w:val="300"/>
        </w:trPr>
        <w:tc>
          <w:tcPr>
            <w:tcW w:w="3827" w:type="dxa"/>
            <w:shd w:val="clear" w:color="auto" w:fill="auto"/>
            <w:noWrap/>
            <w:vAlign w:val="bottom"/>
            <w:hideMark/>
          </w:tcPr>
          <w:p w14:paraId="6DB7B981"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Short-Term Loans and Advances</w:t>
            </w:r>
          </w:p>
        </w:tc>
        <w:tc>
          <w:tcPr>
            <w:tcW w:w="2732" w:type="dxa"/>
            <w:shd w:val="clear" w:color="auto" w:fill="auto"/>
            <w:noWrap/>
            <w:vAlign w:val="bottom"/>
            <w:hideMark/>
          </w:tcPr>
          <w:p w14:paraId="3C548B31" w14:textId="6C0DDC08"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65</w:t>
            </w:r>
            <w:r>
              <w:rPr>
                <w:rFonts w:ascii="Calibri" w:hAnsi="Calibri" w:cs="Calibri"/>
                <w:color w:val="000000"/>
                <w:sz w:val="22"/>
                <w:szCs w:val="22"/>
                <w:lang w:val="en-IN" w:eastAsia="en-IN"/>
              </w:rPr>
              <w:t>,</w:t>
            </w:r>
            <w:r w:rsidRPr="00E559FA">
              <w:rPr>
                <w:rFonts w:ascii="Calibri" w:hAnsi="Calibri" w:cs="Calibri"/>
                <w:color w:val="000000"/>
                <w:sz w:val="22"/>
                <w:szCs w:val="22"/>
                <w:lang w:val="en-IN" w:eastAsia="en-IN"/>
              </w:rPr>
              <w:t>680.00</w:t>
            </w:r>
          </w:p>
        </w:tc>
      </w:tr>
      <w:tr w:rsidR="00E559FA" w:rsidRPr="00E559FA" w14:paraId="318B1C98" w14:textId="77777777" w:rsidTr="00E559FA">
        <w:trPr>
          <w:trHeight w:val="300"/>
        </w:trPr>
        <w:tc>
          <w:tcPr>
            <w:tcW w:w="3827" w:type="dxa"/>
            <w:shd w:val="clear" w:color="000000" w:fill="DDEBF7"/>
            <w:noWrap/>
            <w:vAlign w:val="bottom"/>
            <w:hideMark/>
          </w:tcPr>
          <w:p w14:paraId="6BF87552" w14:textId="77777777" w:rsidR="00E559FA" w:rsidRPr="00E559FA" w:rsidRDefault="00E559FA" w:rsidP="00632E5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Liabilities</w:t>
            </w:r>
          </w:p>
        </w:tc>
        <w:tc>
          <w:tcPr>
            <w:tcW w:w="2732" w:type="dxa"/>
            <w:shd w:val="clear" w:color="000000" w:fill="DDEBF7"/>
            <w:noWrap/>
            <w:vAlign w:val="bottom"/>
            <w:hideMark/>
          </w:tcPr>
          <w:p w14:paraId="35B9BCC2" w14:textId="6ABEFD63" w:rsidR="00E559FA" w:rsidRPr="00E559FA" w:rsidRDefault="00E559FA" w:rsidP="00632E53">
            <w:pPr>
              <w:spacing w:after="0" w:line="276" w:lineRule="auto"/>
              <w:jc w:val="center"/>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73</w:t>
            </w:r>
            <w:r>
              <w:rPr>
                <w:rFonts w:ascii="Calibri" w:hAnsi="Calibri" w:cs="Calibri"/>
                <w:b/>
                <w:bCs/>
                <w:color w:val="000000"/>
                <w:sz w:val="22"/>
                <w:szCs w:val="22"/>
                <w:lang w:val="en-IN" w:eastAsia="en-IN"/>
              </w:rPr>
              <w:t>,</w:t>
            </w:r>
            <w:r w:rsidRPr="00E559FA">
              <w:rPr>
                <w:rFonts w:ascii="Calibri" w:hAnsi="Calibri" w:cs="Calibri"/>
                <w:b/>
                <w:bCs/>
                <w:color w:val="000000"/>
                <w:sz w:val="22"/>
                <w:szCs w:val="22"/>
                <w:lang w:val="en-IN" w:eastAsia="en-IN"/>
              </w:rPr>
              <w:t>180.00</w:t>
            </w:r>
          </w:p>
        </w:tc>
      </w:tr>
    </w:tbl>
    <w:p w14:paraId="65197298" w14:textId="77777777" w:rsidR="00E559FA" w:rsidRPr="00E559FA" w:rsidRDefault="00E559FA" w:rsidP="009A7D47">
      <w:pPr>
        <w:pStyle w:val="ListParagraph"/>
        <w:spacing w:after="0" w:line="360" w:lineRule="auto"/>
        <w:ind w:left="709" w:right="-589"/>
        <w:jc w:val="both"/>
        <w:rPr>
          <w:rFonts w:ascii="Arial" w:hAnsi="Arial" w:cs="Arial"/>
          <w:b/>
          <w:sz w:val="22"/>
          <w:lang w:val="en-IN"/>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tblGrid>
      <w:tr w:rsidR="00E559FA" w:rsidRPr="00E559FA" w14:paraId="45456657" w14:textId="77777777" w:rsidTr="00CA13DF">
        <w:trPr>
          <w:trHeight w:val="300"/>
        </w:trPr>
        <w:tc>
          <w:tcPr>
            <w:tcW w:w="4253" w:type="dxa"/>
            <w:shd w:val="clear" w:color="auto" w:fill="002060"/>
            <w:noWrap/>
            <w:vAlign w:val="bottom"/>
          </w:tcPr>
          <w:p w14:paraId="309E2E60" w14:textId="00A48585" w:rsidR="00E559FA" w:rsidRPr="00E559FA" w:rsidRDefault="00E559FA" w:rsidP="00632E53">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268" w:type="dxa"/>
            <w:shd w:val="clear" w:color="auto" w:fill="002060"/>
            <w:noWrap/>
            <w:vAlign w:val="bottom"/>
          </w:tcPr>
          <w:p w14:paraId="3F65F3C3" w14:textId="4C3DFBF7" w:rsidR="00E559FA" w:rsidRPr="00E559FA" w:rsidRDefault="00E559FA" w:rsidP="00632E53">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p>
        </w:tc>
      </w:tr>
      <w:tr w:rsidR="00E559FA" w:rsidRPr="00E559FA" w14:paraId="3577A1DF" w14:textId="77777777" w:rsidTr="00CA13DF">
        <w:trPr>
          <w:trHeight w:val="300"/>
        </w:trPr>
        <w:tc>
          <w:tcPr>
            <w:tcW w:w="4253" w:type="dxa"/>
            <w:shd w:val="clear" w:color="auto" w:fill="auto"/>
            <w:noWrap/>
            <w:vAlign w:val="bottom"/>
            <w:hideMark/>
          </w:tcPr>
          <w:p w14:paraId="501C4E27"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Net Worth of LLP</w:t>
            </w:r>
          </w:p>
        </w:tc>
        <w:tc>
          <w:tcPr>
            <w:tcW w:w="2268" w:type="dxa"/>
            <w:shd w:val="clear" w:color="auto" w:fill="auto"/>
            <w:noWrap/>
            <w:vAlign w:val="bottom"/>
            <w:hideMark/>
          </w:tcPr>
          <w:p w14:paraId="68EF0AA1" w14:textId="65BFA1DF" w:rsidR="00E559FA" w:rsidRPr="00E559FA" w:rsidRDefault="00E559FA" w:rsidP="00632E53">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INR </w:t>
            </w:r>
            <w:r w:rsidRPr="00E559FA">
              <w:rPr>
                <w:rFonts w:ascii="Calibri" w:hAnsi="Calibri" w:cs="Calibri"/>
                <w:color w:val="000000"/>
                <w:sz w:val="22"/>
                <w:szCs w:val="22"/>
                <w:lang w:val="en-IN" w:eastAsia="en-IN"/>
              </w:rPr>
              <w:t>43,21,677.00</w:t>
            </w:r>
          </w:p>
        </w:tc>
      </w:tr>
      <w:tr w:rsidR="00E559FA" w:rsidRPr="00E559FA" w14:paraId="10F01840" w14:textId="77777777" w:rsidTr="00CA13DF">
        <w:trPr>
          <w:trHeight w:val="300"/>
        </w:trPr>
        <w:tc>
          <w:tcPr>
            <w:tcW w:w="4253" w:type="dxa"/>
            <w:shd w:val="clear" w:color="auto" w:fill="auto"/>
            <w:noWrap/>
            <w:vAlign w:val="bottom"/>
            <w:hideMark/>
          </w:tcPr>
          <w:p w14:paraId="4989CA9E" w14:textId="77777777" w:rsidR="00E559FA" w:rsidRPr="00E559FA" w:rsidRDefault="00E559FA" w:rsidP="00632E5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Owned by GDTIL</w:t>
            </w:r>
          </w:p>
        </w:tc>
        <w:tc>
          <w:tcPr>
            <w:tcW w:w="2268" w:type="dxa"/>
            <w:shd w:val="clear" w:color="auto" w:fill="auto"/>
            <w:noWrap/>
            <w:vAlign w:val="bottom"/>
            <w:hideMark/>
          </w:tcPr>
          <w:p w14:paraId="462EEABC" w14:textId="0E64D40C" w:rsidR="00E559FA" w:rsidRPr="00E559FA" w:rsidRDefault="00E559FA" w:rsidP="00632E53">
            <w:pPr>
              <w:spacing w:after="0" w:line="276" w:lineRule="auto"/>
              <w:jc w:val="center"/>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1</w:t>
            </w:r>
            <w:r w:rsidR="00CA13DF">
              <w:rPr>
                <w:rFonts w:ascii="Calibri" w:hAnsi="Calibri" w:cs="Calibri"/>
                <w:color w:val="000000"/>
                <w:sz w:val="22"/>
                <w:szCs w:val="22"/>
                <w:lang w:val="en-IN" w:eastAsia="en-IN"/>
              </w:rPr>
              <w:t>5</w:t>
            </w:r>
            <w:r w:rsidRPr="00E559FA">
              <w:rPr>
                <w:rFonts w:ascii="Calibri" w:hAnsi="Calibri" w:cs="Calibri"/>
                <w:color w:val="000000"/>
                <w:sz w:val="22"/>
                <w:szCs w:val="22"/>
                <w:lang w:val="en-IN" w:eastAsia="en-IN"/>
              </w:rPr>
              <w:t>%</w:t>
            </w:r>
          </w:p>
        </w:tc>
      </w:tr>
      <w:tr w:rsidR="00E559FA" w:rsidRPr="00E559FA" w14:paraId="4F2917E1" w14:textId="77777777" w:rsidTr="00CA13DF">
        <w:trPr>
          <w:trHeight w:val="300"/>
        </w:trPr>
        <w:tc>
          <w:tcPr>
            <w:tcW w:w="4253" w:type="dxa"/>
            <w:shd w:val="clear" w:color="auto" w:fill="DEEAF6" w:themeFill="accent1" w:themeFillTint="33"/>
            <w:noWrap/>
            <w:vAlign w:val="bottom"/>
            <w:hideMark/>
          </w:tcPr>
          <w:p w14:paraId="65DEFC94" w14:textId="77777777" w:rsidR="00E559FA" w:rsidRPr="00E559FA" w:rsidRDefault="00E559FA" w:rsidP="00632E53">
            <w:pPr>
              <w:spacing w:after="0" w:line="276"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268" w:type="dxa"/>
            <w:shd w:val="clear" w:color="auto" w:fill="DEEAF6" w:themeFill="accent1" w:themeFillTint="33"/>
            <w:noWrap/>
            <w:vAlign w:val="bottom"/>
            <w:hideMark/>
          </w:tcPr>
          <w:p w14:paraId="368CB5D9" w14:textId="7DCC0767" w:rsidR="00E559FA" w:rsidRPr="00E559FA" w:rsidRDefault="00CA13DF" w:rsidP="00CA13DF">
            <w:pPr>
              <w:spacing w:after="0" w:line="276" w:lineRule="auto"/>
              <w:jc w:val="center"/>
              <w:rPr>
                <w:rFonts w:ascii="Calibri" w:hAnsi="Calibri" w:cs="Calibri"/>
                <w:b/>
                <w:bCs/>
                <w:sz w:val="22"/>
                <w:szCs w:val="22"/>
                <w:lang w:val="en-IN" w:eastAsia="en-IN"/>
              </w:rPr>
            </w:pPr>
            <w:r>
              <w:rPr>
                <w:rFonts w:ascii="Calibri" w:hAnsi="Calibri" w:cs="Calibri"/>
                <w:b/>
                <w:bCs/>
                <w:sz w:val="22"/>
                <w:szCs w:val="22"/>
                <w:lang w:eastAsia="en-IN"/>
              </w:rPr>
              <w:t xml:space="preserve">INR </w:t>
            </w:r>
            <w:r w:rsidRPr="00CA13DF">
              <w:rPr>
                <w:rFonts w:ascii="Calibri" w:hAnsi="Calibri" w:cs="Calibri"/>
                <w:b/>
                <w:bCs/>
                <w:sz w:val="22"/>
                <w:szCs w:val="22"/>
                <w:lang w:eastAsia="en-IN"/>
              </w:rPr>
              <w:t>6,56,030.57</w:t>
            </w:r>
          </w:p>
        </w:tc>
      </w:tr>
      <w:tr w:rsidR="00CA13DF" w:rsidRPr="00E559FA" w14:paraId="14B846EB" w14:textId="77777777" w:rsidTr="00CA13DF">
        <w:trPr>
          <w:trHeight w:val="300"/>
        </w:trPr>
        <w:tc>
          <w:tcPr>
            <w:tcW w:w="4253" w:type="dxa"/>
            <w:shd w:val="clear" w:color="auto" w:fill="DEEAF6" w:themeFill="accent1" w:themeFillTint="33"/>
            <w:noWrap/>
            <w:vAlign w:val="bottom"/>
          </w:tcPr>
          <w:p w14:paraId="498B1DA3" w14:textId="77DFAEE2" w:rsidR="00CA13DF" w:rsidRPr="00E559FA" w:rsidRDefault="00CA13DF" w:rsidP="00632E53">
            <w:pPr>
              <w:spacing w:after="0" w:line="276" w:lineRule="auto"/>
              <w:rPr>
                <w:rFonts w:ascii="Calibri" w:hAnsi="Calibri" w:cs="Calibri"/>
                <w:b/>
                <w:bCs/>
                <w:sz w:val="22"/>
                <w:szCs w:val="22"/>
                <w:lang w:val="en-IN" w:eastAsia="en-IN"/>
              </w:rPr>
            </w:pPr>
            <w:r>
              <w:rPr>
                <w:rFonts w:ascii="Calibri" w:hAnsi="Calibri" w:cs="Calibri"/>
                <w:b/>
                <w:bCs/>
                <w:sz w:val="22"/>
                <w:szCs w:val="22"/>
                <w:lang w:val="en-IN" w:eastAsia="en-IN"/>
              </w:rPr>
              <w:t>Fair Value of Investment (In INR Thousands)</w:t>
            </w:r>
          </w:p>
        </w:tc>
        <w:tc>
          <w:tcPr>
            <w:tcW w:w="2268" w:type="dxa"/>
            <w:shd w:val="clear" w:color="auto" w:fill="DEEAF6" w:themeFill="accent1" w:themeFillTint="33"/>
            <w:noWrap/>
            <w:vAlign w:val="bottom"/>
          </w:tcPr>
          <w:p w14:paraId="78FCC902" w14:textId="69DAD52E" w:rsidR="00CA13DF" w:rsidRDefault="00CA13DF" w:rsidP="00CA13DF">
            <w:pPr>
              <w:spacing w:after="0" w:line="276" w:lineRule="auto"/>
              <w:jc w:val="center"/>
              <w:rPr>
                <w:rFonts w:ascii="Calibri" w:hAnsi="Calibri" w:cs="Calibri"/>
                <w:b/>
                <w:bCs/>
                <w:sz w:val="22"/>
                <w:szCs w:val="22"/>
                <w:lang w:eastAsia="en-IN"/>
              </w:rPr>
            </w:pPr>
            <w:r>
              <w:rPr>
                <w:rFonts w:ascii="Calibri" w:hAnsi="Calibri" w:cs="Calibri"/>
                <w:b/>
                <w:bCs/>
                <w:sz w:val="22"/>
                <w:szCs w:val="22"/>
                <w:lang w:eastAsia="en-IN"/>
              </w:rPr>
              <w:t>656.03</w:t>
            </w:r>
          </w:p>
        </w:tc>
      </w:tr>
    </w:tbl>
    <w:p w14:paraId="035A84DC" w14:textId="20F14DA9" w:rsidR="008933F4" w:rsidRDefault="008933F4" w:rsidP="00DE2E0C">
      <w:pPr>
        <w:pStyle w:val="ListParagraph"/>
        <w:numPr>
          <w:ilvl w:val="0"/>
          <w:numId w:val="17"/>
        </w:numPr>
        <w:spacing w:before="240" w:line="360" w:lineRule="auto"/>
        <w:ind w:left="993" w:right="-306" w:hanging="142"/>
        <w:jc w:val="both"/>
        <w:rPr>
          <w:rFonts w:ascii="Arial" w:hAnsi="Arial" w:cs="Arial"/>
          <w:b/>
          <w:sz w:val="22"/>
        </w:rPr>
      </w:pPr>
      <w:r>
        <w:rPr>
          <w:rFonts w:ascii="Arial" w:hAnsi="Arial" w:cs="Arial"/>
          <w:b/>
          <w:sz w:val="22"/>
        </w:rPr>
        <w:t>Investment Property</w:t>
      </w:r>
    </w:p>
    <w:tbl>
      <w:tblPr>
        <w:tblW w:w="9923" w:type="dxa"/>
        <w:tblInd w:w="137" w:type="dxa"/>
        <w:tblLayout w:type="fixed"/>
        <w:tblLook w:val="04A0" w:firstRow="1" w:lastRow="0" w:firstColumn="1" w:lastColumn="0" w:noHBand="0" w:noVBand="1"/>
      </w:tblPr>
      <w:tblGrid>
        <w:gridCol w:w="425"/>
        <w:gridCol w:w="1276"/>
        <w:gridCol w:w="992"/>
        <w:gridCol w:w="851"/>
        <w:gridCol w:w="992"/>
        <w:gridCol w:w="992"/>
        <w:gridCol w:w="993"/>
        <w:gridCol w:w="992"/>
        <w:gridCol w:w="1134"/>
        <w:gridCol w:w="1276"/>
      </w:tblGrid>
      <w:tr w:rsidR="00B45A18" w:rsidRPr="008933F4" w14:paraId="58211C06" w14:textId="77777777" w:rsidTr="00B45A18">
        <w:trPr>
          <w:trHeight w:val="600"/>
        </w:trPr>
        <w:tc>
          <w:tcPr>
            <w:tcW w:w="42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C8389E0"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 No.</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4D4D2593"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Description</w:t>
            </w:r>
          </w:p>
        </w:tc>
        <w:tc>
          <w:tcPr>
            <w:tcW w:w="992" w:type="dxa"/>
            <w:tcBorders>
              <w:top w:val="single" w:sz="4" w:space="0" w:color="auto"/>
              <w:left w:val="nil"/>
              <w:bottom w:val="single" w:sz="4" w:space="0" w:color="auto"/>
              <w:right w:val="single" w:sz="4" w:space="0" w:color="auto"/>
            </w:tcBorders>
            <w:shd w:val="clear" w:color="000000" w:fill="002060"/>
            <w:vAlign w:val="center"/>
            <w:hideMark/>
          </w:tcPr>
          <w:p w14:paraId="23A75205" w14:textId="05A457B4"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Super</w:t>
            </w:r>
            <w:r w:rsidR="00B45A18">
              <w:rPr>
                <w:rFonts w:ascii="Calibri" w:hAnsi="Calibri" w:cs="Calibri"/>
                <w:b/>
                <w:bCs/>
                <w:color w:val="FFFFFF"/>
                <w:sz w:val="22"/>
                <w:szCs w:val="22"/>
                <w:lang w:val="en-IN" w:eastAsia="en-IN"/>
              </w:rPr>
              <w:t xml:space="preserve"> A</w:t>
            </w:r>
            <w:r w:rsidRPr="008933F4">
              <w:rPr>
                <w:rFonts w:ascii="Calibri" w:hAnsi="Calibri" w:cs="Calibri"/>
                <w:b/>
                <w:bCs/>
                <w:color w:val="FFFFFF"/>
                <w:sz w:val="22"/>
                <w:szCs w:val="22"/>
                <w:lang w:val="en-IN" w:eastAsia="en-IN"/>
              </w:rPr>
              <w:t>rea in Sq.</w:t>
            </w:r>
            <w:r w:rsidR="00B45A18">
              <w:rPr>
                <w:rFonts w:ascii="Calibri" w:hAnsi="Calibri" w:cs="Calibri"/>
                <w:b/>
                <w:bCs/>
                <w:color w:val="FFFFFF"/>
                <w:sz w:val="22"/>
                <w:szCs w:val="22"/>
                <w:lang w:val="en-IN" w:eastAsia="en-IN"/>
              </w:rPr>
              <w:t xml:space="preserve"> </w:t>
            </w:r>
            <w:r w:rsidRPr="008933F4">
              <w:rPr>
                <w:rFonts w:ascii="Calibri" w:hAnsi="Calibri" w:cs="Calibri"/>
                <w:b/>
                <w:bCs/>
                <w:color w:val="FFFFFF"/>
                <w:sz w:val="22"/>
                <w:szCs w:val="22"/>
                <w:lang w:val="en-IN" w:eastAsia="en-IN"/>
              </w:rPr>
              <w:t>ft.</w:t>
            </w:r>
          </w:p>
        </w:tc>
        <w:tc>
          <w:tcPr>
            <w:tcW w:w="851" w:type="dxa"/>
            <w:tcBorders>
              <w:top w:val="single" w:sz="4" w:space="0" w:color="auto"/>
              <w:left w:val="nil"/>
              <w:bottom w:val="single" w:sz="4" w:space="0" w:color="auto"/>
              <w:right w:val="single" w:sz="4" w:space="0" w:color="auto"/>
            </w:tcBorders>
            <w:shd w:val="clear" w:color="000000" w:fill="002060"/>
            <w:vAlign w:val="center"/>
            <w:hideMark/>
          </w:tcPr>
          <w:p w14:paraId="65024695"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Range</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235AA7E2"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Basic rate on Super Area</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67E75633"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Discount</w:t>
            </w:r>
          </w:p>
        </w:tc>
        <w:tc>
          <w:tcPr>
            <w:tcW w:w="993" w:type="dxa"/>
            <w:tcBorders>
              <w:top w:val="single" w:sz="4" w:space="0" w:color="auto"/>
              <w:left w:val="nil"/>
              <w:bottom w:val="single" w:sz="4" w:space="0" w:color="auto"/>
              <w:right w:val="single" w:sz="4" w:space="0" w:color="auto"/>
            </w:tcBorders>
            <w:shd w:val="clear" w:color="000000" w:fill="002060"/>
            <w:noWrap/>
            <w:vAlign w:val="center"/>
            <w:hideMark/>
          </w:tcPr>
          <w:p w14:paraId="30E2DF36"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Premium</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0A99D7B0" w14:textId="77777777" w:rsidR="008933F4" w:rsidRPr="008933F4" w:rsidRDefault="008933F4" w:rsidP="00B45A18">
            <w:pPr>
              <w:spacing w:after="0" w:line="240" w:lineRule="auto"/>
              <w:ind w:left="-106" w:right="-104"/>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Adopted</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4AF42FD6"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FMV</w:t>
            </w:r>
          </w:p>
        </w:tc>
        <w:tc>
          <w:tcPr>
            <w:tcW w:w="1276" w:type="dxa"/>
            <w:tcBorders>
              <w:top w:val="nil"/>
              <w:left w:val="nil"/>
              <w:bottom w:val="nil"/>
              <w:right w:val="nil"/>
            </w:tcBorders>
            <w:shd w:val="clear" w:color="000000" w:fill="002060"/>
            <w:noWrap/>
            <w:vAlign w:val="center"/>
            <w:hideMark/>
          </w:tcPr>
          <w:p w14:paraId="14DC07BA" w14:textId="77777777" w:rsidR="008933F4" w:rsidRPr="008933F4" w:rsidRDefault="008933F4" w:rsidP="00B45A18">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Remark</w:t>
            </w:r>
          </w:p>
        </w:tc>
      </w:tr>
      <w:tr w:rsidR="008933F4" w:rsidRPr="008933F4" w14:paraId="0FFED327" w14:textId="77777777" w:rsidTr="00B45A18">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093CE787"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008AD541"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Commercial Built-up Unit</w:t>
            </w:r>
          </w:p>
        </w:tc>
        <w:tc>
          <w:tcPr>
            <w:tcW w:w="992" w:type="dxa"/>
            <w:tcBorders>
              <w:top w:val="nil"/>
              <w:left w:val="nil"/>
              <w:bottom w:val="single" w:sz="4" w:space="0" w:color="auto"/>
              <w:right w:val="single" w:sz="4" w:space="0" w:color="auto"/>
            </w:tcBorders>
            <w:shd w:val="clear" w:color="auto" w:fill="auto"/>
            <w:noWrap/>
            <w:vAlign w:val="center"/>
            <w:hideMark/>
          </w:tcPr>
          <w:p w14:paraId="6923BC5C"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1938.69</w:t>
            </w:r>
          </w:p>
        </w:tc>
        <w:tc>
          <w:tcPr>
            <w:tcW w:w="851" w:type="dxa"/>
            <w:tcBorders>
              <w:top w:val="nil"/>
              <w:left w:val="nil"/>
              <w:bottom w:val="single" w:sz="4" w:space="0" w:color="auto"/>
              <w:right w:val="single" w:sz="4" w:space="0" w:color="auto"/>
            </w:tcBorders>
            <w:shd w:val="clear" w:color="auto" w:fill="auto"/>
            <w:noWrap/>
            <w:vAlign w:val="center"/>
            <w:hideMark/>
          </w:tcPr>
          <w:p w14:paraId="1AFDF389" w14:textId="4A03421B"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20</w:t>
            </w:r>
            <w:r w:rsidR="00B45A18">
              <w:rPr>
                <w:rFonts w:ascii="Calibri" w:hAnsi="Calibri" w:cs="Calibri"/>
                <w:color w:val="000000"/>
                <w:sz w:val="22"/>
                <w:szCs w:val="22"/>
                <w:lang w:val="en-IN" w:eastAsia="en-IN"/>
              </w:rPr>
              <w:t>,</w:t>
            </w:r>
            <w:r w:rsidRPr="008933F4">
              <w:rPr>
                <w:rFonts w:ascii="Calibri" w:hAnsi="Calibri" w:cs="Calibri"/>
                <w:color w:val="000000"/>
                <w:sz w:val="22"/>
                <w:szCs w:val="22"/>
                <w:lang w:val="en-IN" w:eastAsia="en-IN"/>
              </w:rPr>
              <w:t>000-24</w:t>
            </w:r>
            <w:r w:rsidR="00B45A18">
              <w:rPr>
                <w:rFonts w:ascii="Calibri" w:hAnsi="Calibri" w:cs="Calibri"/>
                <w:color w:val="000000"/>
                <w:sz w:val="22"/>
                <w:szCs w:val="22"/>
                <w:lang w:val="en-IN" w:eastAsia="en-IN"/>
              </w:rPr>
              <w:t>,</w:t>
            </w:r>
            <w:r w:rsidRPr="008933F4">
              <w:rPr>
                <w:rFonts w:ascii="Calibri" w:hAnsi="Calibri" w:cs="Calibri"/>
                <w:color w:val="000000"/>
                <w:sz w:val="22"/>
                <w:szCs w:val="22"/>
                <w:lang w:val="en-IN" w:eastAsia="en-IN"/>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B74931B" w14:textId="764065FA"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22</w:t>
            </w:r>
            <w:r w:rsidR="00B45A18">
              <w:rPr>
                <w:rFonts w:ascii="Calibri" w:hAnsi="Calibri" w:cs="Calibri"/>
                <w:color w:val="000000"/>
                <w:sz w:val="22"/>
                <w:szCs w:val="22"/>
                <w:lang w:val="en-IN" w:eastAsia="en-IN"/>
              </w:rPr>
              <w:t>,</w:t>
            </w:r>
            <w:r w:rsidRPr="008933F4">
              <w:rPr>
                <w:rFonts w:ascii="Calibri" w:hAnsi="Calibri" w:cs="Calibri"/>
                <w:color w:val="000000"/>
                <w:sz w:val="22"/>
                <w:szCs w:val="22"/>
                <w:lang w:val="en-IN" w:eastAsia="en-IN"/>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23C3F75"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0.00%</w:t>
            </w:r>
          </w:p>
        </w:tc>
        <w:tc>
          <w:tcPr>
            <w:tcW w:w="993" w:type="dxa"/>
            <w:tcBorders>
              <w:top w:val="nil"/>
              <w:left w:val="nil"/>
              <w:bottom w:val="single" w:sz="4" w:space="0" w:color="auto"/>
              <w:right w:val="single" w:sz="4" w:space="0" w:color="auto"/>
            </w:tcBorders>
            <w:shd w:val="clear" w:color="auto" w:fill="auto"/>
            <w:noWrap/>
            <w:vAlign w:val="center"/>
            <w:hideMark/>
          </w:tcPr>
          <w:p w14:paraId="3C5B64BD" w14:textId="77777777"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20.00%</w:t>
            </w:r>
          </w:p>
        </w:tc>
        <w:tc>
          <w:tcPr>
            <w:tcW w:w="992" w:type="dxa"/>
            <w:tcBorders>
              <w:top w:val="nil"/>
              <w:left w:val="nil"/>
              <w:bottom w:val="single" w:sz="4" w:space="0" w:color="auto"/>
              <w:right w:val="single" w:sz="4" w:space="0" w:color="auto"/>
            </w:tcBorders>
            <w:shd w:val="clear" w:color="auto" w:fill="auto"/>
            <w:noWrap/>
            <w:vAlign w:val="center"/>
            <w:hideMark/>
          </w:tcPr>
          <w:p w14:paraId="19347C75" w14:textId="04518713"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26,400</w:t>
            </w:r>
          </w:p>
        </w:tc>
        <w:tc>
          <w:tcPr>
            <w:tcW w:w="1134" w:type="dxa"/>
            <w:tcBorders>
              <w:top w:val="nil"/>
              <w:left w:val="nil"/>
              <w:bottom w:val="single" w:sz="4" w:space="0" w:color="auto"/>
              <w:right w:val="single" w:sz="4" w:space="0" w:color="auto"/>
            </w:tcBorders>
            <w:shd w:val="clear" w:color="auto" w:fill="auto"/>
            <w:noWrap/>
            <w:vAlign w:val="center"/>
            <w:hideMark/>
          </w:tcPr>
          <w:p w14:paraId="0D974729" w14:textId="0D176BD3"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5,11,81,416</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F919B46" w14:textId="0CD48EC1" w:rsidR="008933F4" w:rsidRPr="008933F4" w:rsidRDefault="008933F4" w:rsidP="00B45A18">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20% premium for ground f</w:t>
            </w:r>
            <w:r>
              <w:rPr>
                <w:rFonts w:ascii="Calibri" w:hAnsi="Calibri" w:cs="Calibri"/>
                <w:color w:val="000000"/>
                <w:sz w:val="22"/>
                <w:szCs w:val="22"/>
                <w:lang w:val="en-IN" w:eastAsia="en-IN"/>
              </w:rPr>
              <w:t>l</w:t>
            </w:r>
            <w:r w:rsidRPr="008933F4">
              <w:rPr>
                <w:rFonts w:ascii="Calibri" w:hAnsi="Calibri" w:cs="Calibri"/>
                <w:color w:val="000000"/>
                <w:sz w:val="22"/>
                <w:szCs w:val="22"/>
                <w:lang w:val="en-IN" w:eastAsia="en-IN"/>
              </w:rPr>
              <w:t>oor</w:t>
            </w:r>
          </w:p>
        </w:tc>
      </w:tr>
      <w:tr w:rsidR="008933F4" w:rsidRPr="008933F4" w14:paraId="52C88E4C"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DF7496C" w14:textId="0EAC9C68" w:rsidR="008933F4" w:rsidRPr="008933F4" w:rsidRDefault="00B45A18" w:rsidP="008933F4">
            <w:pPr>
              <w:spacing w:after="0" w:line="240" w:lineRule="auto"/>
              <w:rPr>
                <w:rFonts w:ascii="Calibri" w:hAnsi="Calibri" w:cs="Calibri"/>
                <w:b/>
                <w:bCs/>
                <w:i/>
                <w:iCs/>
                <w:color w:val="000000"/>
                <w:sz w:val="22"/>
                <w:szCs w:val="22"/>
                <w:lang w:val="en-IN" w:eastAsia="en-IN"/>
              </w:rPr>
            </w:pPr>
            <w:r w:rsidRPr="008933F4">
              <w:rPr>
                <w:rFonts w:ascii="Calibri" w:hAnsi="Calibri" w:cs="Calibri"/>
                <w:b/>
                <w:bCs/>
                <w:i/>
                <w:iCs/>
                <w:color w:val="000000"/>
                <w:sz w:val="22"/>
                <w:szCs w:val="22"/>
                <w:lang w:val="en-IN" w:eastAsia="en-IN"/>
              </w:rPr>
              <w:t>REMARKS:</w:t>
            </w:r>
          </w:p>
        </w:tc>
      </w:tr>
      <w:tr w:rsidR="008933F4" w:rsidRPr="008933F4" w14:paraId="10305E78"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307E02F" w14:textId="2D8AEAD4"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subject property is situated at Unit No. 15 Ground Floor GDITL Northex Tower Plot No. A-9 Netaji Subhash Place Pitampura New Delhi 110034.</w:t>
            </w:r>
          </w:p>
        </w:tc>
      </w:tr>
      <w:tr w:rsidR="008933F4" w:rsidRPr="008933F4" w14:paraId="0EFC7752" w14:textId="77777777" w:rsidTr="00B45A18">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A4CA95" w14:textId="6B50DECC"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Area details are mentioned above is taken from the documents provided to us by Client.</w:t>
            </w:r>
          </w:p>
        </w:tc>
      </w:tr>
      <w:tr w:rsidR="008933F4" w:rsidRPr="008933F4" w14:paraId="19F59891"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067A3951" w14:textId="31E4FB47"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All the building and structures belongs to M/s G.D contractors Pvt. Ltd.</w:t>
            </w:r>
          </w:p>
        </w:tc>
      </w:tr>
      <w:tr w:rsidR="008933F4" w:rsidRPr="008933F4" w14:paraId="30BDD7C5" w14:textId="77777777" w:rsidTr="00B45A18">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DEAB8BB" w14:textId="7D3FB57D"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total super area of the commercial space is 1,938.69 sq. ft.</w:t>
            </w:r>
          </w:p>
        </w:tc>
      </w:tr>
      <w:tr w:rsidR="008933F4" w:rsidRPr="008933F4" w14:paraId="15A96464" w14:textId="77777777" w:rsidTr="00B45A18">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0B6187" w14:textId="546B6790"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valuation is done by considering the Market Comparable Sales Method.</w:t>
            </w:r>
          </w:p>
        </w:tc>
      </w:tr>
      <w:tr w:rsidR="008933F4" w:rsidRPr="008933F4" w14:paraId="40CD9C0E" w14:textId="77777777" w:rsidTr="00B45A18">
        <w:trPr>
          <w:trHeight w:val="9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E7D1CFB" w14:textId="0BD2DBEB" w:rsidR="008933F4" w:rsidRPr="00382F20" w:rsidRDefault="008933F4" w:rsidP="00DE2E0C">
            <w:pPr>
              <w:pStyle w:val="ListParagraph"/>
              <w:numPr>
                <w:ilvl w:val="0"/>
                <w:numId w:val="18"/>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As per the discussion with the property dealer of the subject locality we came to know that the prevailing market rate for commercial Built-up space having size around 2000/- sq. ft. will be available in Neta ji Subhash Palace Delhi within the range around Rs. 20,000/- to Rs. 24,000/- per sq. ft.</w:t>
            </w:r>
            <w:r w:rsidRPr="00382F20">
              <w:rPr>
                <w:rFonts w:ascii="Calibri" w:hAnsi="Calibri" w:cs="Calibri"/>
                <w:i/>
                <w:iCs/>
                <w:color w:val="000000"/>
                <w:sz w:val="22"/>
                <w:szCs w:val="22"/>
                <w:lang w:val="en-IN" w:eastAsia="en-IN"/>
              </w:rPr>
              <w:br/>
              <w:t xml:space="preserve">Further depending on the location, size and area of the subject property.  </w:t>
            </w:r>
          </w:p>
        </w:tc>
      </w:tr>
    </w:tbl>
    <w:p w14:paraId="2E1AED9D" w14:textId="2D752D60" w:rsidR="009471AD" w:rsidRDefault="00CA13DF" w:rsidP="00DE2E0C">
      <w:pPr>
        <w:pStyle w:val="ListParagraph"/>
        <w:numPr>
          <w:ilvl w:val="0"/>
          <w:numId w:val="16"/>
        </w:numPr>
        <w:spacing w:before="240" w:line="360" w:lineRule="auto"/>
        <w:ind w:left="709" w:right="-589" w:hanging="283"/>
        <w:jc w:val="both"/>
        <w:rPr>
          <w:rFonts w:ascii="Arial" w:hAnsi="Arial" w:cs="Arial"/>
          <w:b/>
          <w:sz w:val="22"/>
        </w:rPr>
      </w:pPr>
      <w:r>
        <w:rPr>
          <w:rFonts w:ascii="Arial" w:hAnsi="Arial" w:cs="Arial"/>
          <w:b/>
          <w:sz w:val="22"/>
        </w:rPr>
        <w:t>DEFERRED TAX ASSETS</w:t>
      </w:r>
      <w:r w:rsidR="00CD697B" w:rsidRPr="009471AD">
        <w:rPr>
          <w:rFonts w:ascii="Arial" w:hAnsi="Arial" w:cs="Arial"/>
          <w:b/>
          <w:sz w:val="22"/>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163"/>
      </w:tblGrid>
      <w:tr w:rsidR="009471AD" w:rsidRPr="004E4C7E" w14:paraId="6625B0D8" w14:textId="77777777" w:rsidTr="00CD697B">
        <w:trPr>
          <w:trHeight w:val="300"/>
        </w:trPr>
        <w:tc>
          <w:tcPr>
            <w:tcW w:w="3940" w:type="dxa"/>
            <w:shd w:val="clear" w:color="auto" w:fill="002060"/>
            <w:noWrap/>
            <w:vAlign w:val="center"/>
          </w:tcPr>
          <w:p w14:paraId="6740BF44" w14:textId="7AE8D45E"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w:t>
            </w:r>
            <w:r w:rsidR="00CD697B">
              <w:rPr>
                <w:rFonts w:asciiTheme="minorHAnsi" w:hAnsiTheme="minorHAnsi" w:cstheme="minorHAnsi"/>
                <w:b/>
                <w:bCs/>
                <w:sz w:val="22"/>
                <w:szCs w:val="22"/>
                <w:lang w:val="en-IN" w:eastAsia="en-IN"/>
              </w:rPr>
              <w:t>articulars</w:t>
            </w:r>
          </w:p>
        </w:tc>
        <w:tc>
          <w:tcPr>
            <w:tcW w:w="1843" w:type="dxa"/>
            <w:shd w:val="clear" w:color="auto" w:fill="002060"/>
            <w:noWrap/>
            <w:vAlign w:val="center"/>
          </w:tcPr>
          <w:p w14:paraId="39F67111" w14:textId="0A6C1AD1" w:rsidR="009471AD" w:rsidRPr="004E4C7E" w:rsidRDefault="009471AD"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E559FA">
              <w:rPr>
                <w:rFonts w:asciiTheme="minorHAnsi" w:hAnsiTheme="minorHAnsi" w:cstheme="minorHAnsi"/>
                <w:b/>
                <w:bCs/>
                <w:sz w:val="22"/>
                <w:szCs w:val="22"/>
                <w:lang w:val="en-IN" w:eastAsia="en-IN"/>
              </w:rPr>
              <w:t>4</w:t>
            </w:r>
          </w:p>
        </w:tc>
        <w:tc>
          <w:tcPr>
            <w:tcW w:w="1701" w:type="dxa"/>
            <w:shd w:val="clear" w:color="auto" w:fill="002060"/>
            <w:noWrap/>
            <w:vAlign w:val="center"/>
          </w:tcPr>
          <w:p w14:paraId="3E5C5917"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163" w:type="dxa"/>
            <w:shd w:val="clear" w:color="auto" w:fill="002060"/>
            <w:noWrap/>
            <w:vAlign w:val="center"/>
          </w:tcPr>
          <w:p w14:paraId="77D29EDE"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2B0214" w:rsidRPr="004E4C7E" w14:paraId="659C1CBD" w14:textId="77777777" w:rsidTr="00632E53">
        <w:trPr>
          <w:trHeight w:val="118"/>
        </w:trPr>
        <w:tc>
          <w:tcPr>
            <w:tcW w:w="3940" w:type="dxa"/>
            <w:shd w:val="clear" w:color="auto" w:fill="auto"/>
            <w:noWrap/>
            <w:vAlign w:val="center"/>
          </w:tcPr>
          <w:p w14:paraId="570F8B31" w14:textId="2164E940" w:rsidR="002B0214" w:rsidRPr="002B0214" w:rsidRDefault="002B0214" w:rsidP="00632E53">
            <w:pPr>
              <w:spacing w:after="0" w:line="276" w:lineRule="auto"/>
              <w:rPr>
                <w:rFonts w:asciiTheme="minorHAnsi" w:hAnsiTheme="minorHAnsi" w:cstheme="minorHAnsi"/>
                <w:b/>
                <w:bCs/>
                <w:sz w:val="22"/>
                <w:szCs w:val="22"/>
                <w:lang w:eastAsia="en-IN"/>
              </w:rPr>
            </w:pPr>
            <w:r>
              <w:rPr>
                <w:rFonts w:asciiTheme="minorHAnsi" w:hAnsiTheme="minorHAnsi" w:cstheme="minorHAnsi"/>
                <w:b/>
                <w:bCs/>
                <w:sz w:val="22"/>
                <w:szCs w:val="22"/>
                <w:lang w:eastAsia="en-IN"/>
              </w:rPr>
              <w:t xml:space="preserve">Security Deposit: </w:t>
            </w:r>
          </w:p>
        </w:tc>
        <w:tc>
          <w:tcPr>
            <w:tcW w:w="1843" w:type="dxa"/>
            <w:shd w:val="clear" w:color="auto" w:fill="auto"/>
            <w:noWrap/>
            <w:vAlign w:val="center"/>
          </w:tcPr>
          <w:p w14:paraId="0A5BCD6A" w14:textId="77777777" w:rsidR="002B0214" w:rsidRPr="00E30B4A" w:rsidRDefault="002B0214" w:rsidP="00632E53">
            <w:pPr>
              <w:spacing w:after="0" w:line="276" w:lineRule="auto"/>
              <w:jc w:val="center"/>
              <w:rPr>
                <w:rFonts w:asciiTheme="minorHAnsi" w:hAnsiTheme="minorHAnsi" w:cstheme="minorHAnsi"/>
                <w:b/>
                <w:bCs/>
                <w:sz w:val="22"/>
                <w:szCs w:val="22"/>
                <w:lang w:val="en-IN" w:eastAsia="en-IN"/>
              </w:rPr>
            </w:pPr>
          </w:p>
        </w:tc>
        <w:tc>
          <w:tcPr>
            <w:tcW w:w="1701" w:type="dxa"/>
            <w:shd w:val="clear" w:color="auto" w:fill="auto"/>
            <w:noWrap/>
            <w:vAlign w:val="center"/>
          </w:tcPr>
          <w:p w14:paraId="7EE42396" w14:textId="77777777" w:rsidR="002B0214" w:rsidRPr="00E30B4A" w:rsidRDefault="002B0214" w:rsidP="00632E53">
            <w:pPr>
              <w:spacing w:after="0" w:line="276" w:lineRule="auto"/>
              <w:jc w:val="center"/>
              <w:rPr>
                <w:rFonts w:asciiTheme="minorHAnsi" w:hAnsiTheme="minorHAnsi" w:cstheme="minorHAnsi"/>
                <w:b/>
                <w:bCs/>
                <w:sz w:val="22"/>
                <w:szCs w:val="22"/>
                <w:lang w:val="en-IN" w:eastAsia="en-IN"/>
              </w:rPr>
            </w:pPr>
          </w:p>
        </w:tc>
        <w:tc>
          <w:tcPr>
            <w:tcW w:w="1163" w:type="dxa"/>
            <w:shd w:val="clear" w:color="auto" w:fill="auto"/>
            <w:noWrap/>
            <w:vAlign w:val="center"/>
          </w:tcPr>
          <w:p w14:paraId="113627A8" w14:textId="77777777" w:rsidR="002B0214" w:rsidRPr="00E30B4A" w:rsidRDefault="002B0214" w:rsidP="00632E53">
            <w:pPr>
              <w:spacing w:after="0" w:line="276" w:lineRule="auto"/>
              <w:jc w:val="center"/>
              <w:rPr>
                <w:rFonts w:asciiTheme="minorHAnsi" w:hAnsiTheme="minorHAnsi" w:cstheme="minorHAnsi"/>
                <w:b/>
                <w:bCs/>
                <w:sz w:val="22"/>
                <w:szCs w:val="22"/>
                <w:lang w:val="en-IN" w:eastAsia="en-IN"/>
              </w:rPr>
            </w:pPr>
          </w:p>
        </w:tc>
      </w:tr>
      <w:tr w:rsidR="00E559FA" w:rsidRPr="004E4C7E" w14:paraId="3874F8B6" w14:textId="77777777" w:rsidTr="00E559FA">
        <w:trPr>
          <w:trHeight w:val="300"/>
        </w:trPr>
        <w:tc>
          <w:tcPr>
            <w:tcW w:w="3940" w:type="dxa"/>
            <w:shd w:val="clear" w:color="auto" w:fill="auto"/>
            <w:noWrap/>
          </w:tcPr>
          <w:p w14:paraId="4EFE3498" w14:textId="44B0FEF2" w:rsidR="00E559FA" w:rsidRPr="00E559FA" w:rsidRDefault="00E559FA" w:rsidP="00632E53">
            <w:pPr>
              <w:spacing w:after="0" w:line="276" w:lineRule="auto"/>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 xml:space="preserve">Maashitla Securities Pvt. Ltd. </w:t>
            </w:r>
          </w:p>
        </w:tc>
        <w:tc>
          <w:tcPr>
            <w:tcW w:w="1843" w:type="dxa"/>
            <w:shd w:val="clear" w:color="auto" w:fill="auto"/>
            <w:noWrap/>
          </w:tcPr>
          <w:p w14:paraId="09349B2A" w14:textId="738FF09A" w:rsidR="00E559FA" w:rsidRPr="00E559FA" w:rsidRDefault="00E559FA" w:rsidP="00632E53">
            <w:pPr>
              <w:spacing w:after="0" w:line="276"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701" w:type="dxa"/>
            <w:shd w:val="clear" w:color="auto" w:fill="auto"/>
            <w:noWrap/>
          </w:tcPr>
          <w:p w14:paraId="42315BF8" w14:textId="06F058A0" w:rsidR="00E559FA" w:rsidRPr="00E559FA" w:rsidRDefault="00E559FA" w:rsidP="00632E53">
            <w:pPr>
              <w:spacing w:after="0" w:line="276"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9,000</w:t>
            </w:r>
          </w:p>
        </w:tc>
        <w:tc>
          <w:tcPr>
            <w:tcW w:w="1163" w:type="dxa"/>
            <w:shd w:val="clear" w:color="auto" w:fill="auto"/>
            <w:noWrap/>
            <w:vAlign w:val="center"/>
          </w:tcPr>
          <w:p w14:paraId="7AA21E65" w14:textId="79871E0B" w:rsidR="00E559FA" w:rsidRPr="004E4C7E" w:rsidRDefault="00E559FA" w:rsidP="00632E53">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w:t>
            </w:r>
          </w:p>
        </w:tc>
      </w:tr>
      <w:tr w:rsidR="00E559FA" w:rsidRPr="004E4C7E" w14:paraId="11C8945F" w14:textId="77777777" w:rsidTr="00E559FA">
        <w:trPr>
          <w:trHeight w:val="300"/>
        </w:trPr>
        <w:tc>
          <w:tcPr>
            <w:tcW w:w="3940" w:type="dxa"/>
            <w:shd w:val="clear" w:color="auto" w:fill="auto"/>
            <w:noWrap/>
          </w:tcPr>
          <w:p w14:paraId="7A7626DF" w14:textId="3512F7E8" w:rsidR="00E559FA" w:rsidRPr="00E559FA" w:rsidRDefault="00E559FA" w:rsidP="00632E53">
            <w:pPr>
              <w:spacing w:after="0" w:line="276" w:lineRule="auto"/>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National Securities Depository Limited</w:t>
            </w:r>
          </w:p>
        </w:tc>
        <w:tc>
          <w:tcPr>
            <w:tcW w:w="1843" w:type="dxa"/>
            <w:shd w:val="clear" w:color="auto" w:fill="auto"/>
            <w:noWrap/>
          </w:tcPr>
          <w:p w14:paraId="21BE212A" w14:textId="0A6E0C19" w:rsidR="00E559FA" w:rsidRPr="00E559FA" w:rsidRDefault="00E559FA" w:rsidP="00632E53">
            <w:pPr>
              <w:spacing w:after="0" w:line="276" w:lineRule="auto"/>
              <w:jc w:val="center"/>
              <w:rPr>
                <w:rFonts w:asciiTheme="minorHAnsi" w:hAnsiTheme="minorHAnsi" w:cstheme="minorHAnsi"/>
                <w:color w:val="000000"/>
                <w:sz w:val="22"/>
                <w:szCs w:val="22"/>
                <w:lang w:val="en-IN" w:eastAsia="en-IN"/>
              </w:rPr>
            </w:pPr>
            <w:r w:rsidRPr="00E559FA">
              <w:rPr>
                <w:rFonts w:asciiTheme="minorHAnsi" w:eastAsiaTheme="minorHAnsi" w:hAnsiTheme="minorHAnsi" w:cstheme="minorHAnsi"/>
                <w:sz w:val="22"/>
                <w:szCs w:val="22"/>
                <w:lang w:val="en-IN"/>
              </w:rPr>
              <w:t>10,000</w:t>
            </w:r>
          </w:p>
        </w:tc>
        <w:tc>
          <w:tcPr>
            <w:tcW w:w="1701" w:type="dxa"/>
            <w:shd w:val="clear" w:color="auto" w:fill="auto"/>
            <w:noWrap/>
          </w:tcPr>
          <w:p w14:paraId="160B0E52" w14:textId="331B977A" w:rsidR="00E559FA" w:rsidRPr="00E559FA" w:rsidRDefault="00E559FA" w:rsidP="00632E53">
            <w:pPr>
              <w:spacing w:after="0" w:line="276" w:lineRule="auto"/>
              <w:jc w:val="center"/>
              <w:rPr>
                <w:rFonts w:asciiTheme="minorHAnsi" w:hAnsiTheme="minorHAnsi" w:cstheme="minorHAnsi"/>
                <w:sz w:val="22"/>
                <w:szCs w:val="22"/>
                <w:lang w:val="en-IN" w:eastAsia="en-IN"/>
              </w:rPr>
            </w:pPr>
            <w:r w:rsidRPr="00E559FA">
              <w:rPr>
                <w:rFonts w:asciiTheme="minorHAnsi" w:eastAsiaTheme="minorHAnsi" w:hAnsiTheme="minorHAnsi" w:cstheme="minorHAnsi"/>
                <w:sz w:val="22"/>
                <w:szCs w:val="22"/>
                <w:lang w:val="en-IN"/>
              </w:rPr>
              <w:t>10,000</w:t>
            </w:r>
          </w:p>
        </w:tc>
        <w:tc>
          <w:tcPr>
            <w:tcW w:w="1163" w:type="dxa"/>
            <w:shd w:val="clear" w:color="auto" w:fill="auto"/>
            <w:noWrap/>
            <w:vAlign w:val="center"/>
          </w:tcPr>
          <w:p w14:paraId="41310CE5" w14:textId="2AC5CC96" w:rsidR="00E559FA" w:rsidRPr="004E4C7E" w:rsidRDefault="00E559FA" w:rsidP="00632E53">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1.00</w:t>
            </w:r>
          </w:p>
        </w:tc>
      </w:tr>
      <w:tr w:rsidR="009471AD" w:rsidRPr="004E4C7E" w14:paraId="37FA1E51" w14:textId="77777777" w:rsidTr="00E559FA">
        <w:trPr>
          <w:trHeight w:val="300"/>
        </w:trPr>
        <w:tc>
          <w:tcPr>
            <w:tcW w:w="3940" w:type="dxa"/>
            <w:shd w:val="clear" w:color="auto" w:fill="DEEAF6" w:themeFill="accent1" w:themeFillTint="33"/>
            <w:noWrap/>
            <w:vAlign w:val="bottom"/>
            <w:hideMark/>
          </w:tcPr>
          <w:p w14:paraId="243EC102" w14:textId="5FFBFE1F"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auto" w:fill="DEEAF6" w:themeFill="accent1" w:themeFillTint="33"/>
            <w:noWrap/>
            <w:vAlign w:val="center"/>
            <w:hideMark/>
          </w:tcPr>
          <w:p w14:paraId="167F3B07" w14:textId="519094A6" w:rsidR="009471AD" w:rsidRPr="004E4C7E" w:rsidRDefault="00E559FA"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701" w:type="dxa"/>
            <w:shd w:val="clear" w:color="auto" w:fill="DEEAF6" w:themeFill="accent1" w:themeFillTint="33"/>
            <w:noWrap/>
            <w:vAlign w:val="center"/>
            <w:hideMark/>
          </w:tcPr>
          <w:p w14:paraId="2A083218" w14:textId="4CB2973E" w:rsidR="009471AD" w:rsidRPr="004E4C7E" w:rsidRDefault="00E559FA"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19,000</w:t>
            </w:r>
          </w:p>
        </w:tc>
        <w:tc>
          <w:tcPr>
            <w:tcW w:w="1163" w:type="dxa"/>
            <w:shd w:val="clear" w:color="auto" w:fill="DEEAF6" w:themeFill="accent1" w:themeFillTint="33"/>
            <w:noWrap/>
            <w:vAlign w:val="center"/>
            <w:hideMark/>
          </w:tcPr>
          <w:p w14:paraId="17767F30" w14:textId="48F6A609" w:rsidR="009471AD" w:rsidRPr="004E4C7E" w:rsidRDefault="009471AD" w:rsidP="00632E53">
            <w:pPr>
              <w:spacing w:after="0" w:line="276" w:lineRule="auto"/>
              <w:jc w:val="center"/>
              <w:rPr>
                <w:rFonts w:asciiTheme="minorHAnsi" w:hAnsiTheme="minorHAnsi" w:cstheme="minorHAnsi"/>
                <w:color w:val="000000"/>
                <w:sz w:val="22"/>
                <w:szCs w:val="22"/>
                <w:lang w:val="en-IN" w:eastAsia="en-IN"/>
              </w:rPr>
            </w:pPr>
          </w:p>
        </w:tc>
      </w:tr>
    </w:tbl>
    <w:p w14:paraId="3CE333CC" w14:textId="251AF855" w:rsidR="002B0214" w:rsidRDefault="00D657A7" w:rsidP="00AE26E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lastRenderedPageBreak/>
        <w:t>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w:t>
      </w:r>
      <w:r w:rsidR="00CD697B">
        <w:rPr>
          <w:rFonts w:ascii="Arial" w:hAnsi="Arial" w:cs="Arial"/>
          <w:sz w:val="22"/>
        </w:rPr>
        <w:t>audited</w:t>
      </w:r>
      <w:r>
        <w:rPr>
          <w:rFonts w:ascii="Arial" w:hAnsi="Arial" w:cs="Arial"/>
          <w:sz w:val="22"/>
        </w:rPr>
        <w:t xml:space="preserve"> balance sheet as on 31</w:t>
      </w:r>
      <w:r w:rsidRPr="005B4511">
        <w:rPr>
          <w:rFonts w:ascii="Arial" w:hAnsi="Arial" w:cs="Arial"/>
          <w:sz w:val="22"/>
          <w:vertAlign w:val="superscript"/>
        </w:rPr>
        <w:t>st</w:t>
      </w:r>
      <w:r>
        <w:rPr>
          <w:rFonts w:ascii="Arial" w:hAnsi="Arial" w:cs="Arial"/>
          <w:sz w:val="22"/>
        </w:rPr>
        <w:t xml:space="preserve"> March 202</w:t>
      </w:r>
      <w:r w:rsidR="00CD697B">
        <w:rPr>
          <w:rFonts w:ascii="Arial" w:hAnsi="Arial" w:cs="Arial"/>
          <w:sz w:val="22"/>
        </w:rPr>
        <w:t>4</w:t>
      </w:r>
      <w:r>
        <w:rPr>
          <w:rFonts w:ascii="Arial" w:hAnsi="Arial" w:cs="Arial"/>
          <w:sz w:val="22"/>
        </w:rPr>
        <w:t>.</w:t>
      </w:r>
      <w:r w:rsidR="002B0214">
        <w:rPr>
          <w:rFonts w:ascii="Arial" w:hAnsi="Arial" w:cs="Arial"/>
          <w:sz w:val="22"/>
        </w:rPr>
        <w:t xml:space="preserve"> W</w:t>
      </w:r>
      <w:r w:rsidR="002B0214" w:rsidRPr="00E33FF9">
        <w:rPr>
          <w:rFonts w:ascii="Arial" w:hAnsi="Arial" w:cs="Arial"/>
          <w:sz w:val="22"/>
        </w:rPr>
        <w:t xml:space="preserve">e have </w:t>
      </w:r>
      <w:r w:rsidR="002B0214">
        <w:rPr>
          <w:rFonts w:ascii="Arial" w:hAnsi="Arial" w:cs="Arial"/>
          <w:sz w:val="22"/>
        </w:rPr>
        <w:t>considered the fair value to be</w:t>
      </w:r>
      <w:r w:rsidR="002B0214" w:rsidRPr="00E33FF9">
        <w:rPr>
          <w:rFonts w:ascii="Arial" w:hAnsi="Arial" w:cs="Arial"/>
          <w:sz w:val="22"/>
        </w:rPr>
        <w:t xml:space="preserve"> 100% </w:t>
      </w:r>
      <w:r w:rsidR="002B0214">
        <w:rPr>
          <w:rFonts w:ascii="Arial" w:hAnsi="Arial" w:cs="Arial"/>
          <w:sz w:val="22"/>
        </w:rPr>
        <w:t>of the book value considering the nature of the asset as the probability of recoverability of security deposit with NSDL and Maashitla Securities is high.</w:t>
      </w:r>
    </w:p>
    <w:p w14:paraId="183F8FCF" w14:textId="0B428E4A" w:rsidR="004F2ECC" w:rsidRPr="00CD697B" w:rsidRDefault="00CD697B" w:rsidP="00DE2E0C">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u w:val="single"/>
        </w:rPr>
      </w:pPr>
      <w:r w:rsidRPr="00CD697B">
        <w:rPr>
          <w:rFonts w:ascii="Arial" w:hAnsi="Arial" w:cs="Arial"/>
          <w:b/>
          <w:bCs/>
          <w:sz w:val="22"/>
          <w:u w:val="single"/>
        </w:rPr>
        <w:t>CURRENT ASSETS</w:t>
      </w:r>
      <w:r w:rsidRPr="00CD697B">
        <w:rPr>
          <w:rFonts w:ascii="Arial" w:hAnsi="Arial" w:cs="Arial"/>
          <w:b/>
          <w:bCs/>
          <w:sz w:val="22"/>
        </w:rPr>
        <w:t>:</w:t>
      </w:r>
    </w:p>
    <w:p w14:paraId="135960D0" w14:textId="5EAA38A5" w:rsidR="00CD697B" w:rsidRDefault="00AE26E4" w:rsidP="00DE2E0C">
      <w:pPr>
        <w:pStyle w:val="ListParagraph"/>
        <w:numPr>
          <w:ilvl w:val="0"/>
          <w:numId w:val="16"/>
        </w:numPr>
        <w:spacing w:before="240" w:after="0" w:line="360" w:lineRule="auto"/>
        <w:ind w:left="709" w:right="-589" w:hanging="283"/>
        <w:jc w:val="both"/>
        <w:rPr>
          <w:rFonts w:ascii="Arial" w:hAnsi="Arial" w:cs="Arial"/>
          <w:b/>
          <w:bCs/>
          <w:sz w:val="22"/>
        </w:rPr>
      </w:pPr>
      <w:r w:rsidRPr="00CD697B">
        <w:rPr>
          <w:rFonts w:ascii="Arial" w:hAnsi="Arial" w:cs="Arial"/>
          <w:b/>
          <w:bCs/>
          <w:sz w:val="22"/>
        </w:rPr>
        <w:t>CASH &amp; CASH EQUIVALENTS</w:t>
      </w:r>
    </w:p>
    <w:p w14:paraId="434C040F" w14:textId="102C53B9" w:rsidR="00CA13DF" w:rsidRPr="00CA13DF" w:rsidRDefault="00CA13DF" w:rsidP="00CA13DF">
      <w:pPr>
        <w:pStyle w:val="ListParagraph"/>
        <w:spacing w:after="0" w:line="240" w:lineRule="auto"/>
        <w:ind w:left="709" w:right="-306"/>
        <w:jc w:val="right"/>
        <w:rPr>
          <w:rFonts w:ascii="Arial" w:hAnsi="Arial" w:cs="Arial"/>
          <w:sz w:val="20"/>
          <w:szCs w:val="22"/>
        </w:rPr>
      </w:pPr>
      <w:r w:rsidRPr="00CA13DF">
        <w:rPr>
          <w:rFonts w:ascii="Arial" w:hAnsi="Arial" w:cs="Arial"/>
          <w:sz w:val="20"/>
          <w:szCs w:val="22"/>
        </w:rPr>
        <w:t>(In INR Thousands)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4E4C7E" w:rsidRPr="004E4C7E" w14:paraId="0277E828" w14:textId="77777777" w:rsidTr="00632E53">
        <w:trPr>
          <w:trHeight w:val="342"/>
        </w:trPr>
        <w:tc>
          <w:tcPr>
            <w:tcW w:w="3827" w:type="dxa"/>
            <w:shd w:val="clear" w:color="auto" w:fill="002060"/>
            <w:noWrap/>
            <w:vAlign w:val="center"/>
          </w:tcPr>
          <w:p w14:paraId="191A2AB7" w14:textId="14727FF6" w:rsidR="004E4C7E" w:rsidRPr="004E4C7E" w:rsidRDefault="004E4C7E"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1BE56BD9" w14:textId="204121DC" w:rsidR="004E4C7E" w:rsidRPr="004E4C7E" w:rsidRDefault="004E4C7E"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CD697B">
              <w:rPr>
                <w:rFonts w:asciiTheme="minorHAnsi" w:hAnsiTheme="minorHAnsi" w:cstheme="minorHAnsi"/>
                <w:b/>
                <w:bCs/>
                <w:sz w:val="22"/>
                <w:szCs w:val="22"/>
                <w:lang w:val="en-IN" w:eastAsia="en-IN"/>
              </w:rPr>
              <w:t>4</w:t>
            </w:r>
          </w:p>
        </w:tc>
        <w:tc>
          <w:tcPr>
            <w:tcW w:w="1701" w:type="dxa"/>
            <w:shd w:val="clear" w:color="auto" w:fill="002060"/>
            <w:noWrap/>
            <w:vAlign w:val="center"/>
          </w:tcPr>
          <w:p w14:paraId="4B67349B" w14:textId="2F50EA78"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5159F0CE" w14:textId="4E3FC2C1"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FA1BA4" w:rsidRPr="004E4C7E" w14:paraId="3625F241" w14:textId="77777777" w:rsidTr="008B6152">
        <w:trPr>
          <w:trHeight w:val="300"/>
        </w:trPr>
        <w:tc>
          <w:tcPr>
            <w:tcW w:w="3827" w:type="dxa"/>
            <w:shd w:val="clear" w:color="auto" w:fill="auto"/>
            <w:noWrap/>
            <w:vAlign w:val="bottom"/>
            <w:hideMark/>
          </w:tcPr>
          <w:p w14:paraId="277F17B1" w14:textId="2772155C"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Balance with Bank – In Current Account</w:t>
            </w:r>
          </w:p>
        </w:tc>
        <w:tc>
          <w:tcPr>
            <w:tcW w:w="1843" w:type="dxa"/>
            <w:shd w:val="clear" w:color="auto" w:fill="auto"/>
            <w:noWrap/>
            <w:vAlign w:val="center"/>
            <w:hideMark/>
          </w:tcPr>
          <w:p w14:paraId="51BCAEED" w14:textId="7FB86E78"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558.69</w:t>
            </w:r>
          </w:p>
        </w:tc>
        <w:tc>
          <w:tcPr>
            <w:tcW w:w="1701" w:type="dxa"/>
            <w:shd w:val="clear" w:color="auto" w:fill="auto"/>
            <w:noWrap/>
            <w:vAlign w:val="center"/>
            <w:hideMark/>
          </w:tcPr>
          <w:p w14:paraId="4E8F9AD4" w14:textId="131A16ED"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558.69</w:t>
            </w:r>
          </w:p>
        </w:tc>
        <w:tc>
          <w:tcPr>
            <w:tcW w:w="1276" w:type="dxa"/>
            <w:shd w:val="clear" w:color="auto" w:fill="auto"/>
            <w:noWrap/>
            <w:vAlign w:val="bottom"/>
            <w:hideMark/>
          </w:tcPr>
          <w:p w14:paraId="7633A3F5" w14:textId="0CBE9E38"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FA1BA4" w:rsidRPr="004E4C7E" w14:paraId="02A15C8B" w14:textId="77777777" w:rsidTr="008B6152">
        <w:trPr>
          <w:trHeight w:val="300"/>
        </w:trPr>
        <w:tc>
          <w:tcPr>
            <w:tcW w:w="3827" w:type="dxa"/>
            <w:shd w:val="clear" w:color="auto" w:fill="auto"/>
            <w:noWrap/>
            <w:vAlign w:val="bottom"/>
            <w:hideMark/>
          </w:tcPr>
          <w:p w14:paraId="68CB7204" w14:textId="3ABF25A6"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Cash Balance</w:t>
            </w:r>
          </w:p>
        </w:tc>
        <w:tc>
          <w:tcPr>
            <w:tcW w:w="1843" w:type="dxa"/>
            <w:shd w:val="clear" w:color="auto" w:fill="auto"/>
            <w:noWrap/>
            <w:vAlign w:val="center"/>
            <w:hideMark/>
          </w:tcPr>
          <w:p w14:paraId="5FE1EB74" w14:textId="47089026"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224.94</w:t>
            </w:r>
          </w:p>
        </w:tc>
        <w:tc>
          <w:tcPr>
            <w:tcW w:w="1701" w:type="dxa"/>
            <w:shd w:val="clear" w:color="auto" w:fill="auto"/>
            <w:noWrap/>
            <w:vAlign w:val="center"/>
            <w:hideMark/>
          </w:tcPr>
          <w:p w14:paraId="79129F79" w14:textId="4EB563A5"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224.94</w:t>
            </w:r>
          </w:p>
        </w:tc>
        <w:tc>
          <w:tcPr>
            <w:tcW w:w="1276" w:type="dxa"/>
            <w:shd w:val="clear" w:color="auto" w:fill="auto"/>
            <w:noWrap/>
            <w:vAlign w:val="bottom"/>
            <w:hideMark/>
          </w:tcPr>
          <w:p w14:paraId="5A7CD918" w14:textId="6153FB19"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FA1BA4" w:rsidRPr="004E4C7E" w14:paraId="1CD33365" w14:textId="77777777" w:rsidTr="00CD697B">
        <w:trPr>
          <w:trHeight w:val="300"/>
        </w:trPr>
        <w:tc>
          <w:tcPr>
            <w:tcW w:w="3827" w:type="dxa"/>
            <w:shd w:val="clear" w:color="auto" w:fill="DEEAF6" w:themeFill="accent1" w:themeFillTint="33"/>
            <w:noWrap/>
            <w:vAlign w:val="bottom"/>
            <w:hideMark/>
          </w:tcPr>
          <w:p w14:paraId="04A8B56D" w14:textId="77777777"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5744DADB" w14:textId="09CE86C1" w:rsidR="00FA1BA4" w:rsidRPr="004E4C7E" w:rsidRDefault="00FA1BA4"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783.62</w:t>
            </w:r>
          </w:p>
        </w:tc>
        <w:tc>
          <w:tcPr>
            <w:tcW w:w="1701" w:type="dxa"/>
            <w:shd w:val="clear" w:color="auto" w:fill="DEEAF6" w:themeFill="accent1" w:themeFillTint="33"/>
            <w:noWrap/>
            <w:vAlign w:val="center"/>
            <w:hideMark/>
          </w:tcPr>
          <w:p w14:paraId="078CEF9C" w14:textId="1EC8F078" w:rsidR="00FA1BA4" w:rsidRPr="00ED6400" w:rsidRDefault="00FA1BA4"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783.62</w:t>
            </w:r>
          </w:p>
        </w:tc>
        <w:tc>
          <w:tcPr>
            <w:tcW w:w="1276" w:type="dxa"/>
            <w:shd w:val="clear" w:color="auto" w:fill="DEEAF6" w:themeFill="accent1" w:themeFillTint="33"/>
            <w:noWrap/>
            <w:vAlign w:val="bottom"/>
            <w:hideMark/>
          </w:tcPr>
          <w:p w14:paraId="44D0E44D"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70766590" w14:textId="1302B795" w:rsidR="002B0214" w:rsidRDefault="002B0214" w:rsidP="002B021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 is determined as per the information provided by the client/company referring the audited balance sheet as on 31</w:t>
      </w:r>
      <w:r w:rsidRPr="005B4511">
        <w:rPr>
          <w:rFonts w:ascii="Arial" w:hAnsi="Arial" w:cs="Arial"/>
          <w:sz w:val="22"/>
          <w:vertAlign w:val="superscript"/>
        </w:rPr>
        <w:t>st</w:t>
      </w:r>
      <w:r>
        <w:rPr>
          <w:rFonts w:ascii="Arial" w:hAnsi="Arial" w:cs="Arial"/>
          <w:sz w:val="22"/>
        </w:rPr>
        <w:t xml:space="preserve"> March 2024. We</w:t>
      </w:r>
      <w:r w:rsidRPr="00E33FF9">
        <w:rPr>
          <w:rFonts w:ascii="Arial" w:hAnsi="Arial" w:cs="Arial"/>
          <w:sz w:val="22"/>
        </w:rPr>
        <w:t xml:space="preserve"> have </w:t>
      </w:r>
      <w:r>
        <w:rPr>
          <w:rFonts w:ascii="Arial" w:hAnsi="Arial" w:cs="Arial"/>
          <w:sz w:val="22"/>
        </w:rPr>
        <w:t>considered the fair value to be</w:t>
      </w:r>
      <w:r w:rsidRPr="00E33FF9">
        <w:rPr>
          <w:rFonts w:ascii="Arial" w:hAnsi="Arial" w:cs="Arial"/>
          <w:sz w:val="22"/>
        </w:rPr>
        <w:t xml:space="preserve"> 100% </w:t>
      </w:r>
      <w:r>
        <w:rPr>
          <w:rFonts w:ascii="Arial" w:hAnsi="Arial" w:cs="Arial"/>
          <w:sz w:val="22"/>
        </w:rPr>
        <w:t>of the book value.</w:t>
      </w:r>
    </w:p>
    <w:p w14:paraId="202B058B" w14:textId="77777777" w:rsidR="00FA1BA4" w:rsidRPr="00FA1BA4" w:rsidRDefault="00AE26E4" w:rsidP="00DE2E0C">
      <w:pPr>
        <w:pStyle w:val="ListParagraph"/>
        <w:numPr>
          <w:ilvl w:val="0"/>
          <w:numId w:val="12"/>
        </w:numPr>
        <w:autoSpaceDE w:val="0"/>
        <w:autoSpaceDN w:val="0"/>
        <w:adjustRightInd w:val="0"/>
        <w:spacing w:before="240" w:after="0" w:line="360" w:lineRule="auto"/>
        <w:ind w:left="709" w:right="-306" w:hanging="283"/>
        <w:jc w:val="both"/>
        <w:rPr>
          <w:rFonts w:ascii="Arial" w:hAnsi="Arial" w:cs="Arial"/>
          <w:sz w:val="22"/>
        </w:rPr>
      </w:pPr>
      <w:r>
        <w:rPr>
          <w:rFonts w:ascii="Arial" w:hAnsi="Arial" w:cs="Arial"/>
          <w:b/>
          <w:bCs/>
          <w:sz w:val="22"/>
        </w:rPr>
        <w:t>SHORT-TERM LOANS &amp; ADVANCES</w:t>
      </w:r>
      <w:r w:rsidR="00E24961" w:rsidRPr="00E33FF9">
        <w:rPr>
          <w:rFonts w:ascii="Arial" w:hAnsi="Arial" w:cs="Arial"/>
          <w:b/>
          <w:bCs/>
          <w:sz w:val="22"/>
        </w:rPr>
        <w:t xml:space="preserve">: </w:t>
      </w:r>
    </w:p>
    <w:p w14:paraId="68F50FEF" w14:textId="77777777" w:rsidR="00FA1BA4" w:rsidRPr="00CA13DF" w:rsidRDefault="00FA1BA4" w:rsidP="00FA1BA4">
      <w:pPr>
        <w:pStyle w:val="ListParagraph"/>
        <w:spacing w:after="0" w:line="240" w:lineRule="auto"/>
        <w:ind w:left="1146" w:right="-306"/>
        <w:jc w:val="right"/>
        <w:rPr>
          <w:rFonts w:ascii="Arial" w:hAnsi="Arial" w:cs="Arial"/>
          <w:sz w:val="20"/>
          <w:szCs w:val="22"/>
        </w:rPr>
      </w:pPr>
      <w:r w:rsidRPr="00CA13DF">
        <w:rPr>
          <w:rFonts w:ascii="Arial" w:hAnsi="Arial" w:cs="Arial"/>
          <w:sz w:val="20"/>
          <w:szCs w:val="22"/>
        </w:rPr>
        <w:t>(In INR Thousands)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FA1BA4" w:rsidRPr="004E4C7E" w14:paraId="449F2ACA" w14:textId="77777777" w:rsidTr="008B6152">
        <w:trPr>
          <w:trHeight w:val="342"/>
        </w:trPr>
        <w:tc>
          <w:tcPr>
            <w:tcW w:w="3827" w:type="dxa"/>
            <w:shd w:val="clear" w:color="auto" w:fill="002060"/>
            <w:noWrap/>
            <w:vAlign w:val="center"/>
          </w:tcPr>
          <w:p w14:paraId="1C713784" w14:textId="77777777" w:rsidR="00FA1BA4" w:rsidRPr="004E4C7E" w:rsidRDefault="00FA1BA4" w:rsidP="008B6152">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3E6B87D0" w14:textId="77777777" w:rsidR="00FA1BA4" w:rsidRPr="004E4C7E" w:rsidRDefault="00FA1BA4" w:rsidP="008B6152">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Pr>
                <w:rFonts w:asciiTheme="minorHAnsi" w:hAnsiTheme="minorHAnsi" w:cstheme="minorHAnsi"/>
                <w:b/>
                <w:bCs/>
                <w:sz w:val="22"/>
                <w:szCs w:val="22"/>
                <w:lang w:val="en-IN" w:eastAsia="en-IN"/>
              </w:rPr>
              <w:t>4</w:t>
            </w:r>
          </w:p>
        </w:tc>
        <w:tc>
          <w:tcPr>
            <w:tcW w:w="1701" w:type="dxa"/>
            <w:shd w:val="clear" w:color="auto" w:fill="002060"/>
            <w:noWrap/>
            <w:vAlign w:val="center"/>
          </w:tcPr>
          <w:p w14:paraId="3E460DA1" w14:textId="77777777" w:rsidR="00FA1BA4" w:rsidRPr="004E4C7E" w:rsidRDefault="00FA1BA4" w:rsidP="008B6152">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2085B5E1" w14:textId="77777777" w:rsidR="00FA1BA4" w:rsidRPr="004E4C7E" w:rsidRDefault="00FA1BA4" w:rsidP="008B6152">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FA1BA4" w:rsidRPr="004E4C7E" w14:paraId="6DFB50B3" w14:textId="77777777" w:rsidTr="008B6152">
        <w:trPr>
          <w:trHeight w:val="300"/>
        </w:trPr>
        <w:tc>
          <w:tcPr>
            <w:tcW w:w="3827" w:type="dxa"/>
            <w:shd w:val="clear" w:color="auto" w:fill="auto"/>
            <w:noWrap/>
            <w:vAlign w:val="bottom"/>
            <w:hideMark/>
          </w:tcPr>
          <w:p w14:paraId="29396E1C" w14:textId="5B6BCC12"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Loans and Advances to Related Parties</w:t>
            </w:r>
          </w:p>
        </w:tc>
        <w:tc>
          <w:tcPr>
            <w:tcW w:w="1843" w:type="dxa"/>
            <w:shd w:val="clear" w:color="auto" w:fill="auto"/>
            <w:noWrap/>
            <w:vAlign w:val="center"/>
            <w:hideMark/>
          </w:tcPr>
          <w:p w14:paraId="1B420323" w14:textId="45D8244F"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2,000.00</w:t>
            </w:r>
          </w:p>
        </w:tc>
        <w:tc>
          <w:tcPr>
            <w:tcW w:w="1701" w:type="dxa"/>
            <w:shd w:val="clear" w:color="auto" w:fill="auto"/>
            <w:noWrap/>
            <w:vAlign w:val="center"/>
            <w:hideMark/>
          </w:tcPr>
          <w:p w14:paraId="4E7F1CD2" w14:textId="16A431C8"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2,000.00</w:t>
            </w:r>
          </w:p>
        </w:tc>
        <w:tc>
          <w:tcPr>
            <w:tcW w:w="1276" w:type="dxa"/>
            <w:shd w:val="clear" w:color="auto" w:fill="auto"/>
            <w:noWrap/>
            <w:vAlign w:val="bottom"/>
            <w:hideMark/>
          </w:tcPr>
          <w:p w14:paraId="7D818C96"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FA1BA4" w:rsidRPr="004E4C7E" w14:paraId="4BAFEE97" w14:textId="77777777" w:rsidTr="008B6152">
        <w:trPr>
          <w:trHeight w:val="300"/>
        </w:trPr>
        <w:tc>
          <w:tcPr>
            <w:tcW w:w="3827" w:type="dxa"/>
            <w:shd w:val="clear" w:color="auto" w:fill="auto"/>
            <w:noWrap/>
            <w:vAlign w:val="bottom"/>
            <w:hideMark/>
          </w:tcPr>
          <w:p w14:paraId="5D53C6C1" w14:textId="03FDD64F" w:rsidR="00FA1BA4" w:rsidRPr="004E4C7E" w:rsidRDefault="00FA1BA4" w:rsidP="00FA1BA4">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Balance with Revenue Authority</w:t>
            </w:r>
          </w:p>
        </w:tc>
        <w:tc>
          <w:tcPr>
            <w:tcW w:w="1843" w:type="dxa"/>
            <w:shd w:val="clear" w:color="auto" w:fill="auto"/>
            <w:noWrap/>
            <w:vAlign w:val="center"/>
            <w:hideMark/>
          </w:tcPr>
          <w:p w14:paraId="71FCD152" w14:textId="739E3DEB"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107.87</w:t>
            </w:r>
          </w:p>
        </w:tc>
        <w:tc>
          <w:tcPr>
            <w:tcW w:w="1701" w:type="dxa"/>
            <w:shd w:val="clear" w:color="auto" w:fill="auto"/>
            <w:noWrap/>
            <w:vAlign w:val="center"/>
            <w:hideMark/>
          </w:tcPr>
          <w:p w14:paraId="0AF7369F" w14:textId="5C23AB2E"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107.87</w:t>
            </w:r>
          </w:p>
        </w:tc>
        <w:tc>
          <w:tcPr>
            <w:tcW w:w="1276" w:type="dxa"/>
            <w:shd w:val="clear" w:color="auto" w:fill="auto"/>
            <w:noWrap/>
            <w:vAlign w:val="bottom"/>
            <w:hideMark/>
          </w:tcPr>
          <w:p w14:paraId="48F720BE" w14:textId="77777777" w:rsidR="00FA1BA4" w:rsidRPr="004E4C7E" w:rsidRDefault="00FA1BA4" w:rsidP="00FA1BA4">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FA1BA4" w:rsidRPr="004E4C7E" w14:paraId="360B31F0" w14:textId="77777777" w:rsidTr="008B6152">
        <w:trPr>
          <w:trHeight w:val="300"/>
        </w:trPr>
        <w:tc>
          <w:tcPr>
            <w:tcW w:w="3827" w:type="dxa"/>
            <w:shd w:val="clear" w:color="auto" w:fill="DEEAF6" w:themeFill="accent1" w:themeFillTint="33"/>
            <w:noWrap/>
            <w:vAlign w:val="bottom"/>
            <w:hideMark/>
          </w:tcPr>
          <w:p w14:paraId="37610154" w14:textId="77777777"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1F7CD1A1" w14:textId="33F4DCEE" w:rsidR="00FA1BA4" w:rsidRPr="004E4C7E" w:rsidRDefault="00FA1BA4"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2,107.87</w:t>
            </w:r>
          </w:p>
        </w:tc>
        <w:tc>
          <w:tcPr>
            <w:tcW w:w="1701" w:type="dxa"/>
            <w:shd w:val="clear" w:color="auto" w:fill="DEEAF6" w:themeFill="accent1" w:themeFillTint="33"/>
            <w:noWrap/>
            <w:vAlign w:val="center"/>
            <w:hideMark/>
          </w:tcPr>
          <w:p w14:paraId="1282C65D" w14:textId="2240B635" w:rsidR="00FA1BA4" w:rsidRPr="00ED6400" w:rsidRDefault="00FA1BA4"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2,107.87</w:t>
            </w:r>
          </w:p>
        </w:tc>
        <w:tc>
          <w:tcPr>
            <w:tcW w:w="1276" w:type="dxa"/>
            <w:shd w:val="clear" w:color="auto" w:fill="DEEAF6" w:themeFill="accent1" w:themeFillTint="33"/>
            <w:noWrap/>
            <w:vAlign w:val="bottom"/>
            <w:hideMark/>
          </w:tcPr>
          <w:p w14:paraId="3E008C17"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2040A6F7" w14:textId="77777777"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sidRPr="00CE3623">
        <w:rPr>
          <w:rFonts w:ascii="Arial" w:hAnsi="Arial" w:cs="Arial"/>
          <w:sz w:val="22"/>
        </w:rPr>
        <w:t xml:space="preserve">As per audited financial statement dated 31.03.2024, this head includes </w:t>
      </w:r>
      <w:r>
        <w:rPr>
          <w:rFonts w:ascii="Arial" w:hAnsi="Arial" w:cs="Arial"/>
          <w:sz w:val="22"/>
        </w:rPr>
        <w:t>Loans &amp; Advances to</w:t>
      </w:r>
      <w:r w:rsidRPr="00CE3623">
        <w:rPr>
          <w:rFonts w:ascii="Arial" w:hAnsi="Arial" w:cs="Arial"/>
          <w:sz w:val="22"/>
        </w:rPr>
        <w:t xml:space="preserve"> </w:t>
      </w:r>
      <w:r>
        <w:rPr>
          <w:rFonts w:ascii="Arial" w:hAnsi="Arial" w:cs="Arial"/>
          <w:sz w:val="22"/>
        </w:rPr>
        <w:t xml:space="preserve">Related Parties </w:t>
      </w:r>
      <w:r w:rsidRPr="00CE3623">
        <w:rPr>
          <w:rFonts w:ascii="Arial" w:hAnsi="Arial" w:cs="Arial"/>
          <w:sz w:val="22"/>
        </w:rPr>
        <w:t xml:space="preserve">amounting to INR </w:t>
      </w:r>
      <w:r>
        <w:rPr>
          <w:rFonts w:ascii="Arial" w:hAnsi="Arial" w:cs="Arial"/>
          <w:sz w:val="22"/>
        </w:rPr>
        <w:t>20,00,00</w:t>
      </w:r>
      <w:r w:rsidRPr="00CE3623">
        <w:rPr>
          <w:rFonts w:ascii="Arial" w:hAnsi="Arial" w:cs="Arial"/>
          <w:sz w:val="22"/>
        </w:rPr>
        <w:t>0</w:t>
      </w:r>
      <w:r>
        <w:rPr>
          <w:rFonts w:ascii="Arial" w:hAnsi="Arial" w:cs="Arial"/>
          <w:sz w:val="22"/>
        </w:rPr>
        <w:t xml:space="preserve"> and Balance with Revenue Authority amounting to INR 1,07,870</w:t>
      </w:r>
      <w:r w:rsidRPr="00CE3623">
        <w:rPr>
          <w:rFonts w:ascii="Arial" w:hAnsi="Arial" w:cs="Arial"/>
          <w:sz w:val="22"/>
        </w:rPr>
        <w:t xml:space="preserve">. </w:t>
      </w:r>
    </w:p>
    <w:p w14:paraId="1A07249C" w14:textId="7ED8C971"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For Loans &amp; Advances</w:t>
      </w:r>
      <w:r w:rsidRPr="00CE3623">
        <w:rPr>
          <w:rFonts w:ascii="Arial" w:hAnsi="Arial" w:cs="Arial"/>
          <w:sz w:val="22"/>
        </w:rPr>
        <w:t xml:space="preserve">, we have considered the fair value to be 100% of the book value considering the nature of the asset as the advances </w:t>
      </w:r>
      <w:r>
        <w:rPr>
          <w:rFonts w:ascii="Arial" w:hAnsi="Arial" w:cs="Arial"/>
          <w:sz w:val="22"/>
        </w:rPr>
        <w:t xml:space="preserve">are given to </w:t>
      </w:r>
      <w:r w:rsidRPr="0075144D">
        <w:rPr>
          <w:rFonts w:ascii="Arial" w:hAnsi="Arial" w:cs="Arial"/>
          <w:sz w:val="22"/>
        </w:rPr>
        <w:t>Aakash and Company</w:t>
      </w:r>
      <w:r>
        <w:rPr>
          <w:rFonts w:ascii="Arial" w:hAnsi="Arial" w:cs="Arial"/>
          <w:sz w:val="22"/>
        </w:rPr>
        <w:t xml:space="preserve"> (Related Party) which is in good condition as information received by us, which makes the </w:t>
      </w:r>
      <w:r w:rsidRPr="00CE3623">
        <w:rPr>
          <w:rFonts w:ascii="Arial" w:hAnsi="Arial" w:cs="Arial"/>
          <w:sz w:val="22"/>
        </w:rPr>
        <w:t>chance</w:t>
      </w:r>
      <w:r>
        <w:rPr>
          <w:rFonts w:ascii="Arial" w:hAnsi="Arial" w:cs="Arial"/>
          <w:sz w:val="22"/>
        </w:rPr>
        <w:t>s</w:t>
      </w:r>
      <w:r w:rsidRPr="00CE3623">
        <w:rPr>
          <w:rFonts w:ascii="Arial" w:hAnsi="Arial" w:cs="Arial"/>
          <w:sz w:val="22"/>
        </w:rPr>
        <w:t xml:space="preserve"> of recoverability of this amount is high.</w:t>
      </w:r>
    </w:p>
    <w:p w14:paraId="7754D865" w14:textId="4EA55B50"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For Balance with Revenue Authority</w:t>
      </w:r>
      <w:r w:rsidRPr="00CE3623">
        <w:rPr>
          <w:rFonts w:ascii="Arial" w:hAnsi="Arial" w:cs="Arial"/>
          <w:sz w:val="22"/>
        </w:rPr>
        <w:t xml:space="preserve">, we have considered the fair value to be 100% of the book value considering the nature of the asset as the </w:t>
      </w:r>
      <w:r>
        <w:rPr>
          <w:rFonts w:ascii="Arial" w:hAnsi="Arial" w:cs="Arial"/>
          <w:sz w:val="22"/>
        </w:rPr>
        <w:t xml:space="preserve">balance is with a government organization which makes the </w:t>
      </w:r>
      <w:r w:rsidRPr="00CE3623">
        <w:rPr>
          <w:rFonts w:ascii="Arial" w:hAnsi="Arial" w:cs="Arial"/>
          <w:sz w:val="22"/>
        </w:rPr>
        <w:t>chance</w:t>
      </w:r>
      <w:r>
        <w:rPr>
          <w:rFonts w:ascii="Arial" w:hAnsi="Arial" w:cs="Arial"/>
          <w:sz w:val="22"/>
        </w:rPr>
        <w:t>s</w:t>
      </w:r>
      <w:r w:rsidRPr="00CE3623">
        <w:rPr>
          <w:rFonts w:ascii="Arial" w:hAnsi="Arial" w:cs="Arial"/>
          <w:sz w:val="22"/>
        </w:rPr>
        <w:t xml:space="preserve"> of recoverability of this amount is high.</w:t>
      </w:r>
    </w:p>
    <w:p w14:paraId="517504F5" w14:textId="778A91C5" w:rsidR="00CE3623" w:rsidRDefault="00AE26E4" w:rsidP="00DE2E0C">
      <w:pPr>
        <w:pStyle w:val="ListParagraph"/>
        <w:numPr>
          <w:ilvl w:val="0"/>
          <w:numId w:val="12"/>
        </w:numPr>
        <w:autoSpaceDE w:val="0"/>
        <w:autoSpaceDN w:val="0"/>
        <w:adjustRightInd w:val="0"/>
        <w:spacing w:before="240" w:after="0" w:line="360" w:lineRule="auto"/>
        <w:ind w:left="709" w:right="-306" w:hanging="283"/>
        <w:jc w:val="both"/>
        <w:rPr>
          <w:rFonts w:ascii="Arial" w:hAnsi="Arial" w:cs="Arial"/>
          <w:sz w:val="22"/>
        </w:rPr>
      </w:pPr>
      <w:r w:rsidRPr="00CE3623">
        <w:rPr>
          <w:rFonts w:ascii="Arial" w:hAnsi="Arial" w:cs="Arial"/>
          <w:b/>
          <w:bCs/>
          <w:sz w:val="22"/>
        </w:rPr>
        <w:t>OTHER CURRENT ASSETS</w:t>
      </w:r>
      <w:r w:rsidR="00B30A04" w:rsidRPr="00CE3623">
        <w:rPr>
          <w:rFonts w:ascii="Arial" w:hAnsi="Arial" w:cs="Arial"/>
          <w:b/>
          <w:bCs/>
          <w:sz w:val="22"/>
        </w:rPr>
        <w:t>:</w:t>
      </w:r>
      <w:r w:rsidR="00B30A04" w:rsidRPr="00CE3623">
        <w:rPr>
          <w:rFonts w:ascii="Arial" w:hAnsi="Arial" w:cs="Arial"/>
          <w:sz w:val="22"/>
        </w:rPr>
        <w:t xml:space="preserve"> </w:t>
      </w:r>
      <w:r w:rsidR="00CE3623" w:rsidRPr="00CE3623">
        <w:rPr>
          <w:rFonts w:ascii="Arial" w:hAnsi="Arial" w:cs="Arial"/>
          <w:sz w:val="22"/>
        </w:rPr>
        <w:t xml:space="preserve">As per audited financial statement dated 31.03.2024, this head includes </w:t>
      </w:r>
      <w:r w:rsidR="00FA1BA4">
        <w:rPr>
          <w:rFonts w:ascii="Arial" w:hAnsi="Arial" w:cs="Arial"/>
          <w:sz w:val="22"/>
        </w:rPr>
        <w:t>Interest Accrued and Due</w:t>
      </w:r>
      <w:r w:rsidR="00CE3623" w:rsidRPr="00CE3623">
        <w:rPr>
          <w:rFonts w:ascii="Arial" w:hAnsi="Arial" w:cs="Arial"/>
          <w:sz w:val="22"/>
        </w:rPr>
        <w:t xml:space="preserve"> </w:t>
      </w:r>
      <w:r w:rsidR="00FA1BA4">
        <w:rPr>
          <w:rFonts w:ascii="Arial" w:hAnsi="Arial" w:cs="Arial"/>
          <w:sz w:val="22"/>
        </w:rPr>
        <w:t xml:space="preserve">(with related parties) </w:t>
      </w:r>
      <w:r w:rsidR="00CE3623" w:rsidRPr="00CE3623">
        <w:rPr>
          <w:rFonts w:ascii="Arial" w:hAnsi="Arial" w:cs="Arial"/>
          <w:sz w:val="22"/>
        </w:rPr>
        <w:t xml:space="preserve">amounting to INR </w:t>
      </w:r>
      <w:r w:rsidR="00FA1BA4">
        <w:rPr>
          <w:rFonts w:ascii="Arial" w:hAnsi="Arial" w:cs="Arial"/>
          <w:sz w:val="22"/>
        </w:rPr>
        <w:t>11</w:t>
      </w:r>
      <w:r w:rsidR="00CE3623" w:rsidRPr="00CE3623">
        <w:rPr>
          <w:rFonts w:ascii="Arial" w:hAnsi="Arial" w:cs="Arial"/>
          <w:sz w:val="22"/>
        </w:rPr>
        <w:t>,</w:t>
      </w:r>
      <w:r w:rsidR="00FA1BA4">
        <w:rPr>
          <w:rFonts w:ascii="Arial" w:hAnsi="Arial" w:cs="Arial"/>
          <w:sz w:val="22"/>
        </w:rPr>
        <w:t>39</w:t>
      </w:r>
      <w:r w:rsidR="00CE3623" w:rsidRPr="00CE3623">
        <w:rPr>
          <w:rFonts w:ascii="Arial" w:hAnsi="Arial" w:cs="Arial"/>
          <w:sz w:val="22"/>
        </w:rPr>
        <w:t xml:space="preserve">0. </w:t>
      </w:r>
      <w:r w:rsidR="00CE3623" w:rsidRPr="00CE3623">
        <w:rPr>
          <w:rFonts w:ascii="Arial" w:hAnsi="Arial" w:cs="Arial"/>
          <w:sz w:val="22"/>
        </w:rPr>
        <w:lastRenderedPageBreak/>
        <w:t xml:space="preserve">As per the information received, we have considered the fair value to be 100% of the book value considering the nature of the asset as the advances </w:t>
      </w:r>
      <w:r w:rsidR="00FB4824">
        <w:rPr>
          <w:rFonts w:ascii="Arial" w:hAnsi="Arial" w:cs="Arial"/>
          <w:sz w:val="22"/>
        </w:rPr>
        <w:t>are given t</w:t>
      </w:r>
      <w:r w:rsidR="0075144D">
        <w:rPr>
          <w:rFonts w:ascii="Arial" w:hAnsi="Arial" w:cs="Arial"/>
          <w:sz w:val="22"/>
        </w:rPr>
        <w:t xml:space="preserve">o </w:t>
      </w:r>
      <w:r w:rsidR="0075144D" w:rsidRPr="0075144D">
        <w:rPr>
          <w:rFonts w:ascii="Arial" w:hAnsi="Arial" w:cs="Arial"/>
          <w:sz w:val="22"/>
        </w:rPr>
        <w:t>Aakash and Company</w:t>
      </w:r>
      <w:r w:rsidR="0075144D">
        <w:rPr>
          <w:rFonts w:ascii="Arial" w:hAnsi="Arial" w:cs="Arial"/>
          <w:sz w:val="22"/>
        </w:rPr>
        <w:t xml:space="preserve"> (Related Party) which is in good condition as information received by us, which makes the </w:t>
      </w:r>
      <w:r w:rsidR="00CE3623" w:rsidRPr="00CE3623">
        <w:rPr>
          <w:rFonts w:ascii="Arial" w:hAnsi="Arial" w:cs="Arial"/>
          <w:sz w:val="22"/>
        </w:rPr>
        <w:t>chance</w:t>
      </w:r>
      <w:r w:rsidR="00CE3623">
        <w:rPr>
          <w:rFonts w:ascii="Arial" w:hAnsi="Arial" w:cs="Arial"/>
          <w:sz w:val="22"/>
        </w:rPr>
        <w:t>s</w:t>
      </w:r>
      <w:r w:rsidR="00CE3623" w:rsidRPr="00CE3623">
        <w:rPr>
          <w:rFonts w:ascii="Arial" w:hAnsi="Arial" w:cs="Arial"/>
          <w:sz w:val="22"/>
        </w:rPr>
        <w:t xml:space="preserve"> of recoverability of this amount is high.</w:t>
      </w:r>
    </w:p>
    <w:p w14:paraId="107CD718" w14:textId="086E0CC3" w:rsidR="004E4C7E" w:rsidRPr="000A3A81" w:rsidRDefault="004E4C7E" w:rsidP="000A3A81">
      <w:pPr>
        <w:pStyle w:val="ListParagraph"/>
        <w:numPr>
          <w:ilvl w:val="0"/>
          <w:numId w:val="11"/>
        </w:numPr>
        <w:autoSpaceDE w:val="0"/>
        <w:autoSpaceDN w:val="0"/>
        <w:adjustRightInd w:val="0"/>
        <w:spacing w:before="240" w:after="0" w:line="360" w:lineRule="auto"/>
        <w:ind w:left="426" w:right="-306" w:hanging="426"/>
        <w:jc w:val="both"/>
        <w:rPr>
          <w:rFonts w:ascii="Arial" w:hAnsi="Arial" w:cs="Arial"/>
          <w:b/>
          <w:bCs/>
          <w:sz w:val="22"/>
        </w:rPr>
      </w:pPr>
      <w:r w:rsidRPr="000A3A81">
        <w:rPr>
          <w:rFonts w:ascii="Arial" w:hAnsi="Arial" w:cs="Arial"/>
          <w:b/>
          <w:bCs/>
          <w:sz w:val="22"/>
        </w:rPr>
        <w:t xml:space="preserve">Thus, the </w:t>
      </w:r>
      <w:r w:rsidR="002B55AF" w:rsidRPr="000A3A81">
        <w:rPr>
          <w:rFonts w:ascii="Arial" w:hAnsi="Arial" w:cs="Arial"/>
          <w:b/>
          <w:bCs/>
          <w:sz w:val="22"/>
        </w:rPr>
        <w:t>F</w:t>
      </w:r>
      <w:r w:rsidRPr="000A3A81">
        <w:rPr>
          <w:rFonts w:ascii="Arial" w:hAnsi="Arial" w:cs="Arial"/>
          <w:b/>
          <w:bCs/>
          <w:sz w:val="22"/>
        </w:rPr>
        <w:t xml:space="preserve">air Market Value of Total </w:t>
      </w:r>
      <w:r w:rsidR="002B55AF" w:rsidRPr="000A3A81">
        <w:rPr>
          <w:rFonts w:ascii="Arial" w:hAnsi="Arial" w:cs="Arial"/>
          <w:b/>
          <w:bCs/>
          <w:sz w:val="22"/>
        </w:rPr>
        <w:t>A</w:t>
      </w:r>
      <w:r w:rsidRPr="000A3A81">
        <w:rPr>
          <w:rFonts w:ascii="Arial" w:hAnsi="Arial" w:cs="Arial"/>
          <w:b/>
          <w:bCs/>
          <w:sz w:val="22"/>
        </w:rPr>
        <w:t xml:space="preserve">ssets is being calculated as INR </w:t>
      </w:r>
      <w:r w:rsidR="00B45A18" w:rsidRPr="000A3A81">
        <w:rPr>
          <w:rFonts w:ascii="Arial" w:hAnsi="Arial" w:cs="Arial"/>
          <w:b/>
          <w:bCs/>
          <w:sz w:val="22"/>
        </w:rPr>
        <w:t xml:space="preserve">5,50,65,696.57 </w:t>
      </w:r>
      <w:r w:rsidRPr="000A3A81">
        <w:rPr>
          <w:rFonts w:ascii="Arial" w:hAnsi="Arial" w:cs="Arial"/>
          <w:b/>
          <w:bCs/>
          <w:sz w:val="22"/>
        </w:rPr>
        <w:t xml:space="preserve">as on valuation date. </w:t>
      </w:r>
    </w:p>
    <w:p w14:paraId="525AAA59" w14:textId="7C265669" w:rsidR="00344396" w:rsidRDefault="004E4C7E" w:rsidP="000A3A81">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rPr>
      </w:pPr>
      <w:r w:rsidRPr="004E4C7E">
        <w:rPr>
          <w:rFonts w:ascii="Arial" w:hAnsi="Arial" w:cs="Arial"/>
          <w:sz w:val="22"/>
        </w:rPr>
        <w:t xml:space="preserve">The fair market value of </w:t>
      </w:r>
      <w:r w:rsidR="002B0214">
        <w:rPr>
          <w:rFonts w:ascii="Arial" w:hAnsi="Arial" w:cs="Arial"/>
          <w:sz w:val="22"/>
        </w:rPr>
        <w:t>Total</w:t>
      </w:r>
      <w:r w:rsidRPr="004E4C7E">
        <w:rPr>
          <w:rFonts w:ascii="Arial" w:hAnsi="Arial" w:cs="Arial"/>
          <w:sz w:val="22"/>
        </w:rPr>
        <w:t xml:space="preserve">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w:t>
      </w:r>
      <w:r w:rsidR="002B0214">
        <w:rPr>
          <w:rFonts w:ascii="Arial" w:hAnsi="Arial" w:cs="Arial"/>
          <w:sz w:val="22"/>
        </w:rPr>
        <w:t>4</w:t>
      </w:r>
      <w:r w:rsidRPr="004E4C7E">
        <w:rPr>
          <w:rFonts w:ascii="Arial" w:hAnsi="Arial" w:cs="Arial"/>
          <w:sz w:val="22"/>
        </w:rPr>
        <w:t>.</w:t>
      </w:r>
    </w:p>
    <w:p w14:paraId="63E1D9FC" w14:textId="2274E268" w:rsidR="004E4C7E" w:rsidRDefault="004E4C7E" w:rsidP="002B0214">
      <w:pPr>
        <w:pStyle w:val="ListParagraph"/>
        <w:autoSpaceDE w:val="0"/>
        <w:autoSpaceDN w:val="0"/>
        <w:adjustRightInd w:val="0"/>
        <w:spacing w:before="240" w:line="360" w:lineRule="auto"/>
        <w:ind w:left="426" w:right="-306"/>
        <w:jc w:val="both"/>
        <w:rPr>
          <w:rFonts w:ascii="Arial" w:hAnsi="Arial" w:cs="Arial"/>
          <w:b/>
          <w:sz w:val="22"/>
        </w:rPr>
      </w:pPr>
      <w:r w:rsidRPr="00344396">
        <w:rPr>
          <w:rFonts w:ascii="Arial" w:hAnsi="Arial" w:cs="Arial"/>
          <w:b/>
          <w:sz w:val="22"/>
        </w:rPr>
        <w:t xml:space="preserve">Thus, the fair market value of Total </w:t>
      </w:r>
      <w:r w:rsidR="002B0214">
        <w:rPr>
          <w:rFonts w:ascii="Arial" w:hAnsi="Arial" w:cs="Arial"/>
          <w:b/>
          <w:sz w:val="22"/>
        </w:rPr>
        <w:t>Liabilities</w:t>
      </w:r>
      <w:r w:rsidRPr="00344396">
        <w:rPr>
          <w:rFonts w:ascii="Arial" w:hAnsi="Arial" w:cs="Arial"/>
          <w:b/>
          <w:sz w:val="22"/>
        </w:rPr>
        <w:t xml:space="preserve"> is being calculated as INR </w:t>
      </w:r>
      <w:r w:rsidR="0075144D">
        <w:rPr>
          <w:rFonts w:ascii="Arial" w:hAnsi="Arial" w:cs="Arial"/>
          <w:b/>
          <w:sz w:val="22"/>
        </w:rPr>
        <w:t>17,700</w:t>
      </w:r>
      <w:r w:rsidRPr="00344396">
        <w:rPr>
          <w:rFonts w:ascii="Arial" w:hAnsi="Arial" w:cs="Arial"/>
          <w:b/>
          <w:sz w:val="22"/>
        </w:rPr>
        <w:t xml:space="preserve"> as on valuation date</w:t>
      </w:r>
      <w:r w:rsidR="002B0214">
        <w:rPr>
          <w:rFonts w:ascii="Arial" w:hAnsi="Arial" w:cs="Arial"/>
          <w:b/>
          <w:sz w:val="22"/>
        </w:rPr>
        <w:t>, i.e., 31.03.2024.</w:t>
      </w:r>
    </w:p>
    <w:p w14:paraId="03D64D02" w14:textId="3ED2BDA8" w:rsidR="00A00296" w:rsidRPr="00B45A18" w:rsidRDefault="00CE3623" w:rsidP="00DE2E0C">
      <w:pPr>
        <w:pStyle w:val="ListParagraph"/>
        <w:numPr>
          <w:ilvl w:val="0"/>
          <w:numId w:val="11"/>
        </w:numPr>
        <w:autoSpaceDE w:val="0"/>
        <w:autoSpaceDN w:val="0"/>
        <w:adjustRightInd w:val="0"/>
        <w:spacing w:line="360" w:lineRule="auto"/>
        <w:ind w:left="426" w:right="-306" w:hanging="426"/>
        <w:jc w:val="both"/>
        <w:rPr>
          <w:rFonts w:ascii="Arial" w:hAnsi="Arial" w:cs="Arial"/>
          <w:b/>
          <w:sz w:val="22"/>
          <w:lang w:val="en-IN"/>
        </w:rPr>
      </w:pPr>
      <w:r w:rsidRPr="00B45A18">
        <w:rPr>
          <w:rFonts w:ascii="Arial" w:hAnsi="Arial" w:cs="Arial"/>
          <w:b/>
          <w:sz w:val="22"/>
        </w:rPr>
        <w:t>A</w:t>
      </w:r>
      <w:r w:rsidR="00A00296" w:rsidRPr="00B45A18">
        <w:rPr>
          <w:rFonts w:ascii="Arial" w:hAnsi="Arial" w:cs="Arial"/>
          <w:b/>
          <w:sz w:val="22"/>
        </w:rPr>
        <w:t xml:space="preserve">fter deducting the </w:t>
      </w:r>
      <w:r w:rsidR="002B0214" w:rsidRPr="00B45A18">
        <w:rPr>
          <w:rFonts w:ascii="Arial" w:hAnsi="Arial" w:cs="Arial"/>
          <w:b/>
          <w:sz w:val="22"/>
        </w:rPr>
        <w:t xml:space="preserve">fair market value of </w:t>
      </w:r>
      <w:r w:rsidR="00A00296" w:rsidRPr="00B45A18">
        <w:rPr>
          <w:rFonts w:ascii="Arial" w:hAnsi="Arial" w:cs="Arial"/>
          <w:b/>
          <w:sz w:val="22"/>
        </w:rPr>
        <w:t xml:space="preserve">Total </w:t>
      </w:r>
      <w:r w:rsidR="001F694B" w:rsidRPr="00B45A18">
        <w:rPr>
          <w:rFonts w:ascii="Arial" w:hAnsi="Arial" w:cs="Arial"/>
          <w:b/>
          <w:sz w:val="22"/>
        </w:rPr>
        <w:t>L</w:t>
      </w:r>
      <w:r w:rsidR="00A00296" w:rsidRPr="00B45A18">
        <w:rPr>
          <w:rFonts w:ascii="Arial" w:hAnsi="Arial" w:cs="Arial"/>
          <w:b/>
          <w:sz w:val="22"/>
        </w:rPr>
        <w:t xml:space="preserve">iabilities from the fair market value of Total Assets, the </w:t>
      </w:r>
      <w:r w:rsidR="002B0214" w:rsidRPr="00B45A18">
        <w:rPr>
          <w:rFonts w:ascii="Arial" w:hAnsi="Arial" w:cs="Arial"/>
          <w:b/>
          <w:sz w:val="22"/>
        </w:rPr>
        <w:t xml:space="preserve">Net Asset Value </w:t>
      </w:r>
      <w:r w:rsidR="00A00296" w:rsidRPr="00B45A18">
        <w:rPr>
          <w:rFonts w:ascii="Arial" w:hAnsi="Arial" w:cs="Arial"/>
          <w:b/>
          <w:sz w:val="22"/>
        </w:rPr>
        <w:t xml:space="preserve">(NAV) is being calculated as INR </w:t>
      </w:r>
      <w:r w:rsidR="00B45A18" w:rsidRPr="00B45A18">
        <w:rPr>
          <w:rFonts w:ascii="Arial" w:hAnsi="Arial" w:cs="Arial"/>
          <w:b/>
          <w:sz w:val="22"/>
        </w:rPr>
        <w:t xml:space="preserve">5,50,47,996.57 </w:t>
      </w:r>
      <w:r w:rsidR="00A00296" w:rsidRPr="00B45A18">
        <w:rPr>
          <w:rFonts w:ascii="Arial" w:hAnsi="Arial" w:cs="Arial"/>
          <w:b/>
          <w:sz w:val="22"/>
        </w:rPr>
        <w:t xml:space="preserve">which is being considered as the proxy of </w:t>
      </w:r>
      <w:r w:rsidR="002B0214" w:rsidRPr="00B45A18">
        <w:rPr>
          <w:rFonts w:ascii="Arial" w:hAnsi="Arial" w:cs="Arial"/>
          <w:b/>
          <w:sz w:val="22"/>
        </w:rPr>
        <w:t>Net Worth</w:t>
      </w:r>
      <w:r w:rsidR="00A00296" w:rsidRPr="00B45A18">
        <w:rPr>
          <w:rFonts w:ascii="Arial" w:hAnsi="Arial" w:cs="Arial"/>
          <w:b/>
          <w:sz w:val="22"/>
        </w:rPr>
        <w:t xml:space="preserve"> of “M/s </w:t>
      </w:r>
      <w:r w:rsidR="00632E53" w:rsidRPr="00B45A18">
        <w:rPr>
          <w:rFonts w:ascii="Arial" w:hAnsi="Arial" w:cs="Arial"/>
          <w:b/>
          <w:sz w:val="22"/>
        </w:rPr>
        <w:t>G. D. Contractors Private Limited</w:t>
      </w:r>
      <w:r w:rsidR="00A00296" w:rsidRPr="00B45A18">
        <w:rPr>
          <w:rFonts w:ascii="Arial" w:hAnsi="Arial" w:cs="Arial"/>
          <w:b/>
          <w:sz w:val="22"/>
        </w:rPr>
        <w:t xml:space="preserve">”. </w:t>
      </w:r>
    </w:p>
    <w:p w14:paraId="46BBB61C" w14:textId="2A364C3C" w:rsidR="00CE3623" w:rsidRPr="00CE3623" w:rsidRDefault="00CE3623" w:rsidP="00CE3623">
      <w:pPr>
        <w:autoSpaceDE w:val="0"/>
        <w:autoSpaceDN w:val="0"/>
        <w:adjustRightInd w:val="0"/>
        <w:spacing w:line="360" w:lineRule="auto"/>
        <w:ind w:right="-306"/>
        <w:jc w:val="both"/>
        <w:rPr>
          <w:rFonts w:ascii="Arial" w:hAnsi="Arial" w:cs="Arial"/>
          <w:b/>
          <w:sz w:val="22"/>
        </w:rPr>
      </w:pPr>
      <w:r>
        <w:rPr>
          <w:rFonts w:ascii="Arial" w:hAnsi="Arial" w:cs="Arial"/>
          <w:b/>
          <w:sz w:val="22"/>
        </w:rPr>
        <w:t xml:space="preserve">Hence, after dividing the Net Worth of “M/s </w:t>
      </w:r>
      <w:r w:rsidR="00632E53">
        <w:rPr>
          <w:rFonts w:ascii="Arial" w:hAnsi="Arial" w:cs="Arial"/>
          <w:b/>
          <w:sz w:val="22"/>
        </w:rPr>
        <w:t>G. D. Contractors Private Limited</w:t>
      </w:r>
      <w:r>
        <w:rPr>
          <w:rFonts w:ascii="Arial" w:hAnsi="Arial" w:cs="Arial"/>
          <w:b/>
          <w:sz w:val="22"/>
        </w:rPr>
        <w:t xml:space="preserve">” with the shares outstanding as on 31.03.2024, i.e., </w:t>
      </w:r>
      <w:r w:rsidR="0075144D">
        <w:rPr>
          <w:rFonts w:ascii="Arial" w:hAnsi="Arial" w:cs="Arial"/>
          <w:b/>
          <w:sz w:val="22"/>
        </w:rPr>
        <w:t>2,85,200</w:t>
      </w:r>
      <w:r>
        <w:rPr>
          <w:rFonts w:ascii="Arial" w:hAnsi="Arial" w:cs="Arial"/>
          <w:b/>
          <w:sz w:val="22"/>
        </w:rPr>
        <w:t xml:space="preserve"> shares, the Share Price </w:t>
      </w:r>
      <w:r w:rsidR="00A73A69">
        <w:rPr>
          <w:rFonts w:ascii="Arial" w:hAnsi="Arial" w:cs="Arial"/>
          <w:b/>
          <w:sz w:val="22"/>
        </w:rPr>
        <w:t xml:space="preserve">as on 31.03.2024 </w:t>
      </w:r>
      <w:r>
        <w:rPr>
          <w:rFonts w:ascii="Arial" w:hAnsi="Arial" w:cs="Arial"/>
          <w:b/>
          <w:sz w:val="22"/>
        </w:rPr>
        <w:t xml:space="preserve">is being calculated as </w:t>
      </w:r>
      <w:r w:rsidRPr="00B45A18">
        <w:rPr>
          <w:rFonts w:ascii="Arial" w:hAnsi="Arial" w:cs="Arial"/>
          <w:b/>
          <w:sz w:val="22"/>
        </w:rPr>
        <w:t xml:space="preserve">INR </w:t>
      </w:r>
      <w:r w:rsidR="00B45A18" w:rsidRPr="00B45A18">
        <w:rPr>
          <w:rFonts w:ascii="Arial" w:hAnsi="Arial" w:cs="Arial"/>
          <w:b/>
          <w:sz w:val="22"/>
        </w:rPr>
        <w:t>193.02</w:t>
      </w:r>
    </w:p>
    <w:p w14:paraId="0AA9C2AC" w14:textId="0482C1E5" w:rsidR="00A00296" w:rsidRDefault="001443D5" w:rsidP="00DE2E0C">
      <w:pPr>
        <w:pStyle w:val="ListParagraph"/>
        <w:numPr>
          <w:ilvl w:val="0"/>
          <w:numId w:val="10"/>
        </w:numPr>
        <w:spacing w:line="360" w:lineRule="auto"/>
        <w:ind w:left="426" w:right="-306" w:hanging="426"/>
        <w:jc w:val="both"/>
        <w:rPr>
          <w:rFonts w:ascii="Arial" w:hAnsi="Arial" w:cs="Arial"/>
          <w:i/>
          <w:color w:val="000000"/>
          <w:sz w:val="22"/>
          <w:szCs w:val="22"/>
        </w:rPr>
      </w:pPr>
      <w:r>
        <w:rPr>
          <w:rFonts w:ascii="Arial" w:hAnsi="Arial" w:cs="Arial"/>
          <w:i/>
          <w:color w:val="000000"/>
          <w:sz w:val="22"/>
          <w:szCs w:val="22"/>
        </w:rPr>
        <w:t>Equity</w:t>
      </w:r>
      <w:r w:rsidR="00A00296" w:rsidRPr="00742C5D">
        <w:rPr>
          <w:rFonts w:ascii="Arial" w:hAnsi="Arial" w:cs="Arial"/>
          <w:i/>
          <w:color w:val="000000"/>
          <w:sz w:val="22"/>
          <w:szCs w:val="22"/>
        </w:rPr>
        <w:t xml:space="preserve"> Valuation of the subject </w:t>
      </w:r>
      <w:r>
        <w:rPr>
          <w:rFonts w:ascii="Arial" w:hAnsi="Arial" w:cs="Arial"/>
          <w:i/>
          <w:color w:val="000000"/>
          <w:sz w:val="22"/>
          <w:szCs w:val="22"/>
        </w:rPr>
        <w:t>company</w:t>
      </w:r>
      <w:r w:rsidR="00A00296" w:rsidRPr="00742C5D">
        <w:rPr>
          <w:rFonts w:ascii="Arial" w:hAnsi="Arial" w:cs="Arial"/>
          <w:i/>
          <w:color w:val="000000"/>
          <w:sz w:val="22"/>
          <w:szCs w:val="22"/>
        </w:rPr>
        <w:t xml:space="preserve"> has been done by using Net Assets Value (NAV) Method. </w:t>
      </w:r>
    </w:p>
    <w:p w14:paraId="6BD33AE7" w14:textId="150E7DA4" w:rsidR="00A00296" w:rsidRPr="00A00296" w:rsidRDefault="00A00296" w:rsidP="00DE2E0C">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w:t>
      </w:r>
      <w:r w:rsidRPr="00A00296">
        <w:rPr>
          <w:rFonts w:ascii="Arial" w:hAnsi="Arial" w:cs="Arial"/>
          <w:i/>
          <w:sz w:val="22"/>
          <w:szCs w:val="22"/>
        </w:rPr>
        <w:t xml:space="preserve">Liabilities from the Total Assets Value of the company. </w:t>
      </w:r>
    </w:p>
    <w:p w14:paraId="47C3D566" w14:textId="77777777" w:rsidR="00A00296" w:rsidRPr="00A00296" w:rsidRDefault="00A00296" w:rsidP="00DE2E0C">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rsidP="00DE2E0C">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57D63E5A" w14:textId="301CB775" w:rsidR="0075144D" w:rsidRDefault="00A00296" w:rsidP="00DE2E0C">
      <w:pPr>
        <w:pStyle w:val="ListParagraph"/>
        <w:numPr>
          <w:ilvl w:val="0"/>
          <w:numId w:val="10"/>
        </w:numPr>
        <w:spacing w:line="360" w:lineRule="auto"/>
        <w:ind w:left="426" w:right="-306" w:hanging="426"/>
        <w:jc w:val="both"/>
        <w:rPr>
          <w:rFonts w:ascii="Arial" w:hAnsi="Arial" w:cs="Arial"/>
          <w:i/>
          <w:sz w:val="22"/>
        </w:rPr>
      </w:pPr>
      <w:r w:rsidRPr="00A00296">
        <w:rPr>
          <w:rFonts w:ascii="Arial" w:hAnsi="Arial" w:cs="Arial"/>
          <w:i/>
          <w:sz w:val="22"/>
        </w:rPr>
        <w:t>This is only a general assessment of the E</w:t>
      </w:r>
      <w:r w:rsidR="001443D5">
        <w:rPr>
          <w:rFonts w:ascii="Arial" w:hAnsi="Arial" w:cs="Arial"/>
          <w:i/>
          <w:sz w:val="22"/>
        </w:rPr>
        <w:t>quity</w:t>
      </w:r>
      <w:r w:rsidRPr="00A00296">
        <w:rPr>
          <w:rFonts w:ascii="Arial" w:hAnsi="Arial" w:cs="Arial"/>
          <w:i/>
          <w:sz w:val="22"/>
        </w:rPr>
        <w:t xml:space="preserve"> Value of the </w:t>
      </w:r>
      <w:r w:rsidR="001443D5">
        <w:rPr>
          <w:rFonts w:ascii="Arial" w:hAnsi="Arial" w:cs="Arial"/>
          <w:i/>
          <w:sz w:val="22"/>
        </w:rPr>
        <w:t>company</w:t>
      </w:r>
      <w:r w:rsidRPr="00A00296">
        <w:rPr>
          <w:rFonts w:ascii="Arial" w:hAnsi="Arial" w:cs="Arial"/>
          <w:i/>
          <w:sz w:val="22"/>
        </w:rPr>
        <w:t xml:space="preserve">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3A7831D6" w14:textId="6C72C5FD" w:rsidR="00A00296" w:rsidRPr="0075144D" w:rsidRDefault="0075144D" w:rsidP="0075144D">
      <w:pPr>
        <w:rPr>
          <w:rFonts w:ascii="Arial" w:hAnsi="Arial" w:cs="Arial"/>
          <w:i/>
          <w:sz w:val="22"/>
        </w:rPr>
      </w:pPr>
      <w:r>
        <w:rPr>
          <w:rFonts w:ascii="Arial" w:hAnsi="Arial" w:cs="Arial"/>
          <w:i/>
          <w:sz w:val="22"/>
        </w:rPr>
        <w:br w:type="page"/>
      </w:r>
    </w:p>
    <w:tbl>
      <w:tblPr>
        <w:tblStyle w:val="TableGrid"/>
        <w:tblW w:w="5175" w:type="pct"/>
        <w:tblInd w:w="-5" w:type="dxa"/>
        <w:tblCellMar>
          <w:top w:w="28" w:type="dxa"/>
          <w:bottom w:w="28" w:type="dxa"/>
        </w:tblCellMar>
        <w:tblLook w:val="04A0" w:firstRow="1" w:lastRow="0" w:firstColumn="1" w:lastColumn="0" w:noHBand="0" w:noVBand="1"/>
      </w:tblPr>
      <w:tblGrid>
        <w:gridCol w:w="2157"/>
        <w:gridCol w:w="7199"/>
      </w:tblGrid>
      <w:tr w:rsidR="00274DC1" w:rsidRPr="00882124" w14:paraId="645E4F30" w14:textId="77777777" w:rsidTr="00382F20">
        <w:trPr>
          <w:trHeight w:val="2798"/>
        </w:trPr>
        <w:tc>
          <w:tcPr>
            <w:tcW w:w="1153" w:type="pct"/>
            <w:vAlign w:val="center"/>
          </w:tcPr>
          <w:p w14:paraId="364C5482" w14:textId="17A4E0E4" w:rsidR="00796E39" w:rsidRPr="00A83007" w:rsidRDefault="00A83007" w:rsidP="00A83007">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847" w:type="pct"/>
          </w:tcPr>
          <w:p w14:paraId="67505606" w14:textId="77777777" w:rsidR="00274DC1" w:rsidRPr="00882124" w:rsidRDefault="00274DC1" w:rsidP="000A3A81">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undersigned does not have any direct/indirect interest in the above property.</w:t>
            </w:r>
          </w:p>
          <w:p w14:paraId="100105F7" w14:textId="77777777" w:rsidR="00274DC1" w:rsidRPr="00882124" w:rsidRDefault="00274DC1" w:rsidP="000A3A81">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information furnished herein is true and correct to the best of our knowledge.</w:t>
            </w:r>
          </w:p>
          <w:p w14:paraId="124E89C8" w14:textId="029A8132" w:rsidR="00274DC1" w:rsidRPr="00A83007" w:rsidRDefault="00274DC1" w:rsidP="000A3A81">
            <w:pPr>
              <w:pStyle w:val="ListParagraph"/>
              <w:numPr>
                <w:ilvl w:val="0"/>
                <w:numId w:val="14"/>
              </w:numPr>
              <w:spacing w:before="240" w:after="160" w:line="360" w:lineRule="auto"/>
              <w:ind w:left="288" w:hanging="142"/>
              <w:contextualSpacing/>
              <w:jc w:val="both"/>
              <w:rPr>
                <w:rFonts w:ascii="Arial" w:hAnsi="Arial" w:cs="Arial"/>
                <w:b/>
                <w:bCs/>
                <w:i/>
                <w:sz w:val="22"/>
                <w:szCs w:val="22"/>
              </w:rPr>
            </w:pPr>
            <w:r w:rsidRPr="00882124">
              <w:rPr>
                <w:rFonts w:ascii="Arial" w:hAnsi="Arial" w:cs="Arial"/>
                <w:i/>
                <w:sz w:val="22"/>
                <w:szCs w:val="22"/>
              </w:rPr>
              <w:t xml:space="preserve">This valuation work is carried out by our Financial Analyst team on the request from </w:t>
            </w:r>
            <w:r w:rsidR="00A83007">
              <w:rPr>
                <w:rFonts w:ascii="Arial" w:hAnsi="Arial" w:cs="Arial"/>
                <w:bCs/>
                <w:i/>
                <w:sz w:val="22"/>
                <w:szCs w:val="22"/>
              </w:rPr>
              <w:t xml:space="preserve">Indus Tubes Limited, </w:t>
            </w:r>
            <w:r w:rsidR="00A83007" w:rsidRPr="00A83007">
              <w:rPr>
                <w:rFonts w:ascii="Arial" w:hAnsi="Arial" w:cs="Arial"/>
                <w:i/>
                <w:sz w:val="22"/>
                <w:szCs w:val="22"/>
              </w:rPr>
              <w:t>B - 08, GD - ITL Tower, Top Floor, Netaji Subhash Place, Wazirpur District Centre, Pitampura, Delhi, India</w:t>
            </w:r>
            <w:r w:rsidR="00A83007">
              <w:rPr>
                <w:rFonts w:ascii="Arial" w:hAnsi="Arial" w:cs="Arial"/>
                <w:i/>
                <w:sz w:val="22"/>
                <w:szCs w:val="22"/>
              </w:rPr>
              <w:t xml:space="preserve"> </w:t>
            </w:r>
            <w:r w:rsidR="00A83007" w:rsidRPr="00A83007">
              <w:rPr>
                <w:rFonts w:ascii="Arial" w:hAnsi="Arial" w:cs="Arial"/>
                <w:i/>
                <w:sz w:val="22"/>
                <w:szCs w:val="22"/>
              </w:rPr>
              <w:t>- 110034.</w:t>
            </w:r>
          </w:p>
          <w:p w14:paraId="6A088835" w14:textId="77777777" w:rsidR="00274DC1" w:rsidRPr="00882124" w:rsidRDefault="00274DC1" w:rsidP="000A3A81">
            <w:pPr>
              <w:pStyle w:val="ListParagraph"/>
              <w:numPr>
                <w:ilvl w:val="0"/>
                <w:numId w:val="14"/>
              </w:numPr>
              <w:spacing w:before="240" w:line="360" w:lineRule="auto"/>
              <w:ind w:left="288" w:right="16" w:hanging="142"/>
              <w:contextualSpacing/>
              <w:jc w:val="both"/>
              <w:rPr>
                <w:rFonts w:ascii="Arial" w:hAnsi="Arial" w:cs="Arial"/>
                <w:sz w:val="22"/>
                <w:szCs w:val="22"/>
              </w:rPr>
            </w:pPr>
            <w:r w:rsidRPr="00882124">
              <w:rPr>
                <w:rFonts w:ascii="Arial" w:hAnsi="Arial" w:cs="Arial"/>
                <w:i/>
                <w:sz w:val="22"/>
                <w:szCs w:val="22"/>
              </w:rPr>
              <w:t>We have submitted Valuation report to the Client.</w:t>
            </w:r>
          </w:p>
        </w:tc>
      </w:tr>
      <w:tr w:rsidR="00274DC1" w:rsidRPr="00882124" w14:paraId="7580771A" w14:textId="77777777" w:rsidTr="00796E39">
        <w:trPr>
          <w:trHeight w:val="18"/>
        </w:trPr>
        <w:tc>
          <w:tcPr>
            <w:tcW w:w="1153" w:type="pct"/>
            <w:vAlign w:val="center"/>
          </w:tcPr>
          <w:p w14:paraId="1110E0E6"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847" w:type="pct"/>
            <w:vAlign w:val="center"/>
          </w:tcPr>
          <w:p w14:paraId="4F907FB7" w14:textId="25CE12A8" w:rsidR="00274DC1" w:rsidRPr="00382F20" w:rsidRDefault="00BB7D51" w:rsidP="00796E39">
            <w:pPr>
              <w:spacing w:line="360" w:lineRule="auto"/>
              <w:rPr>
                <w:rFonts w:ascii="Arial" w:hAnsi="Arial" w:cs="Arial"/>
                <w:sz w:val="22"/>
                <w:szCs w:val="22"/>
              </w:rPr>
            </w:pPr>
            <w:r w:rsidRPr="00382F20">
              <w:rPr>
                <w:rFonts w:ascii="Arial" w:hAnsi="Arial" w:cs="Arial"/>
                <w:sz w:val="22"/>
                <w:szCs w:val="22"/>
              </w:rPr>
              <w:t>2</w:t>
            </w:r>
            <w:r w:rsidR="00F90CE2">
              <w:rPr>
                <w:rFonts w:ascii="Arial" w:hAnsi="Arial" w:cs="Arial"/>
                <w:sz w:val="22"/>
                <w:szCs w:val="22"/>
              </w:rPr>
              <w:t>3</w:t>
            </w:r>
          </w:p>
        </w:tc>
      </w:tr>
      <w:tr w:rsidR="00274DC1" w:rsidRPr="00882124" w14:paraId="796CBF40" w14:textId="77777777" w:rsidTr="00796E39">
        <w:trPr>
          <w:trHeight w:val="18"/>
        </w:trPr>
        <w:tc>
          <w:tcPr>
            <w:tcW w:w="1153" w:type="pct"/>
            <w:vAlign w:val="center"/>
          </w:tcPr>
          <w:p w14:paraId="5C6628AA"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Enclosed Documents</w:t>
            </w:r>
          </w:p>
        </w:tc>
        <w:tc>
          <w:tcPr>
            <w:tcW w:w="3847" w:type="pct"/>
            <w:vAlign w:val="center"/>
          </w:tcPr>
          <w:p w14:paraId="5632E44A" w14:textId="715C1196" w:rsidR="00274DC1" w:rsidRPr="00382F20" w:rsidRDefault="00274DC1" w:rsidP="00796E39">
            <w:pPr>
              <w:spacing w:line="360" w:lineRule="auto"/>
              <w:rPr>
                <w:rFonts w:ascii="Arial" w:hAnsi="Arial" w:cs="Arial"/>
                <w:sz w:val="22"/>
                <w:szCs w:val="22"/>
              </w:rPr>
            </w:pPr>
            <w:r w:rsidRPr="00382F20">
              <w:rPr>
                <w:rFonts w:ascii="Arial" w:hAnsi="Arial" w:cs="Arial"/>
                <w:sz w:val="22"/>
                <w:szCs w:val="22"/>
              </w:rPr>
              <w:t xml:space="preserve">Disclaimer &amp; Remarks </w:t>
            </w:r>
            <w:r w:rsidR="00BB7D51" w:rsidRPr="00382F20">
              <w:rPr>
                <w:rFonts w:ascii="Arial" w:hAnsi="Arial" w:cs="Arial"/>
                <w:sz w:val="22"/>
                <w:szCs w:val="22"/>
              </w:rPr>
              <w:t>1</w:t>
            </w:r>
            <w:r w:rsidR="00382F20" w:rsidRPr="00382F20">
              <w:rPr>
                <w:rFonts w:ascii="Arial" w:hAnsi="Arial" w:cs="Arial"/>
                <w:sz w:val="22"/>
                <w:szCs w:val="22"/>
              </w:rPr>
              <w:t>8</w:t>
            </w:r>
            <w:r w:rsidR="00BB7D51" w:rsidRPr="00382F20">
              <w:rPr>
                <w:rFonts w:ascii="Arial" w:hAnsi="Arial" w:cs="Arial"/>
                <w:sz w:val="22"/>
                <w:szCs w:val="22"/>
              </w:rPr>
              <w:t>-2</w:t>
            </w:r>
            <w:r w:rsidR="00382F20" w:rsidRPr="00382F20">
              <w:rPr>
                <w:rFonts w:ascii="Arial" w:hAnsi="Arial" w:cs="Arial"/>
                <w:sz w:val="22"/>
                <w:szCs w:val="22"/>
              </w:rPr>
              <w:t>3</w:t>
            </w:r>
          </w:p>
        </w:tc>
      </w:tr>
      <w:tr w:rsidR="00274DC1" w:rsidRPr="00882124" w14:paraId="0EB89C49" w14:textId="77777777" w:rsidTr="00796E39">
        <w:trPr>
          <w:trHeight w:val="18"/>
        </w:trPr>
        <w:tc>
          <w:tcPr>
            <w:tcW w:w="1153" w:type="pct"/>
            <w:vAlign w:val="center"/>
          </w:tcPr>
          <w:p w14:paraId="5BF1E851"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Place</w:t>
            </w:r>
          </w:p>
        </w:tc>
        <w:tc>
          <w:tcPr>
            <w:tcW w:w="3847" w:type="pct"/>
            <w:vAlign w:val="center"/>
          </w:tcPr>
          <w:p w14:paraId="6A6A652F" w14:textId="77777777" w:rsidR="00274DC1" w:rsidRPr="00882124" w:rsidRDefault="00274DC1" w:rsidP="00796E39">
            <w:pPr>
              <w:spacing w:line="360" w:lineRule="auto"/>
              <w:rPr>
                <w:rFonts w:ascii="Arial" w:hAnsi="Arial" w:cs="Arial"/>
                <w:sz w:val="22"/>
                <w:szCs w:val="22"/>
              </w:rPr>
            </w:pPr>
            <w:r w:rsidRPr="00882124">
              <w:rPr>
                <w:rFonts w:ascii="Arial" w:hAnsi="Arial" w:cs="Arial"/>
                <w:sz w:val="22"/>
                <w:szCs w:val="22"/>
              </w:rPr>
              <w:t>Noida</w:t>
            </w:r>
          </w:p>
        </w:tc>
      </w:tr>
      <w:tr w:rsidR="00274DC1" w:rsidRPr="00882124" w14:paraId="751B9A67" w14:textId="77777777" w:rsidTr="00796E39">
        <w:trPr>
          <w:trHeight w:val="18"/>
        </w:trPr>
        <w:tc>
          <w:tcPr>
            <w:tcW w:w="1153" w:type="pct"/>
            <w:vAlign w:val="center"/>
          </w:tcPr>
          <w:p w14:paraId="5B5058B0"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Date</w:t>
            </w:r>
          </w:p>
        </w:tc>
        <w:tc>
          <w:tcPr>
            <w:tcW w:w="3847" w:type="pct"/>
            <w:vAlign w:val="center"/>
          </w:tcPr>
          <w:p w14:paraId="34672C4F" w14:textId="3C3F0788" w:rsidR="00274DC1" w:rsidRPr="00882124" w:rsidRDefault="00BB7D51" w:rsidP="00796E39">
            <w:pPr>
              <w:spacing w:line="360" w:lineRule="auto"/>
              <w:rPr>
                <w:rFonts w:ascii="Arial" w:hAnsi="Arial" w:cs="Arial"/>
                <w:sz w:val="22"/>
                <w:szCs w:val="22"/>
              </w:rPr>
            </w:pPr>
            <w:r>
              <w:rPr>
                <w:rFonts w:ascii="Arial" w:hAnsi="Arial" w:cs="Arial"/>
                <w:sz w:val="22"/>
                <w:szCs w:val="22"/>
              </w:rPr>
              <w:t>4</w:t>
            </w:r>
            <w:r w:rsidRPr="00BB7D51">
              <w:rPr>
                <w:rFonts w:ascii="Arial" w:hAnsi="Arial" w:cs="Arial"/>
                <w:sz w:val="22"/>
                <w:szCs w:val="22"/>
                <w:vertAlign w:val="superscript"/>
              </w:rPr>
              <w:t>th</w:t>
            </w:r>
            <w:r>
              <w:rPr>
                <w:rFonts w:ascii="Arial" w:hAnsi="Arial" w:cs="Arial"/>
                <w:sz w:val="22"/>
                <w:szCs w:val="22"/>
              </w:rPr>
              <w:t xml:space="preserve"> </w:t>
            </w:r>
            <w:r w:rsidRPr="00BB7D51">
              <w:rPr>
                <w:rFonts w:ascii="Arial" w:hAnsi="Arial" w:cs="Arial"/>
                <w:sz w:val="22"/>
                <w:szCs w:val="22"/>
              </w:rPr>
              <w:t>September</w:t>
            </w:r>
            <w:r w:rsidR="00274DC1" w:rsidRPr="00882124">
              <w:rPr>
                <w:rFonts w:ascii="Arial" w:hAnsi="Arial" w:cs="Arial"/>
                <w:sz w:val="22"/>
                <w:szCs w:val="22"/>
              </w:rPr>
              <w:t xml:space="preserve"> 2024</w:t>
            </w:r>
          </w:p>
        </w:tc>
      </w:tr>
    </w:tbl>
    <w:p w14:paraId="3EFF5B1A" w14:textId="77777777" w:rsidR="00274DC1" w:rsidRDefault="00274DC1" w:rsidP="00274DC1"/>
    <w:tbl>
      <w:tblPr>
        <w:tblStyle w:val="TableGrid"/>
        <w:tblW w:w="9351" w:type="dxa"/>
        <w:tblLayout w:type="fixed"/>
        <w:tblCellMar>
          <w:top w:w="28" w:type="dxa"/>
          <w:bottom w:w="28" w:type="dxa"/>
        </w:tblCellMar>
        <w:tblLook w:val="04A0" w:firstRow="1" w:lastRow="0" w:firstColumn="1" w:lastColumn="0" w:noHBand="0" w:noVBand="1"/>
      </w:tblPr>
      <w:tblGrid>
        <w:gridCol w:w="2689"/>
        <w:gridCol w:w="2268"/>
        <w:gridCol w:w="2268"/>
        <w:gridCol w:w="2126"/>
      </w:tblGrid>
      <w:tr w:rsidR="00B45A18" w:rsidRPr="0083576B" w14:paraId="4E657771" w14:textId="617BA763" w:rsidTr="00B45A18">
        <w:trPr>
          <w:trHeight w:val="616"/>
        </w:trPr>
        <w:tc>
          <w:tcPr>
            <w:tcW w:w="9351" w:type="dxa"/>
            <w:gridSpan w:val="4"/>
            <w:shd w:val="clear" w:color="auto" w:fill="002060"/>
          </w:tcPr>
          <w:p w14:paraId="3C33315A" w14:textId="77777777" w:rsidR="00B45A18" w:rsidRPr="00876A4D" w:rsidRDefault="00B45A18" w:rsidP="00B45A18">
            <w:pPr>
              <w:spacing w:line="360" w:lineRule="auto"/>
              <w:ind w:left="45"/>
              <w:jc w:val="center"/>
              <w:rPr>
                <w:rFonts w:ascii="Arial" w:hAnsi="Arial" w:cs="Arial"/>
                <w:sz w:val="22"/>
              </w:rPr>
            </w:pPr>
            <w:r w:rsidRPr="00876A4D">
              <w:rPr>
                <w:rFonts w:ascii="Arial" w:hAnsi="Arial" w:cs="Arial"/>
                <w:b/>
                <w:sz w:val="22"/>
              </w:rPr>
              <w:t>FOR ON BEHALF OF</w:t>
            </w:r>
          </w:p>
          <w:p w14:paraId="5FD15CC0" w14:textId="12F91E98" w:rsidR="00B45A18" w:rsidRPr="00876A4D" w:rsidRDefault="00B45A18" w:rsidP="00B45A18">
            <w:pPr>
              <w:spacing w:line="360" w:lineRule="auto"/>
              <w:ind w:left="45"/>
              <w:jc w:val="center"/>
              <w:rPr>
                <w:rFonts w:ascii="Arial" w:hAnsi="Arial" w:cs="Arial"/>
                <w:b/>
                <w:sz w:val="22"/>
              </w:rPr>
            </w:pPr>
            <w:r w:rsidRPr="00876A4D">
              <w:rPr>
                <w:rFonts w:ascii="Arial" w:hAnsi="Arial" w:cs="Arial"/>
                <w:b/>
                <w:sz w:val="22"/>
              </w:rPr>
              <w:t>M/S. R.K. ASSOCIATES VALUER &amp; TECHNO ENGINEERING CONSULTANTS PVT. LTD.</w:t>
            </w:r>
          </w:p>
        </w:tc>
      </w:tr>
      <w:tr w:rsidR="00B45A18" w:rsidRPr="0083576B" w14:paraId="23DA9D5F" w14:textId="77777777" w:rsidTr="005D7EB7">
        <w:trPr>
          <w:trHeight w:val="18"/>
        </w:trPr>
        <w:tc>
          <w:tcPr>
            <w:tcW w:w="2689" w:type="dxa"/>
            <w:shd w:val="clear" w:color="auto" w:fill="DEEAF6" w:themeFill="accent1" w:themeFillTint="33"/>
            <w:vAlign w:val="center"/>
          </w:tcPr>
          <w:p w14:paraId="66C004AE" w14:textId="595D410B" w:rsidR="00B45A18" w:rsidRPr="00876A4D" w:rsidRDefault="005D7EB7" w:rsidP="005D7EB7">
            <w:pPr>
              <w:spacing w:line="360" w:lineRule="auto"/>
              <w:ind w:left="-120" w:right="-108"/>
              <w:jc w:val="center"/>
              <w:rPr>
                <w:rFonts w:ascii="Arial" w:hAnsi="Arial" w:cs="Arial"/>
                <w:b/>
                <w:sz w:val="22"/>
              </w:rPr>
            </w:pPr>
            <w:r>
              <w:rPr>
                <w:rFonts w:ascii="Arial" w:hAnsi="Arial" w:cs="Arial"/>
                <w:b/>
                <w:sz w:val="22"/>
              </w:rPr>
              <w:t>SURVEY DONE BY</w:t>
            </w:r>
          </w:p>
        </w:tc>
        <w:tc>
          <w:tcPr>
            <w:tcW w:w="4536" w:type="dxa"/>
            <w:gridSpan w:val="2"/>
            <w:shd w:val="clear" w:color="auto" w:fill="DEEAF6" w:themeFill="accent1" w:themeFillTint="33"/>
            <w:vAlign w:val="center"/>
          </w:tcPr>
          <w:p w14:paraId="1A17AFC7" w14:textId="415A8614" w:rsidR="00B45A18" w:rsidRPr="00876A4D" w:rsidRDefault="00B45A18" w:rsidP="00B45A18">
            <w:pPr>
              <w:spacing w:line="360" w:lineRule="auto"/>
              <w:ind w:left="45" w:right="-108"/>
              <w:jc w:val="center"/>
              <w:rPr>
                <w:rFonts w:ascii="Arial" w:hAnsi="Arial" w:cs="Arial"/>
                <w:b/>
                <w:sz w:val="22"/>
              </w:rPr>
            </w:pPr>
            <w:r w:rsidRPr="00876A4D">
              <w:rPr>
                <w:rFonts w:ascii="Arial" w:hAnsi="Arial" w:cs="Arial"/>
                <w:b/>
                <w:sz w:val="22"/>
              </w:rPr>
              <w:t>PREPARED BY</w:t>
            </w:r>
          </w:p>
        </w:tc>
        <w:tc>
          <w:tcPr>
            <w:tcW w:w="2126" w:type="dxa"/>
            <w:shd w:val="clear" w:color="auto" w:fill="DEEAF6" w:themeFill="accent1" w:themeFillTint="33"/>
            <w:vAlign w:val="center"/>
          </w:tcPr>
          <w:p w14:paraId="233E3096" w14:textId="7DE01F24" w:rsidR="00B45A18" w:rsidRPr="00876A4D" w:rsidRDefault="00B45A18" w:rsidP="005D7EB7">
            <w:pPr>
              <w:spacing w:line="360" w:lineRule="auto"/>
              <w:ind w:left="-104" w:right="-108"/>
              <w:jc w:val="center"/>
              <w:rPr>
                <w:rFonts w:ascii="Arial" w:hAnsi="Arial" w:cs="Arial"/>
                <w:sz w:val="22"/>
              </w:rPr>
            </w:pPr>
            <w:r w:rsidRPr="00876A4D">
              <w:rPr>
                <w:rFonts w:ascii="Arial" w:hAnsi="Arial" w:cs="Arial"/>
                <w:b/>
                <w:sz w:val="22"/>
              </w:rPr>
              <w:t>REVIEWED BY</w:t>
            </w:r>
          </w:p>
        </w:tc>
      </w:tr>
      <w:tr w:rsidR="00B45A18" w:rsidRPr="0083576B" w14:paraId="21575338" w14:textId="77777777" w:rsidTr="005D7EB7">
        <w:trPr>
          <w:trHeight w:val="520"/>
        </w:trPr>
        <w:tc>
          <w:tcPr>
            <w:tcW w:w="2689" w:type="dxa"/>
            <w:vAlign w:val="center"/>
          </w:tcPr>
          <w:p w14:paraId="14D405CE" w14:textId="20C5C2D7" w:rsidR="00B45A18" w:rsidRPr="00876A4D" w:rsidRDefault="005D7EB7" w:rsidP="00B45A18">
            <w:pPr>
              <w:tabs>
                <w:tab w:val="left" w:pos="360"/>
              </w:tabs>
              <w:spacing w:line="360" w:lineRule="auto"/>
              <w:jc w:val="center"/>
              <w:rPr>
                <w:rFonts w:ascii="Arial" w:hAnsi="Arial" w:cs="Arial"/>
                <w:b/>
                <w:sz w:val="22"/>
              </w:rPr>
            </w:pPr>
            <w:r>
              <w:rPr>
                <w:rFonts w:ascii="Arial" w:hAnsi="Arial" w:cs="Arial"/>
                <w:b/>
                <w:sz w:val="22"/>
              </w:rPr>
              <w:t>Mr. Nischay Gautam</w:t>
            </w:r>
          </w:p>
        </w:tc>
        <w:tc>
          <w:tcPr>
            <w:tcW w:w="2268" w:type="dxa"/>
            <w:vAlign w:val="center"/>
          </w:tcPr>
          <w:p w14:paraId="52E11257" w14:textId="0CE9F7F6" w:rsidR="00B45A18" w:rsidRPr="00B45A18" w:rsidRDefault="00B45A18" w:rsidP="005D7EB7">
            <w:pPr>
              <w:spacing w:line="360" w:lineRule="auto"/>
              <w:ind w:left="-104" w:right="-108"/>
              <w:jc w:val="center"/>
              <w:rPr>
                <w:rFonts w:ascii="Arial" w:hAnsi="Arial" w:cs="Arial"/>
                <w:b/>
                <w:sz w:val="22"/>
              </w:rPr>
            </w:pPr>
            <w:r w:rsidRPr="00876A4D">
              <w:rPr>
                <w:rFonts w:ascii="Arial" w:hAnsi="Arial" w:cs="Arial"/>
                <w:b/>
                <w:sz w:val="22"/>
              </w:rPr>
              <w:t>Mr. Rachit Gupta</w:t>
            </w:r>
          </w:p>
        </w:tc>
        <w:tc>
          <w:tcPr>
            <w:tcW w:w="2268" w:type="dxa"/>
            <w:vAlign w:val="center"/>
          </w:tcPr>
          <w:p w14:paraId="24EF5D78" w14:textId="19BF16F9" w:rsidR="00B45A18" w:rsidRPr="00876A4D" w:rsidRDefault="00B45A18" w:rsidP="005D7EB7">
            <w:pPr>
              <w:spacing w:line="360" w:lineRule="auto"/>
              <w:ind w:left="-104" w:right="-108"/>
              <w:jc w:val="center"/>
              <w:rPr>
                <w:rFonts w:ascii="Arial" w:hAnsi="Arial" w:cs="Arial"/>
                <w:b/>
                <w:sz w:val="22"/>
              </w:rPr>
            </w:pPr>
            <w:r w:rsidRPr="00B45A18">
              <w:rPr>
                <w:rFonts w:ascii="Arial" w:hAnsi="Arial" w:cs="Arial"/>
                <w:b/>
                <w:sz w:val="22"/>
              </w:rPr>
              <w:t>Er. Nischay Gautam</w:t>
            </w:r>
          </w:p>
        </w:tc>
        <w:tc>
          <w:tcPr>
            <w:tcW w:w="2126" w:type="dxa"/>
            <w:vAlign w:val="center"/>
          </w:tcPr>
          <w:p w14:paraId="0DE18FD3" w14:textId="77777777" w:rsidR="00B45A18" w:rsidRPr="00876A4D" w:rsidRDefault="00B45A18" w:rsidP="005D7EB7">
            <w:pPr>
              <w:spacing w:line="360" w:lineRule="auto"/>
              <w:ind w:left="-82" w:right="-108"/>
              <w:jc w:val="center"/>
              <w:rPr>
                <w:rFonts w:ascii="Arial" w:hAnsi="Arial" w:cs="Arial"/>
                <w:b/>
                <w:sz w:val="22"/>
              </w:rPr>
            </w:pPr>
            <w:r w:rsidRPr="00876A4D">
              <w:rPr>
                <w:rFonts w:ascii="Arial" w:hAnsi="Arial" w:cs="Arial"/>
                <w:b/>
                <w:sz w:val="22"/>
              </w:rPr>
              <w:t>Mr. Gaurav Kumar</w:t>
            </w:r>
          </w:p>
        </w:tc>
      </w:tr>
      <w:tr w:rsidR="00B45A18" w:rsidRPr="0083576B" w14:paraId="20222F03" w14:textId="77777777" w:rsidTr="005D7EB7">
        <w:trPr>
          <w:trHeight w:val="818"/>
        </w:trPr>
        <w:tc>
          <w:tcPr>
            <w:tcW w:w="2689" w:type="dxa"/>
            <w:vAlign w:val="center"/>
          </w:tcPr>
          <w:p w14:paraId="2E203C59" w14:textId="33FED66A" w:rsidR="00B45A18" w:rsidRPr="0083576B" w:rsidRDefault="00B45A18" w:rsidP="00B45A18">
            <w:pPr>
              <w:tabs>
                <w:tab w:val="left" w:pos="360"/>
              </w:tabs>
              <w:spacing w:before="240" w:line="360" w:lineRule="auto"/>
              <w:ind w:left="45"/>
              <w:jc w:val="center"/>
              <w:rPr>
                <w:rFonts w:ascii="Arial" w:hAnsi="Arial" w:cs="Arial"/>
                <w:b/>
              </w:rPr>
            </w:pPr>
          </w:p>
        </w:tc>
        <w:tc>
          <w:tcPr>
            <w:tcW w:w="2268" w:type="dxa"/>
          </w:tcPr>
          <w:p w14:paraId="797A1A94" w14:textId="77777777" w:rsidR="00B45A18" w:rsidRPr="0083576B" w:rsidRDefault="00B45A18" w:rsidP="00B45A18">
            <w:pPr>
              <w:spacing w:before="240" w:line="360" w:lineRule="auto"/>
              <w:ind w:left="45" w:right="-108"/>
              <w:jc w:val="center"/>
              <w:rPr>
                <w:rFonts w:ascii="Arial" w:hAnsi="Arial" w:cs="Arial"/>
                <w:b/>
              </w:rPr>
            </w:pPr>
          </w:p>
        </w:tc>
        <w:tc>
          <w:tcPr>
            <w:tcW w:w="2268" w:type="dxa"/>
          </w:tcPr>
          <w:p w14:paraId="25B7F43B" w14:textId="1F89832D" w:rsidR="00B45A18" w:rsidRPr="0083576B" w:rsidRDefault="00B45A18" w:rsidP="00B45A18">
            <w:pPr>
              <w:spacing w:before="240" w:line="360" w:lineRule="auto"/>
              <w:ind w:left="45" w:right="-108"/>
              <w:jc w:val="center"/>
              <w:rPr>
                <w:rFonts w:ascii="Arial" w:hAnsi="Arial" w:cs="Arial"/>
                <w:b/>
              </w:rPr>
            </w:pPr>
          </w:p>
        </w:tc>
        <w:tc>
          <w:tcPr>
            <w:tcW w:w="2126" w:type="dxa"/>
            <w:vAlign w:val="center"/>
          </w:tcPr>
          <w:p w14:paraId="1D21435E" w14:textId="77777777" w:rsidR="00B45A18" w:rsidRPr="0083576B" w:rsidRDefault="00B45A18" w:rsidP="00B45A18">
            <w:pPr>
              <w:spacing w:before="240" w:line="360" w:lineRule="auto"/>
              <w:ind w:left="45" w:right="-108"/>
              <w:jc w:val="center"/>
              <w:rPr>
                <w:rFonts w:ascii="Arial" w:hAnsi="Arial" w:cs="Arial"/>
                <w:b/>
              </w:rPr>
            </w:pPr>
          </w:p>
        </w:tc>
      </w:tr>
    </w:tbl>
    <w:p w14:paraId="47849DDC" w14:textId="77777777" w:rsidR="00274DC1" w:rsidRDefault="00274DC1" w:rsidP="00274DC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5EF0D6B2" w14:textId="77777777" w:rsidTr="00796E39">
        <w:trPr>
          <w:trHeight w:val="548"/>
        </w:trPr>
        <w:tc>
          <w:tcPr>
            <w:tcW w:w="782" w:type="pct"/>
            <w:shd w:val="clear" w:color="auto" w:fill="002060"/>
            <w:vAlign w:val="center"/>
          </w:tcPr>
          <w:p w14:paraId="0831F44B" w14:textId="5B0232B3" w:rsidR="00796E39" w:rsidRPr="005C6FC8" w:rsidRDefault="00796E39" w:rsidP="008B6152">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82F20">
              <w:rPr>
                <w:rFonts w:ascii="Arial" w:hAnsi="Arial" w:cs="Arial"/>
                <w:b/>
                <w:sz w:val="22"/>
                <w:szCs w:val="22"/>
              </w:rPr>
              <w:t>D</w:t>
            </w:r>
          </w:p>
        </w:tc>
        <w:tc>
          <w:tcPr>
            <w:tcW w:w="4218" w:type="pct"/>
            <w:shd w:val="clear" w:color="auto" w:fill="DEEAF6" w:themeFill="accent1" w:themeFillTint="33"/>
            <w:vAlign w:val="center"/>
          </w:tcPr>
          <w:p w14:paraId="7F75A2BB" w14:textId="7E047704" w:rsidR="00796E39" w:rsidRPr="005C6FC8" w:rsidRDefault="00796E39" w:rsidP="008B6152">
            <w:pPr>
              <w:spacing w:after="0" w:line="276"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2CE92B61" w14:textId="77777777" w:rsidR="00796E39" w:rsidRDefault="00796E39" w:rsidP="00274DC1">
      <w:pPr>
        <w:tabs>
          <w:tab w:val="left" w:pos="360"/>
        </w:tabs>
        <w:spacing w:after="0" w:line="360" w:lineRule="auto"/>
        <w:ind w:right="16"/>
        <w:jc w:val="both"/>
        <w:rPr>
          <w:rFonts w:ascii="Arial" w:eastAsia="Arial" w:hAnsi="Arial" w:cs="Arial"/>
          <w:b/>
          <w:i/>
          <w:sz w:val="22"/>
          <w:szCs w:val="22"/>
        </w:rPr>
      </w:pPr>
    </w:p>
    <w:p w14:paraId="15EC8E10" w14:textId="77777777" w:rsidR="00274DC1" w:rsidRPr="000A4F69" w:rsidRDefault="00274DC1" w:rsidP="00796E39">
      <w:pPr>
        <w:tabs>
          <w:tab w:val="left" w:pos="360"/>
        </w:tabs>
        <w:spacing w:line="360" w:lineRule="auto"/>
        <w:ind w:right="-23"/>
        <w:jc w:val="both"/>
        <w:rPr>
          <w:rFonts w:ascii="Arial" w:eastAsia="Arial" w:hAnsi="Arial" w:cs="Arial"/>
          <w:b/>
          <w:i/>
          <w:sz w:val="22"/>
          <w:szCs w:val="22"/>
        </w:rPr>
      </w:pPr>
      <w:r w:rsidRPr="000A4F69">
        <w:rPr>
          <w:rFonts w:ascii="Arial" w:eastAsia="Arial" w:hAnsi="Arial" w:cs="Arial"/>
          <w:b/>
          <w:i/>
          <w:sz w:val="22"/>
          <w:szCs w:val="22"/>
        </w:rPr>
        <w:t>Definitions:</w:t>
      </w:r>
    </w:p>
    <w:p w14:paraId="16FC8A8E" w14:textId="77777777" w:rsidR="00796E3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7C9627A3" w14:textId="5874E185" w:rsidR="00274DC1" w:rsidRPr="00796E39" w:rsidRDefault="00274DC1" w:rsidP="00796E39">
      <w:pPr>
        <w:pBdr>
          <w:top w:val="nil"/>
          <w:left w:val="nil"/>
          <w:bottom w:val="nil"/>
          <w:right w:val="nil"/>
          <w:between w:val="nil"/>
        </w:pBdr>
        <w:spacing w:line="360" w:lineRule="auto"/>
        <w:ind w:left="426" w:right="-306"/>
        <w:jc w:val="both"/>
        <w:rPr>
          <w:rFonts w:ascii="Arial" w:eastAsia="Arial" w:hAnsi="Arial" w:cs="Arial"/>
          <w:i/>
          <w:sz w:val="22"/>
          <w:szCs w:val="22"/>
        </w:rPr>
      </w:pPr>
      <w:r w:rsidRPr="00796E39">
        <w:rPr>
          <w:rFonts w:ascii="Arial" w:eastAsia="Arial" w:hAnsi="Arial" w:cs="Arial"/>
          <w:i/>
          <w:sz w:val="22"/>
          <w:szCs w:val="22"/>
        </w:rPr>
        <w:t>EV is computed using the following formula: EV = (Market Capitalization + Market Value of Debt   – Cash and Equivalents).</w:t>
      </w:r>
    </w:p>
    <w:p w14:paraId="277B8324" w14:textId="77777777" w:rsidR="00274DC1"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Fair</w:t>
      </w:r>
      <w:r w:rsidRPr="000A4F69">
        <w:rPr>
          <w:rFonts w:ascii="Arial" w:eastAsia="Arial" w:hAnsi="Arial" w:cs="Arial"/>
          <w:b/>
          <w:i/>
          <w:color w:val="000000"/>
          <w:sz w:val="22"/>
          <w:szCs w:val="22"/>
        </w:rPr>
        <w:t xml:space="preserve">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4862B759" w14:textId="77777777" w:rsidR="00274DC1" w:rsidRPr="00C05424" w:rsidRDefault="00274DC1" w:rsidP="00796E39">
      <w:pPr>
        <w:pBdr>
          <w:top w:val="nil"/>
          <w:left w:val="nil"/>
          <w:bottom w:val="nil"/>
          <w:right w:val="nil"/>
          <w:between w:val="nil"/>
        </w:pBdr>
        <w:spacing w:line="360" w:lineRule="auto"/>
        <w:ind w:left="426" w:right="-306"/>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0E209ED0" w14:textId="77777777" w:rsidR="00274DC1" w:rsidRPr="00796E3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b/>
          <w:i/>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w:t>
      </w:r>
      <w:r w:rsidRPr="00796E39">
        <w:rPr>
          <w:rFonts w:ascii="Arial" w:eastAsia="Arial" w:hAnsi="Arial" w:cs="Arial"/>
          <w:bCs/>
          <w:i/>
          <w:sz w:val="22"/>
          <w:szCs w:val="22"/>
        </w:rPr>
        <w:t>the table. Realizable value may be 10-20% less than the Fair Market Value depending on the various salability prospects of the subject asset and the needs of the buyer &amp; the seller.</w:t>
      </w:r>
    </w:p>
    <w:p w14:paraId="14793DFF" w14:textId="77777777" w:rsidR="00274DC1" w:rsidRPr="000A4F6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Forced/ Distress Sale Value</w:t>
      </w:r>
      <w:r w:rsidRPr="00796E39">
        <w:rPr>
          <w:rFonts w:ascii="Arial" w:eastAsia="Arial" w:hAnsi="Arial" w:cs="Arial"/>
          <w:bCs/>
          <w:i/>
          <w:sz w:val="22"/>
          <w:szCs w:val="22"/>
        </w:rPr>
        <w:t xml:space="preserve"> is the value when the company has to be sold due to any compulsion or constraint like financial encumbrances, dispute, as a part of a recovery process, legal</w:t>
      </w:r>
      <w:r w:rsidRPr="00796E39">
        <w:rPr>
          <w:rFonts w:ascii="Arial" w:eastAsia="Arial" w:hAnsi="Arial" w:cs="Arial"/>
          <w:bCs/>
          <w:i/>
          <w:color w:val="000000"/>
          <w:sz w:val="22"/>
          <w:szCs w:val="22"/>
        </w:rPr>
        <w:t xml:space="preserve"> </w:t>
      </w:r>
      <w:r w:rsidRPr="000A4F69">
        <w:rPr>
          <w:rFonts w:ascii="Arial" w:eastAsia="Arial" w:hAnsi="Arial" w:cs="Arial"/>
          <w:i/>
          <w:color w:val="000000"/>
          <w:sz w:val="22"/>
          <w:szCs w:val="22"/>
        </w:rPr>
        <w:t>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0A4C2E77" w14:textId="77777777" w:rsidR="00274DC1" w:rsidRPr="000A4F6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79F4201" w14:textId="77777777" w:rsidR="00274DC1" w:rsidRPr="000A4F69" w:rsidRDefault="00274DC1" w:rsidP="00DE2E0C">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3B3F1BD"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494D9D2D"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4193A60F"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585657B4" w14:textId="77777777" w:rsidR="00274DC1" w:rsidRPr="003B565A" w:rsidRDefault="00274DC1" w:rsidP="00DE2E0C">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036F6E75" w14:textId="77777777" w:rsidR="00274DC1" w:rsidRPr="00013C9E" w:rsidRDefault="00274DC1" w:rsidP="00DE2E0C">
      <w:pPr>
        <w:pStyle w:val="ListParagraph"/>
        <w:numPr>
          <w:ilvl w:val="1"/>
          <w:numId w:val="10"/>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7BDA9B41" w14:textId="77777777" w:rsidTr="008B6152">
        <w:trPr>
          <w:trHeight w:val="548"/>
        </w:trPr>
        <w:tc>
          <w:tcPr>
            <w:tcW w:w="782" w:type="pct"/>
            <w:shd w:val="clear" w:color="auto" w:fill="002060"/>
            <w:vAlign w:val="center"/>
          </w:tcPr>
          <w:p w14:paraId="593CD659" w14:textId="3D66D876" w:rsidR="00796E39" w:rsidRPr="005C6FC8" w:rsidRDefault="00796E39" w:rsidP="008B6152">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82F20">
              <w:rPr>
                <w:rFonts w:ascii="Arial" w:hAnsi="Arial" w:cs="Arial"/>
                <w:b/>
                <w:sz w:val="22"/>
                <w:szCs w:val="22"/>
              </w:rPr>
              <w:t>E</w:t>
            </w:r>
          </w:p>
        </w:tc>
        <w:tc>
          <w:tcPr>
            <w:tcW w:w="4218" w:type="pct"/>
            <w:shd w:val="clear" w:color="auto" w:fill="DEEAF6" w:themeFill="accent1" w:themeFillTint="33"/>
            <w:vAlign w:val="center"/>
          </w:tcPr>
          <w:p w14:paraId="0DF7F0B9" w14:textId="2376E000" w:rsidR="00796E39" w:rsidRPr="005C6FC8" w:rsidRDefault="00796E39" w:rsidP="008B6152">
            <w:pPr>
              <w:spacing w:after="0" w:line="276"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299877E8" w14:textId="77777777" w:rsidR="00796E39" w:rsidRPr="00F65E4E" w:rsidRDefault="00796E39" w:rsidP="00274DC1">
      <w:pPr>
        <w:spacing w:after="0" w:line="360" w:lineRule="auto"/>
        <w:ind w:right="-23"/>
        <w:jc w:val="both"/>
        <w:rPr>
          <w:rFonts w:ascii="Arial" w:eastAsia="Arial" w:hAnsi="Arial" w:cs="Arial"/>
          <w:sz w:val="20"/>
          <w:szCs w:val="20"/>
        </w:rPr>
      </w:pPr>
    </w:p>
    <w:p w14:paraId="20C7FE38" w14:textId="5D80D7FA"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No employee or member of R.K</w:t>
      </w:r>
      <w:r w:rsidR="00632E53">
        <w:rPr>
          <w:rFonts w:ascii="Arial" w:eastAsia="Arial" w:hAnsi="Arial" w:cs="Arial"/>
          <w:sz w:val="22"/>
          <w:szCs w:val="22"/>
        </w:rPr>
        <w:t>.</w:t>
      </w:r>
      <w:r w:rsidRPr="002E2E01">
        <w:rPr>
          <w:rFonts w:ascii="Arial" w:eastAsia="Arial" w:hAnsi="Arial" w:cs="Arial"/>
          <w:sz w:val="22"/>
          <w:szCs w:val="22"/>
        </w:rPr>
        <w:t xml:space="preserve"> Associates has any direct/ indirect interest in the Project.</w:t>
      </w:r>
    </w:p>
    <w:p w14:paraId="3370665D"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7A13C43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35B684A"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BCD7E4"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BB32D1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43D53DA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w:t>
      </w:r>
      <w:r w:rsidRPr="002E2E01">
        <w:rPr>
          <w:rFonts w:ascii="Arial" w:eastAsia="Arial" w:hAnsi="Arial" w:cs="Arial"/>
          <w:sz w:val="22"/>
          <w:szCs w:val="22"/>
        </w:rPr>
        <w:lastRenderedPageBreak/>
        <w:t>given to us and for which the legal verification has been already taken and cleared by the competent Advocate before requesting for this report. I/ We assume no responsibility for the legal matters including, but not limited to, legal or title concerns.</w:t>
      </w:r>
    </w:p>
    <w:p w14:paraId="66AAB390"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3DB7863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4A58D5B"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E2CA292"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1656B98"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ADD74A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CD1A4C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51AB4C4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2E2E01">
        <w:rPr>
          <w:rFonts w:ascii="Arial" w:eastAsia="Arial" w:hAnsi="Arial" w:cs="Arial"/>
          <w:sz w:val="22"/>
          <w:szCs w:val="22"/>
          <w:u w:val="single"/>
        </w:rPr>
        <w:t xml:space="preserve">to provide only the general indication of the Value of </w:t>
      </w:r>
      <w:r w:rsidRPr="00796E39">
        <w:rPr>
          <w:rFonts w:ascii="Arial" w:eastAsia="Arial" w:hAnsi="Arial" w:cs="Arial"/>
          <w:sz w:val="22"/>
          <w:szCs w:val="22"/>
        </w:rPr>
        <w:t>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96E39">
        <w:rPr>
          <w:rFonts w:ascii="Arial" w:eastAsia="Arial" w:hAnsi="Arial" w:cs="Arial"/>
          <w:sz w:val="22"/>
          <w:szCs w:val="22"/>
        </w:rPr>
        <w:t>as free market transaction</w:t>
      </w:r>
      <w:r w:rsidRPr="003664AC">
        <w:rPr>
          <w:rFonts w:ascii="Arial" w:eastAsia="Arial" w:hAnsi="Arial" w:cs="Arial"/>
          <w:sz w:val="22"/>
          <w:szCs w:val="22"/>
        </w:rPr>
        <w:t>.</w:t>
      </w:r>
    </w:p>
    <w:p w14:paraId="3399D513"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2F9003D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F0CD1D"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2AF9A23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5D1A353"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w:t>
      </w:r>
      <w:r w:rsidRPr="002E2E01">
        <w:rPr>
          <w:rFonts w:ascii="Arial" w:eastAsia="Arial" w:hAnsi="Arial" w:cs="Arial"/>
          <w:sz w:val="22"/>
          <w:szCs w:val="22"/>
        </w:rPr>
        <w:lastRenderedPageBreak/>
        <w:t>No claim for any extra information will be entertained whatsoever be the reason. For any extra work over and above the fields mentioned in the report will have an extra cost which has to be borne by the customer.</w:t>
      </w:r>
    </w:p>
    <w:p w14:paraId="1673849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68B25BBC"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D76350F"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ADE3A4B"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A6F31C8"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6D573AA"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35C30877"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w:t>
      </w:r>
      <w:r w:rsidRPr="002E2E01">
        <w:rPr>
          <w:rFonts w:ascii="Arial" w:eastAsia="Arial" w:hAnsi="Arial" w:cs="Arial"/>
          <w:sz w:val="22"/>
          <w:szCs w:val="22"/>
        </w:rPr>
        <w:lastRenderedPageBreak/>
        <w:t>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1628908E"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2D3E4A77" w14:textId="77777777" w:rsidR="00274DC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49BB7785"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37E4FD50"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66D6B14A"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55C4BCF"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96E39">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0D51B91"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1A8F5B93"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96E39">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8B8DE56"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w:t>
      </w:r>
      <w:r w:rsidRPr="002E2E01">
        <w:rPr>
          <w:rFonts w:ascii="Arial" w:eastAsia="Arial" w:hAnsi="Arial" w:cs="Arial"/>
          <w:sz w:val="22"/>
          <w:szCs w:val="22"/>
        </w:rPr>
        <w:lastRenderedPageBreak/>
        <w:t>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7364B1B" w14:textId="77777777" w:rsidR="00274DC1" w:rsidRPr="002E2E0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358FC802" w14:textId="01873282" w:rsidR="00D3187B" w:rsidRPr="00274DC1" w:rsidRDefault="00274DC1" w:rsidP="00DE2E0C">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r>
        <w:rPr>
          <w:rFonts w:ascii="Arial" w:eastAsia="Arial" w:hAnsi="Arial" w:cs="Arial"/>
          <w:sz w:val="22"/>
          <w:szCs w:val="22"/>
        </w:rPr>
        <w:t>.</w:t>
      </w:r>
    </w:p>
    <w:sectPr w:rsidR="00D3187B" w:rsidRPr="00274DC1" w:rsidSect="006E5C75">
      <w:headerReference w:type="even" r:id="rId10"/>
      <w:headerReference w:type="default" r:id="rId11"/>
      <w:footerReference w:type="default" r:id="rId12"/>
      <w:headerReference w:type="first" r:id="rId13"/>
      <w:pgSz w:w="11906" w:h="16838"/>
      <w:pgMar w:top="1464" w:right="1416" w:bottom="1440" w:left="1440" w:header="426"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2D375F" w14:textId="77777777" w:rsidR="0039637E" w:rsidRDefault="0039637E" w:rsidP="00001CE0">
      <w:pPr>
        <w:spacing w:after="0" w:line="240" w:lineRule="auto"/>
      </w:pPr>
      <w:r>
        <w:separator/>
      </w:r>
    </w:p>
  </w:endnote>
  <w:endnote w:type="continuationSeparator" w:id="0">
    <w:p w14:paraId="56F6DCD8" w14:textId="77777777" w:rsidR="0039637E" w:rsidRDefault="0039637E"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55063DA1" w:rsidR="008B6152" w:rsidRDefault="008B6152" w:rsidP="00BB7D51">
    <w:pPr>
      <w:pStyle w:val="Header"/>
      <w:pBdr>
        <w:top w:val="single" w:sz="6" w:space="10" w:color="5B9BD5" w:themeColor="accent1"/>
      </w:pBdr>
      <w:tabs>
        <w:tab w:val="clear" w:pos="4320"/>
        <w:tab w:val="clear" w:pos="8640"/>
      </w:tabs>
      <w:spacing w:after="0"/>
      <w:ind w:right="-306"/>
      <w:jc w:val="both"/>
      <w:rPr>
        <w:rFonts w:ascii="Arial" w:hAnsi="Arial" w:cs="Arial"/>
        <w:sz w:val="20"/>
        <w:szCs w:val="22"/>
      </w:rPr>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6192" behindDoc="0" locked="0" layoutInCell="1" allowOverlap="1" wp14:anchorId="46C5C97D" wp14:editId="21F51022">
              <wp:simplePos x="0" y="0"/>
              <wp:positionH relativeFrom="margin">
                <wp:posOffset>-38100</wp:posOffset>
              </wp:positionH>
              <wp:positionV relativeFrom="paragraph">
                <wp:posOffset>4445</wp:posOffset>
              </wp:positionV>
              <wp:extent cx="599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CBC2919"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4144"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E12EEB">
          <w:rPr>
            <w:rFonts w:ascii="Arial" w:hAnsi="Arial" w:cs="Arial"/>
            <w:b/>
            <w:color w:val="222A35" w:themeColor="text2" w:themeShade="80"/>
            <w:sz w:val="22"/>
            <w:szCs w:val="22"/>
          </w:rPr>
          <w:t xml:space="preserve">FILE NO.: </w:t>
        </w:r>
        <w:r w:rsidRPr="00E12EEB">
          <w:rPr>
            <w:rFonts w:ascii="Arial" w:hAnsi="Arial" w:cs="Arial"/>
            <w:b/>
            <w:sz w:val="22"/>
            <w:szCs w:val="22"/>
          </w:rPr>
          <w:t>VIS (2024-25)- PL290-Q033-252-33</w:t>
        </w:r>
        <w:r>
          <w:rPr>
            <w:rFonts w:ascii="Arial" w:hAnsi="Arial" w:cs="Arial"/>
            <w:b/>
            <w:sz w:val="22"/>
            <w:szCs w:val="22"/>
          </w:rPr>
          <w:t>0</w:t>
        </w:r>
        <w:r w:rsidRPr="00E12EEB">
          <w:rPr>
            <w:rFonts w:ascii="Arial" w:hAnsi="Arial" w:cs="Arial"/>
            <w:b/>
            <w:sz w:val="22"/>
            <w:szCs w:val="22"/>
          </w:rPr>
          <w:tab/>
        </w:r>
        <w:r w:rsidRPr="00E12EEB">
          <w:rPr>
            <w:rFonts w:ascii="Arial" w:hAnsi="Arial" w:cs="Arial"/>
            <w:b/>
            <w:color w:val="222A35" w:themeColor="text2" w:themeShade="80"/>
            <w:sz w:val="22"/>
            <w:szCs w:val="22"/>
            <w:lang w:val="en-IN"/>
          </w:rPr>
          <w:t xml:space="preserve"> </w:t>
        </w:r>
        <w:sdt>
          <w:sdtPr>
            <w:rPr>
              <w:sz w:val="22"/>
              <w:szCs w:val="22"/>
            </w:rPr>
            <w:id w:val="1838654993"/>
            <w:docPartObj>
              <w:docPartGallery w:val="Page Numbers (Top of Page)"/>
              <w:docPartUnique/>
            </w:docPartObj>
          </w:sdtPr>
          <w:sdtEndPr>
            <w:rPr>
              <w:rFonts w:ascii="Arial" w:hAnsi="Arial" w:cs="Arial"/>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Pr="00E12EEB">
                  <w:rPr>
                    <w:rFonts w:ascii="Arial" w:hAnsi="Arial" w:cs="Arial"/>
                    <w:sz w:val="22"/>
                    <w:szCs w:val="22"/>
                  </w:rPr>
                  <w:t xml:space="preserve">          </w:t>
                </w:r>
                <w:r w:rsidRPr="00E12EEB">
                  <w:rPr>
                    <w:rFonts w:ascii="Arial" w:hAnsi="Arial" w:cs="Arial"/>
                    <w:sz w:val="22"/>
                    <w:szCs w:val="22"/>
                  </w:rPr>
                  <w:tab/>
                </w:r>
                <w:r w:rsidRPr="00E12EEB">
                  <w:rPr>
                    <w:rFonts w:ascii="Arial" w:hAnsi="Arial" w:cs="Arial"/>
                    <w:sz w:val="22"/>
                    <w:szCs w:val="22"/>
                  </w:rPr>
                  <w:tab/>
                  <w:t xml:space="preserve">                       Page </w:t>
                </w:r>
                <w:r w:rsidRPr="00E12EEB">
                  <w:rPr>
                    <w:rFonts w:ascii="Arial" w:hAnsi="Arial" w:cs="Arial"/>
                    <w:b/>
                    <w:bCs/>
                    <w:sz w:val="22"/>
                    <w:szCs w:val="22"/>
                  </w:rPr>
                  <w:fldChar w:fldCharType="begin"/>
                </w:r>
                <w:r w:rsidRPr="00E12EEB">
                  <w:rPr>
                    <w:rFonts w:ascii="Arial" w:hAnsi="Arial" w:cs="Arial"/>
                    <w:b/>
                    <w:bCs/>
                    <w:sz w:val="22"/>
                    <w:szCs w:val="22"/>
                  </w:rPr>
                  <w:instrText xml:space="preserve"> PAGE </w:instrText>
                </w:r>
                <w:r w:rsidRPr="00E12EEB">
                  <w:rPr>
                    <w:rFonts w:ascii="Arial" w:hAnsi="Arial" w:cs="Arial"/>
                    <w:b/>
                    <w:bCs/>
                    <w:sz w:val="22"/>
                    <w:szCs w:val="22"/>
                  </w:rPr>
                  <w:fldChar w:fldCharType="separate"/>
                </w:r>
                <w:r w:rsidR="00E27DBA">
                  <w:rPr>
                    <w:rFonts w:ascii="Arial" w:hAnsi="Arial" w:cs="Arial"/>
                    <w:b/>
                    <w:bCs/>
                    <w:noProof/>
                    <w:sz w:val="22"/>
                    <w:szCs w:val="22"/>
                  </w:rPr>
                  <w:t>20</w:t>
                </w:r>
                <w:r w:rsidRPr="00E12EEB">
                  <w:rPr>
                    <w:rFonts w:ascii="Arial" w:hAnsi="Arial" w:cs="Arial"/>
                    <w:b/>
                    <w:bCs/>
                    <w:sz w:val="22"/>
                    <w:szCs w:val="22"/>
                  </w:rPr>
                  <w:fldChar w:fldCharType="end"/>
                </w:r>
                <w:r w:rsidRPr="00E12EEB">
                  <w:rPr>
                    <w:rFonts w:ascii="Arial" w:hAnsi="Arial" w:cs="Arial"/>
                    <w:sz w:val="22"/>
                    <w:szCs w:val="22"/>
                  </w:rPr>
                  <w:t xml:space="preserve"> of </w:t>
                </w:r>
                <w:r>
                  <w:rPr>
                    <w:rFonts w:ascii="Arial" w:hAnsi="Arial" w:cs="Arial"/>
                    <w:b/>
                    <w:bCs/>
                    <w:sz w:val="22"/>
                    <w:szCs w:val="22"/>
                  </w:rPr>
                  <w:t>2</w:t>
                </w:r>
                <w:r w:rsidR="00F90CE2">
                  <w:rPr>
                    <w:rFonts w:ascii="Arial" w:hAnsi="Arial" w:cs="Arial"/>
                    <w:b/>
                    <w:bCs/>
                    <w:sz w:val="22"/>
                    <w:szCs w:val="22"/>
                  </w:rPr>
                  <w:t>3</w:t>
                </w:r>
              </w:sdtContent>
            </w:sdt>
          </w:sdtContent>
        </w:sdt>
      </w:sdtContent>
    </w:sdt>
  </w:p>
  <w:p w14:paraId="7A4D2E79" w14:textId="77777777" w:rsidR="008B6152" w:rsidRPr="007735FD" w:rsidRDefault="008B6152" w:rsidP="00B31F9E">
    <w:pPr>
      <w:spacing w:before="240" w:after="0"/>
      <w:jc w:val="center"/>
      <w:rPr>
        <w:rFonts w:ascii="Cambria" w:hAnsi="Cambria"/>
        <w:b/>
        <w:color w:val="548DD4"/>
        <w:sz w:val="16"/>
      </w:rPr>
    </w:pPr>
    <w:r w:rsidRPr="007735FD">
      <w:rPr>
        <w:rFonts w:ascii="Cambria" w:hAnsi="Cambria"/>
        <w:b/>
        <w:color w:val="548DD4"/>
        <w:sz w:val="16"/>
      </w:rPr>
      <w:t>Valuation Terms of Service &amp; Valuer’s Important Remarks are available</w:t>
    </w:r>
  </w:p>
  <w:p w14:paraId="2BCCC167" w14:textId="3D000C9C" w:rsidR="008B6152" w:rsidRPr="00B31F9E" w:rsidRDefault="008B6152" w:rsidP="00B31F9E">
    <w:pPr>
      <w:spacing w:after="0"/>
      <w:jc w:val="center"/>
      <w:rPr>
        <w:rFonts w:ascii="Arial" w:hAnsi="Arial" w:cs="Arial"/>
        <w:b/>
        <w:sz w:val="22"/>
        <w:szCs w:val="22"/>
      </w:rPr>
    </w:pPr>
    <w:r w:rsidRPr="007735FD">
      <w:rPr>
        <w:rFonts w:ascii="Cambria" w:hAnsi="Cambria"/>
        <w:b/>
        <w:color w:val="548DD4"/>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BAD86" w14:textId="77777777" w:rsidR="0039637E" w:rsidRDefault="0039637E" w:rsidP="00001CE0">
      <w:pPr>
        <w:spacing w:after="0" w:line="240" w:lineRule="auto"/>
      </w:pPr>
      <w:r>
        <w:separator/>
      </w:r>
    </w:p>
  </w:footnote>
  <w:footnote w:type="continuationSeparator" w:id="0">
    <w:p w14:paraId="2FA52C27" w14:textId="77777777" w:rsidR="0039637E" w:rsidRDefault="0039637E"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8B6152" w:rsidRDefault="0039637E">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2050" type="#_x0000_t75" style="position:absolute;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8D4" w14:textId="56AACCE0" w:rsidR="008B6152" w:rsidRDefault="008B6152" w:rsidP="00FF5BE7">
    <w:pPr>
      <w:pStyle w:val="Header"/>
      <w:tabs>
        <w:tab w:val="clear" w:pos="4320"/>
        <w:tab w:val="clear" w:pos="8640"/>
      </w:tabs>
      <w:spacing w:after="0"/>
      <w:ind w:left="-284" w:right="261"/>
      <w:jc w:val="center"/>
      <w:rPr>
        <w:b/>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7216" behindDoc="0" locked="0" layoutInCell="1" allowOverlap="1" wp14:anchorId="2C19FC7E" wp14:editId="1C7AF3AA">
          <wp:simplePos x="0" y="0"/>
          <wp:positionH relativeFrom="column">
            <wp:posOffset>4371975</wp:posOffset>
          </wp:positionH>
          <wp:positionV relativeFrom="paragraph">
            <wp:posOffset>-103505</wp:posOffset>
          </wp:positionV>
          <wp:extent cx="1924050" cy="5765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8240" behindDoc="0" locked="0" layoutInCell="1" allowOverlap="1" wp14:anchorId="64D1EACD" wp14:editId="47A64DC4">
          <wp:simplePos x="0" y="0"/>
          <wp:positionH relativeFrom="column">
            <wp:posOffset>-514350</wp:posOffset>
          </wp:positionH>
          <wp:positionV relativeFrom="paragraph">
            <wp:posOffset>-208280</wp:posOffset>
          </wp:positionV>
          <wp:extent cx="14192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39637E">
      <w:rPr>
        <w:rFonts w:ascii="Arial" w:hAnsi="Arial" w:cs="Arial"/>
        <w:bCs/>
        <w:noProof/>
        <w:color w:val="323E4F" w:themeColor="text2" w:themeShade="BF"/>
        <w:sz w:val="28"/>
        <w:szCs w:val="28"/>
        <w:lang w:val="en-IN" w:eastAsia="en-IN"/>
      </w:rPr>
      <w:pict w14:anchorId="1493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2052" type="#_x0000_t75" style="position:absolute;left:0;text-align:left;margin-left:0;margin-top:0;width:482.35pt;height:154.55pt;z-index:-25165721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SHARE VALUATION REPORT</w:t>
    </w:r>
  </w:p>
  <w:p w14:paraId="7C7D0FBE" w14:textId="0A692233" w:rsidR="008B6152" w:rsidRPr="00FF5BE7" w:rsidRDefault="008B6152" w:rsidP="00FF5BE7">
    <w:pPr>
      <w:pStyle w:val="Header"/>
      <w:tabs>
        <w:tab w:val="clear" w:pos="4320"/>
        <w:tab w:val="clear" w:pos="8640"/>
      </w:tabs>
      <w:spacing w:after="0"/>
      <w:ind w:left="-284" w:right="261"/>
      <w:jc w:val="center"/>
      <w:rPr>
        <w:rFonts w:ascii="Arial" w:hAnsi="Arial" w:cs="Arial"/>
        <w:bCs/>
        <w:color w:val="2F5496" w:themeColor="accent5" w:themeShade="BF"/>
        <w:sz w:val="22"/>
        <w:szCs w:val="22"/>
      </w:rPr>
    </w:pPr>
    <w:r w:rsidRPr="00FF5BE7">
      <w:rPr>
        <w:b/>
        <w:bCs/>
        <w:color w:val="2F5496" w:themeColor="accent5" w:themeShade="BF"/>
        <w:sz w:val="22"/>
        <w:szCs w:val="22"/>
      </w:rPr>
      <w:t xml:space="preserve">G. D. </w:t>
    </w:r>
    <w:r>
      <w:rPr>
        <w:b/>
        <w:bCs/>
        <w:color w:val="2F5496" w:themeColor="accent5" w:themeShade="BF"/>
        <w:sz w:val="22"/>
        <w:szCs w:val="22"/>
      </w:rPr>
      <w:t>CONTRACTORS PRIVATE</w:t>
    </w:r>
    <w:r w:rsidRPr="00FF5BE7">
      <w:rPr>
        <w:b/>
        <w:bCs/>
        <w:color w:val="2F5496" w:themeColor="accent5" w:themeShade="BF"/>
        <w:sz w:val="22"/>
        <w:szCs w:val="22"/>
      </w:rPr>
      <w:t xml:space="preserve">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8B6152" w:rsidRDefault="0039637E">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2049"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E7423C7"/>
    <w:multiLevelType w:val="hybridMultilevel"/>
    <w:tmpl w:val="3CF4E412"/>
    <w:lvl w:ilvl="0" w:tplc="1B4C7216">
      <w:start w:val="1"/>
      <w:numFmt w:val="lowerLetter"/>
      <w:lvlText w:val="%1."/>
      <w:lvlJc w:val="left"/>
      <w:pPr>
        <w:ind w:left="1004" w:hanging="360"/>
      </w:pPr>
      <w:rPr>
        <w:rFonts w:hint="default"/>
        <w:b/>
        <w:bCs/>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0EBD222C"/>
    <w:multiLevelType w:val="hybridMultilevel"/>
    <w:tmpl w:val="47B8F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7EA0EDA"/>
    <w:multiLevelType w:val="hybridMultilevel"/>
    <w:tmpl w:val="F34082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E973E74"/>
    <w:multiLevelType w:val="multilevel"/>
    <w:tmpl w:val="41A02BE0"/>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val="0"/>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8"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B6952F3"/>
    <w:multiLevelType w:val="hybridMultilevel"/>
    <w:tmpl w:val="E048B5EA"/>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2" w15:restartNumberingAfterBreak="0">
    <w:nsid w:val="4EC640EF"/>
    <w:multiLevelType w:val="hybridMultilevel"/>
    <w:tmpl w:val="A40CF87C"/>
    <w:lvl w:ilvl="0" w:tplc="40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02460"/>
    <w:multiLevelType w:val="hybridMultilevel"/>
    <w:tmpl w:val="C3B0CEF0"/>
    <w:lvl w:ilvl="0" w:tplc="83864DA0">
      <w:start w:val="1"/>
      <w:numFmt w:val="lowerLetter"/>
      <w:lvlText w:val="%1."/>
      <w:lvlJc w:val="left"/>
      <w:pPr>
        <w:ind w:left="644" w:hanging="360"/>
      </w:pPr>
      <w:rPr>
        <w:rFonts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15:restartNumberingAfterBreak="0">
    <w:nsid w:val="6E822E1B"/>
    <w:multiLevelType w:val="multilevel"/>
    <w:tmpl w:val="E7C88990"/>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6"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num w:numId="1">
    <w:abstractNumId w:val="8"/>
  </w:num>
  <w:num w:numId="2">
    <w:abstractNumId w:val="2"/>
  </w:num>
  <w:num w:numId="3">
    <w:abstractNumId w:val="18"/>
  </w:num>
  <w:num w:numId="4">
    <w:abstractNumId w:val="7"/>
  </w:num>
  <w:num w:numId="5">
    <w:abstractNumId w:val="10"/>
  </w:num>
  <w:num w:numId="6">
    <w:abstractNumId w:val="1"/>
  </w:num>
  <w:num w:numId="7">
    <w:abstractNumId w:val="4"/>
  </w:num>
  <w:num w:numId="8">
    <w:abstractNumId w:val="14"/>
  </w:num>
  <w:num w:numId="9">
    <w:abstractNumId w:val="16"/>
  </w:num>
  <w:num w:numId="10">
    <w:abstractNumId w:val="13"/>
  </w:num>
  <w:num w:numId="11">
    <w:abstractNumId w:val="17"/>
  </w:num>
  <w:num w:numId="12">
    <w:abstractNumId w:val="6"/>
  </w:num>
  <w:num w:numId="13">
    <w:abstractNumId w:val="9"/>
  </w:num>
  <w:num w:numId="14">
    <w:abstractNumId w:val="0"/>
  </w:num>
  <w:num w:numId="15">
    <w:abstractNumId w:val="15"/>
  </w:num>
  <w:num w:numId="16">
    <w:abstractNumId w:val="5"/>
  </w:num>
  <w:num w:numId="17">
    <w:abstractNumId w:val="11"/>
  </w:num>
  <w:num w:numId="18">
    <w:abstractNumId w:val="12"/>
  </w:num>
  <w:num w:numId="19">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IN"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CE0"/>
    <w:rsid w:val="000005BF"/>
    <w:rsid w:val="00001794"/>
    <w:rsid w:val="00001CE0"/>
    <w:rsid w:val="00003949"/>
    <w:rsid w:val="00004A34"/>
    <w:rsid w:val="00010A8E"/>
    <w:rsid w:val="00011DF8"/>
    <w:rsid w:val="0002535D"/>
    <w:rsid w:val="00031F46"/>
    <w:rsid w:val="00036E7D"/>
    <w:rsid w:val="0005101E"/>
    <w:rsid w:val="000515DC"/>
    <w:rsid w:val="00052C44"/>
    <w:rsid w:val="00052CCE"/>
    <w:rsid w:val="00057042"/>
    <w:rsid w:val="000615CF"/>
    <w:rsid w:val="00065DE5"/>
    <w:rsid w:val="0006663F"/>
    <w:rsid w:val="000767AD"/>
    <w:rsid w:val="000810F0"/>
    <w:rsid w:val="000868D1"/>
    <w:rsid w:val="00093FF6"/>
    <w:rsid w:val="00095F79"/>
    <w:rsid w:val="00096674"/>
    <w:rsid w:val="000979C6"/>
    <w:rsid w:val="000A1B3D"/>
    <w:rsid w:val="000A3A81"/>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1709"/>
    <w:rsid w:val="00105880"/>
    <w:rsid w:val="00106E42"/>
    <w:rsid w:val="001108A9"/>
    <w:rsid w:val="001108B4"/>
    <w:rsid w:val="00113719"/>
    <w:rsid w:val="001137A5"/>
    <w:rsid w:val="00113EF8"/>
    <w:rsid w:val="00115BA8"/>
    <w:rsid w:val="001205F4"/>
    <w:rsid w:val="001221C0"/>
    <w:rsid w:val="00123841"/>
    <w:rsid w:val="001244A7"/>
    <w:rsid w:val="00134A45"/>
    <w:rsid w:val="00141CF7"/>
    <w:rsid w:val="001425EC"/>
    <w:rsid w:val="001443D5"/>
    <w:rsid w:val="00145154"/>
    <w:rsid w:val="00150143"/>
    <w:rsid w:val="00151CED"/>
    <w:rsid w:val="00153FF1"/>
    <w:rsid w:val="00154978"/>
    <w:rsid w:val="0015617C"/>
    <w:rsid w:val="001563AF"/>
    <w:rsid w:val="00160DED"/>
    <w:rsid w:val="00164E9A"/>
    <w:rsid w:val="00166D6B"/>
    <w:rsid w:val="001708D2"/>
    <w:rsid w:val="001847E9"/>
    <w:rsid w:val="001859F8"/>
    <w:rsid w:val="00186968"/>
    <w:rsid w:val="00196F0F"/>
    <w:rsid w:val="001A28E4"/>
    <w:rsid w:val="001A36FB"/>
    <w:rsid w:val="001A3987"/>
    <w:rsid w:val="001A412A"/>
    <w:rsid w:val="001A688B"/>
    <w:rsid w:val="001A73CD"/>
    <w:rsid w:val="001C408F"/>
    <w:rsid w:val="001D1D9C"/>
    <w:rsid w:val="001D2B48"/>
    <w:rsid w:val="001D4D84"/>
    <w:rsid w:val="001D59F1"/>
    <w:rsid w:val="001E19AF"/>
    <w:rsid w:val="001E472A"/>
    <w:rsid w:val="001E6129"/>
    <w:rsid w:val="001F00DE"/>
    <w:rsid w:val="001F44AB"/>
    <w:rsid w:val="001F6784"/>
    <w:rsid w:val="001F694B"/>
    <w:rsid w:val="002001E9"/>
    <w:rsid w:val="0020588A"/>
    <w:rsid w:val="00205BD5"/>
    <w:rsid w:val="00206AEA"/>
    <w:rsid w:val="0021403E"/>
    <w:rsid w:val="0021447B"/>
    <w:rsid w:val="00215D80"/>
    <w:rsid w:val="00217895"/>
    <w:rsid w:val="00220D71"/>
    <w:rsid w:val="00221FEB"/>
    <w:rsid w:val="0022372C"/>
    <w:rsid w:val="00224576"/>
    <w:rsid w:val="0022471C"/>
    <w:rsid w:val="002256EE"/>
    <w:rsid w:val="00233E9F"/>
    <w:rsid w:val="00236DDC"/>
    <w:rsid w:val="00236F40"/>
    <w:rsid w:val="002403E1"/>
    <w:rsid w:val="00242ECC"/>
    <w:rsid w:val="00247D60"/>
    <w:rsid w:val="00250728"/>
    <w:rsid w:val="0026052F"/>
    <w:rsid w:val="00264E8C"/>
    <w:rsid w:val="00270A71"/>
    <w:rsid w:val="002718F7"/>
    <w:rsid w:val="00274DC1"/>
    <w:rsid w:val="002764F1"/>
    <w:rsid w:val="002813F2"/>
    <w:rsid w:val="002818FB"/>
    <w:rsid w:val="002832B7"/>
    <w:rsid w:val="0028449E"/>
    <w:rsid w:val="00286041"/>
    <w:rsid w:val="00286F2F"/>
    <w:rsid w:val="00290BF5"/>
    <w:rsid w:val="00291609"/>
    <w:rsid w:val="002943AE"/>
    <w:rsid w:val="002965C3"/>
    <w:rsid w:val="002A6116"/>
    <w:rsid w:val="002A6B2F"/>
    <w:rsid w:val="002B0214"/>
    <w:rsid w:val="002B15EA"/>
    <w:rsid w:val="002B55AF"/>
    <w:rsid w:val="002B7EC3"/>
    <w:rsid w:val="002C48AB"/>
    <w:rsid w:val="002C6657"/>
    <w:rsid w:val="002C6A4F"/>
    <w:rsid w:val="002D0E09"/>
    <w:rsid w:val="002D3DBE"/>
    <w:rsid w:val="002D45F2"/>
    <w:rsid w:val="002D4FA0"/>
    <w:rsid w:val="002D5B4E"/>
    <w:rsid w:val="002D680F"/>
    <w:rsid w:val="002E3CDA"/>
    <w:rsid w:val="002E3D6D"/>
    <w:rsid w:val="002E41B7"/>
    <w:rsid w:val="002E516C"/>
    <w:rsid w:val="002F060D"/>
    <w:rsid w:val="00301528"/>
    <w:rsid w:val="0031430A"/>
    <w:rsid w:val="00316D29"/>
    <w:rsid w:val="00320356"/>
    <w:rsid w:val="00322459"/>
    <w:rsid w:val="00323A4E"/>
    <w:rsid w:val="00326888"/>
    <w:rsid w:val="003319C1"/>
    <w:rsid w:val="003331F6"/>
    <w:rsid w:val="00333834"/>
    <w:rsid w:val="00336A3C"/>
    <w:rsid w:val="00337741"/>
    <w:rsid w:val="00341840"/>
    <w:rsid w:val="00344396"/>
    <w:rsid w:val="00350FC5"/>
    <w:rsid w:val="00354F24"/>
    <w:rsid w:val="00355BC0"/>
    <w:rsid w:val="00361F0B"/>
    <w:rsid w:val="00364A52"/>
    <w:rsid w:val="00367FDB"/>
    <w:rsid w:val="00370BFA"/>
    <w:rsid w:val="003720E3"/>
    <w:rsid w:val="003814B6"/>
    <w:rsid w:val="00382F20"/>
    <w:rsid w:val="00383320"/>
    <w:rsid w:val="00384D42"/>
    <w:rsid w:val="0039001F"/>
    <w:rsid w:val="003916E2"/>
    <w:rsid w:val="00393AEF"/>
    <w:rsid w:val="0039637E"/>
    <w:rsid w:val="00397458"/>
    <w:rsid w:val="003A1904"/>
    <w:rsid w:val="003A2022"/>
    <w:rsid w:val="003A6500"/>
    <w:rsid w:val="003A7A7E"/>
    <w:rsid w:val="003B1E29"/>
    <w:rsid w:val="003B2408"/>
    <w:rsid w:val="003B401D"/>
    <w:rsid w:val="003B6393"/>
    <w:rsid w:val="003C14DB"/>
    <w:rsid w:val="003C44AD"/>
    <w:rsid w:val="003C79B6"/>
    <w:rsid w:val="003D2FB8"/>
    <w:rsid w:val="003D355F"/>
    <w:rsid w:val="003D3C04"/>
    <w:rsid w:val="003D3CFB"/>
    <w:rsid w:val="003D40B9"/>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1228"/>
    <w:rsid w:val="00433EB1"/>
    <w:rsid w:val="00437913"/>
    <w:rsid w:val="00437A7B"/>
    <w:rsid w:val="00440306"/>
    <w:rsid w:val="00440888"/>
    <w:rsid w:val="00441C26"/>
    <w:rsid w:val="00441EF6"/>
    <w:rsid w:val="0044338E"/>
    <w:rsid w:val="00446B64"/>
    <w:rsid w:val="00446CFE"/>
    <w:rsid w:val="0045697E"/>
    <w:rsid w:val="0046144D"/>
    <w:rsid w:val="0046177B"/>
    <w:rsid w:val="00463436"/>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10BE"/>
    <w:rsid w:val="004C3800"/>
    <w:rsid w:val="004C42E3"/>
    <w:rsid w:val="004C526D"/>
    <w:rsid w:val="004C58D9"/>
    <w:rsid w:val="004C7423"/>
    <w:rsid w:val="004D71F8"/>
    <w:rsid w:val="004E1A1A"/>
    <w:rsid w:val="004E2908"/>
    <w:rsid w:val="004E4C7E"/>
    <w:rsid w:val="004E68FB"/>
    <w:rsid w:val="004F2508"/>
    <w:rsid w:val="004F2614"/>
    <w:rsid w:val="004F2ECC"/>
    <w:rsid w:val="005002A9"/>
    <w:rsid w:val="00501227"/>
    <w:rsid w:val="005031D6"/>
    <w:rsid w:val="005100C3"/>
    <w:rsid w:val="00514766"/>
    <w:rsid w:val="00514AB6"/>
    <w:rsid w:val="005305DF"/>
    <w:rsid w:val="00536A5B"/>
    <w:rsid w:val="00541EA6"/>
    <w:rsid w:val="005429AF"/>
    <w:rsid w:val="00545EF1"/>
    <w:rsid w:val="0054603B"/>
    <w:rsid w:val="00554967"/>
    <w:rsid w:val="00554D52"/>
    <w:rsid w:val="00571F78"/>
    <w:rsid w:val="00573723"/>
    <w:rsid w:val="00573773"/>
    <w:rsid w:val="00573C72"/>
    <w:rsid w:val="005746F2"/>
    <w:rsid w:val="00575099"/>
    <w:rsid w:val="00576FAB"/>
    <w:rsid w:val="00581D72"/>
    <w:rsid w:val="005836DE"/>
    <w:rsid w:val="00586498"/>
    <w:rsid w:val="00590A88"/>
    <w:rsid w:val="005926C7"/>
    <w:rsid w:val="00594B3B"/>
    <w:rsid w:val="00595B11"/>
    <w:rsid w:val="00597DA7"/>
    <w:rsid w:val="005A31B8"/>
    <w:rsid w:val="005A5E6D"/>
    <w:rsid w:val="005A613B"/>
    <w:rsid w:val="005A6B58"/>
    <w:rsid w:val="005B12D5"/>
    <w:rsid w:val="005B2884"/>
    <w:rsid w:val="005B3496"/>
    <w:rsid w:val="005B530D"/>
    <w:rsid w:val="005B58E6"/>
    <w:rsid w:val="005C15C9"/>
    <w:rsid w:val="005C49D8"/>
    <w:rsid w:val="005C6662"/>
    <w:rsid w:val="005D0CAF"/>
    <w:rsid w:val="005D1214"/>
    <w:rsid w:val="005D2A31"/>
    <w:rsid w:val="005D30A0"/>
    <w:rsid w:val="005D6680"/>
    <w:rsid w:val="005D7EB7"/>
    <w:rsid w:val="005E2E2A"/>
    <w:rsid w:val="005E33F4"/>
    <w:rsid w:val="005F360D"/>
    <w:rsid w:val="005F6FDC"/>
    <w:rsid w:val="006008B7"/>
    <w:rsid w:val="00602635"/>
    <w:rsid w:val="0060368A"/>
    <w:rsid w:val="006115B2"/>
    <w:rsid w:val="00614878"/>
    <w:rsid w:val="006155A3"/>
    <w:rsid w:val="00616D35"/>
    <w:rsid w:val="00620049"/>
    <w:rsid w:val="00620577"/>
    <w:rsid w:val="00622956"/>
    <w:rsid w:val="006270C3"/>
    <w:rsid w:val="006312F5"/>
    <w:rsid w:val="00631E4B"/>
    <w:rsid w:val="00632E53"/>
    <w:rsid w:val="00642B95"/>
    <w:rsid w:val="006445B3"/>
    <w:rsid w:val="00645AD9"/>
    <w:rsid w:val="006461EB"/>
    <w:rsid w:val="006511FE"/>
    <w:rsid w:val="006542C7"/>
    <w:rsid w:val="00654E3B"/>
    <w:rsid w:val="0065721A"/>
    <w:rsid w:val="00660554"/>
    <w:rsid w:val="00660F55"/>
    <w:rsid w:val="006613BE"/>
    <w:rsid w:val="00664F9A"/>
    <w:rsid w:val="00666DEA"/>
    <w:rsid w:val="00667708"/>
    <w:rsid w:val="00676643"/>
    <w:rsid w:val="0068191F"/>
    <w:rsid w:val="0068204D"/>
    <w:rsid w:val="0068509B"/>
    <w:rsid w:val="006934C5"/>
    <w:rsid w:val="006A2523"/>
    <w:rsid w:val="006A3DA0"/>
    <w:rsid w:val="006A4883"/>
    <w:rsid w:val="006A61CD"/>
    <w:rsid w:val="006B152A"/>
    <w:rsid w:val="006B2AA4"/>
    <w:rsid w:val="006B6DC5"/>
    <w:rsid w:val="006C46BB"/>
    <w:rsid w:val="006D1C14"/>
    <w:rsid w:val="006D4266"/>
    <w:rsid w:val="006D7FDF"/>
    <w:rsid w:val="006E141E"/>
    <w:rsid w:val="006E2F89"/>
    <w:rsid w:val="006E5C75"/>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144D"/>
    <w:rsid w:val="007535BD"/>
    <w:rsid w:val="00755A2D"/>
    <w:rsid w:val="0075674A"/>
    <w:rsid w:val="007642CE"/>
    <w:rsid w:val="00765FD4"/>
    <w:rsid w:val="007707CF"/>
    <w:rsid w:val="00771038"/>
    <w:rsid w:val="0077108A"/>
    <w:rsid w:val="00771D74"/>
    <w:rsid w:val="00775CDF"/>
    <w:rsid w:val="00776774"/>
    <w:rsid w:val="0078126F"/>
    <w:rsid w:val="00782B08"/>
    <w:rsid w:val="007842DD"/>
    <w:rsid w:val="00784F11"/>
    <w:rsid w:val="00786E5B"/>
    <w:rsid w:val="00790821"/>
    <w:rsid w:val="00790E06"/>
    <w:rsid w:val="00791448"/>
    <w:rsid w:val="0079165F"/>
    <w:rsid w:val="00795D60"/>
    <w:rsid w:val="00796E39"/>
    <w:rsid w:val="007A4FCE"/>
    <w:rsid w:val="007B101E"/>
    <w:rsid w:val="007B29B0"/>
    <w:rsid w:val="007B5669"/>
    <w:rsid w:val="007B5756"/>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449D"/>
    <w:rsid w:val="00804B32"/>
    <w:rsid w:val="00805187"/>
    <w:rsid w:val="00807228"/>
    <w:rsid w:val="0081301A"/>
    <w:rsid w:val="00817D06"/>
    <w:rsid w:val="008222EC"/>
    <w:rsid w:val="008235EE"/>
    <w:rsid w:val="00835A3A"/>
    <w:rsid w:val="00835E7B"/>
    <w:rsid w:val="0083709E"/>
    <w:rsid w:val="0083771C"/>
    <w:rsid w:val="0084598F"/>
    <w:rsid w:val="00847A75"/>
    <w:rsid w:val="00853991"/>
    <w:rsid w:val="008542A0"/>
    <w:rsid w:val="00865816"/>
    <w:rsid w:val="00872FE4"/>
    <w:rsid w:val="0087323F"/>
    <w:rsid w:val="00881F53"/>
    <w:rsid w:val="0089028B"/>
    <w:rsid w:val="008933F4"/>
    <w:rsid w:val="008964C4"/>
    <w:rsid w:val="00896FAF"/>
    <w:rsid w:val="008977AC"/>
    <w:rsid w:val="008A0177"/>
    <w:rsid w:val="008B3041"/>
    <w:rsid w:val="008B6152"/>
    <w:rsid w:val="008C1232"/>
    <w:rsid w:val="008C5B0D"/>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62531"/>
    <w:rsid w:val="00972A15"/>
    <w:rsid w:val="009779C7"/>
    <w:rsid w:val="00981F48"/>
    <w:rsid w:val="00985ADE"/>
    <w:rsid w:val="00986807"/>
    <w:rsid w:val="009873A1"/>
    <w:rsid w:val="009875C1"/>
    <w:rsid w:val="00987EDE"/>
    <w:rsid w:val="00990E19"/>
    <w:rsid w:val="009917A9"/>
    <w:rsid w:val="009941CE"/>
    <w:rsid w:val="00997216"/>
    <w:rsid w:val="009A3D7D"/>
    <w:rsid w:val="009A657D"/>
    <w:rsid w:val="009A7D47"/>
    <w:rsid w:val="009B1DF7"/>
    <w:rsid w:val="009B33AC"/>
    <w:rsid w:val="009B4F37"/>
    <w:rsid w:val="009B618C"/>
    <w:rsid w:val="009C2C78"/>
    <w:rsid w:val="009D3C1D"/>
    <w:rsid w:val="009D3E3B"/>
    <w:rsid w:val="009D571A"/>
    <w:rsid w:val="009E20B1"/>
    <w:rsid w:val="009E42E1"/>
    <w:rsid w:val="009F0903"/>
    <w:rsid w:val="009F176D"/>
    <w:rsid w:val="009F43DB"/>
    <w:rsid w:val="00A00296"/>
    <w:rsid w:val="00A04E79"/>
    <w:rsid w:val="00A07578"/>
    <w:rsid w:val="00A107F8"/>
    <w:rsid w:val="00A10AA7"/>
    <w:rsid w:val="00A3055A"/>
    <w:rsid w:val="00A30DF0"/>
    <w:rsid w:val="00A338E9"/>
    <w:rsid w:val="00A35FCF"/>
    <w:rsid w:val="00A43648"/>
    <w:rsid w:val="00A43A29"/>
    <w:rsid w:val="00A43A73"/>
    <w:rsid w:val="00A53F14"/>
    <w:rsid w:val="00A60A64"/>
    <w:rsid w:val="00A61B31"/>
    <w:rsid w:val="00A65571"/>
    <w:rsid w:val="00A6569E"/>
    <w:rsid w:val="00A6665D"/>
    <w:rsid w:val="00A66C0D"/>
    <w:rsid w:val="00A72B06"/>
    <w:rsid w:val="00A73A69"/>
    <w:rsid w:val="00A774BF"/>
    <w:rsid w:val="00A83007"/>
    <w:rsid w:val="00A8591D"/>
    <w:rsid w:val="00A910E1"/>
    <w:rsid w:val="00A913F0"/>
    <w:rsid w:val="00A936E4"/>
    <w:rsid w:val="00A947B8"/>
    <w:rsid w:val="00A95CFB"/>
    <w:rsid w:val="00A96B0B"/>
    <w:rsid w:val="00AA2740"/>
    <w:rsid w:val="00AA3963"/>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6E4"/>
    <w:rsid w:val="00AE2763"/>
    <w:rsid w:val="00AE6B4C"/>
    <w:rsid w:val="00AF7766"/>
    <w:rsid w:val="00B00021"/>
    <w:rsid w:val="00B01908"/>
    <w:rsid w:val="00B204B2"/>
    <w:rsid w:val="00B22F06"/>
    <w:rsid w:val="00B275D8"/>
    <w:rsid w:val="00B30A04"/>
    <w:rsid w:val="00B31F9E"/>
    <w:rsid w:val="00B36C32"/>
    <w:rsid w:val="00B400C1"/>
    <w:rsid w:val="00B426DC"/>
    <w:rsid w:val="00B45A18"/>
    <w:rsid w:val="00B526AB"/>
    <w:rsid w:val="00B52A6E"/>
    <w:rsid w:val="00B56D86"/>
    <w:rsid w:val="00B56EA3"/>
    <w:rsid w:val="00B6753F"/>
    <w:rsid w:val="00B676D6"/>
    <w:rsid w:val="00B72038"/>
    <w:rsid w:val="00B73CCC"/>
    <w:rsid w:val="00B741E0"/>
    <w:rsid w:val="00B77B22"/>
    <w:rsid w:val="00B80265"/>
    <w:rsid w:val="00B80267"/>
    <w:rsid w:val="00B808F2"/>
    <w:rsid w:val="00B83472"/>
    <w:rsid w:val="00B844FF"/>
    <w:rsid w:val="00B87112"/>
    <w:rsid w:val="00B90DB9"/>
    <w:rsid w:val="00B93FC7"/>
    <w:rsid w:val="00B9512E"/>
    <w:rsid w:val="00B96026"/>
    <w:rsid w:val="00B969DD"/>
    <w:rsid w:val="00BA6409"/>
    <w:rsid w:val="00BA76A5"/>
    <w:rsid w:val="00BB0CD9"/>
    <w:rsid w:val="00BB119F"/>
    <w:rsid w:val="00BB139C"/>
    <w:rsid w:val="00BB2B71"/>
    <w:rsid w:val="00BB4C1D"/>
    <w:rsid w:val="00BB595E"/>
    <w:rsid w:val="00BB7D51"/>
    <w:rsid w:val="00BC00F8"/>
    <w:rsid w:val="00BC33B0"/>
    <w:rsid w:val="00BC4975"/>
    <w:rsid w:val="00BC76D3"/>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611D"/>
    <w:rsid w:val="00C17D2C"/>
    <w:rsid w:val="00C209F5"/>
    <w:rsid w:val="00C21BBC"/>
    <w:rsid w:val="00C2202B"/>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A13DF"/>
    <w:rsid w:val="00CB01B6"/>
    <w:rsid w:val="00CB1213"/>
    <w:rsid w:val="00CB2C80"/>
    <w:rsid w:val="00CB51EF"/>
    <w:rsid w:val="00CC01BB"/>
    <w:rsid w:val="00CC106D"/>
    <w:rsid w:val="00CC133D"/>
    <w:rsid w:val="00CC214A"/>
    <w:rsid w:val="00CC62FD"/>
    <w:rsid w:val="00CD0C00"/>
    <w:rsid w:val="00CD3E1C"/>
    <w:rsid w:val="00CD472A"/>
    <w:rsid w:val="00CD639A"/>
    <w:rsid w:val="00CD643A"/>
    <w:rsid w:val="00CD6616"/>
    <w:rsid w:val="00CD697B"/>
    <w:rsid w:val="00CE0F08"/>
    <w:rsid w:val="00CE3623"/>
    <w:rsid w:val="00D01D85"/>
    <w:rsid w:val="00D024E6"/>
    <w:rsid w:val="00D02C10"/>
    <w:rsid w:val="00D044DB"/>
    <w:rsid w:val="00D06959"/>
    <w:rsid w:val="00D134B0"/>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B7849"/>
    <w:rsid w:val="00DC120F"/>
    <w:rsid w:val="00DC1428"/>
    <w:rsid w:val="00DC2807"/>
    <w:rsid w:val="00DC3CD3"/>
    <w:rsid w:val="00DC5DE0"/>
    <w:rsid w:val="00DD0A96"/>
    <w:rsid w:val="00DD23C2"/>
    <w:rsid w:val="00DD6368"/>
    <w:rsid w:val="00DE0D2D"/>
    <w:rsid w:val="00DE2E0C"/>
    <w:rsid w:val="00DE54CA"/>
    <w:rsid w:val="00DE5CF7"/>
    <w:rsid w:val="00DE7442"/>
    <w:rsid w:val="00DF0B40"/>
    <w:rsid w:val="00DF0B77"/>
    <w:rsid w:val="00DF1C56"/>
    <w:rsid w:val="00DF306A"/>
    <w:rsid w:val="00DF6ABB"/>
    <w:rsid w:val="00E01B22"/>
    <w:rsid w:val="00E06FA0"/>
    <w:rsid w:val="00E12EEB"/>
    <w:rsid w:val="00E13D96"/>
    <w:rsid w:val="00E1446B"/>
    <w:rsid w:val="00E22C41"/>
    <w:rsid w:val="00E24961"/>
    <w:rsid w:val="00E25799"/>
    <w:rsid w:val="00E27A04"/>
    <w:rsid w:val="00E27DBA"/>
    <w:rsid w:val="00E30480"/>
    <w:rsid w:val="00E31B31"/>
    <w:rsid w:val="00E338C3"/>
    <w:rsid w:val="00E33FF9"/>
    <w:rsid w:val="00E34DF7"/>
    <w:rsid w:val="00E36569"/>
    <w:rsid w:val="00E369A8"/>
    <w:rsid w:val="00E40B40"/>
    <w:rsid w:val="00E42469"/>
    <w:rsid w:val="00E426BF"/>
    <w:rsid w:val="00E42BBB"/>
    <w:rsid w:val="00E534C3"/>
    <w:rsid w:val="00E54C2C"/>
    <w:rsid w:val="00E559FA"/>
    <w:rsid w:val="00E60E91"/>
    <w:rsid w:val="00E62EB9"/>
    <w:rsid w:val="00E65AC6"/>
    <w:rsid w:val="00E73B79"/>
    <w:rsid w:val="00E73F25"/>
    <w:rsid w:val="00E80A2D"/>
    <w:rsid w:val="00E846AF"/>
    <w:rsid w:val="00E85A66"/>
    <w:rsid w:val="00E862C6"/>
    <w:rsid w:val="00E963D8"/>
    <w:rsid w:val="00E97D7F"/>
    <w:rsid w:val="00EA2EBB"/>
    <w:rsid w:val="00EA48EE"/>
    <w:rsid w:val="00EB0093"/>
    <w:rsid w:val="00EB2EB3"/>
    <w:rsid w:val="00EB4DB6"/>
    <w:rsid w:val="00EB7198"/>
    <w:rsid w:val="00EC1A36"/>
    <w:rsid w:val="00EC27A5"/>
    <w:rsid w:val="00ED37D7"/>
    <w:rsid w:val="00ED5BE8"/>
    <w:rsid w:val="00ED6400"/>
    <w:rsid w:val="00EE4A8E"/>
    <w:rsid w:val="00EF0BDE"/>
    <w:rsid w:val="00EF292F"/>
    <w:rsid w:val="00EF2ECA"/>
    <w:rsid w:val="00EF5E12"/>
    <w:rsid w:val="00EF623D"/>
    <w:rsid w:val="00EF7C36"/>
    <w:rsid w:val="00F04BD7"/>
    <w:rsid w:val="00F0697B"/>
    <w:rsid w:val="00F121FA"/>
    <w:rsid w:val="00F1224C"/>
    <w:rsid w:val="00F12D99"/>
    <w:rsid w:val="00F16A4B"/>
    <w:rsid w:val="00F20DA3"/>
    <w:rsid w:val="00F2550E"/>
    <w:rsid w:val="00F2595C"/>
    <w:rsid w:val="00F26970"/>
    <w:rsid w:val="00F27A8B"/>
    <w:rsid w:val="00F33AB4"/>
    <w:rsid w:val="00F33DBB"/>
    <w:rsid w:val="00F4197C"/>
    <w:rsid w:val="00F42F1C"/>
    <w:rsid w:val="00F5564B"/>
    <w:rsid w:val="00F56B40"/>
    <w:rsid w:val="00F571E0"/>
    <w:rsid w:val="00F57442"/>
    <w:rsid w:val="00F666D3"/>
    <w:rsid w:val="00F70167"/>
    <w:rsid w:val="00F71709"/>
    <w:rsid w:val="00F74544"/>
    <w:rsid w:val="00F74C4B"/>
    <w:rsid w:val="00F75A56"/>
    <w:rsid w:val="00F82C89"/>
    <w:rsid w:val="00F831D9"/>
    <w:rsid w:val="00F83CB8"/>
    <w:rsid w:val="00F84C3E"/>
    <w:rsid w:val="00F84DB9"/>
    <w:rsid w:val="00F86B66"/>
    <w:rsid w:val="00F87BDF"/>
    <w:rsid w:val="00F90CE2"/>
    <w:rsid w:val="00F96C23"/>
    <w:rsid w:val="00FA1050"/>
    <w:rsid w:val="00FA1BA4"/>
    <w:rsid w:val="00FB1F0B"/>
    <w:rsid w:val="00FB3A12"/>
    <w:rsid w:val="00FB4824"/>
    <w:rsid w:val="00FB67BF"/>
    <w:rsid w:val="00FC1E24"/>
    <w:rsid w:val="00FD4024"/>
    <w:rsid w:val="00FD57C5"/>
    <w:rsid w:val="00FD6817"/>
    <w:rsid w:val="00FD7200"/>
    <w:rsid w:val="00FD7784"/>
    <w:rsid w:val="00FE050A"/>
    <w:rsid w:val="00FE4CF1"/>
    <w:rsid w:val="00FE6252"/>
    <w:rsid w:val="00FE7571"/>
    <w:rsid w:val="00FF5BE7"/>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UnresolvedMention1">
    <w:name w:val="Unresolved Mention1"/>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396054793">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52471788">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61815222">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869991230">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1088381789">
      <w:bodyDiv w:val="1"/>
      <w:marLeft w:val="0"/>
      <w:marRight w:val="0"/>
      <w:marTop w:val="0"/>
      <w:marBottom w:val="0"/>
      <w:divBdr>
        <w:top w:val="none" w:sz="0" w:space="0" w:color="auto"/>
        <w:left w:val="none" w:sz="0" w:space="0" w:color="auto"/>
        <w:bottom w:val="none" w:sz="0" w:space="0" w:color="auto"/>
        <w:right w:val="none" w:sz="0" w:space="0" w:color="auto"/>
      </w:divBdr>
    </w:div>
    <w:div w:id="1102261061">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17941130">
      <w:bodyDiv w:val="1"/>
      <w:marLeft w:val="0"/>
      <w:marRight w:val="0"/>
      <w:marTop w:val="0"/>
      <w:marBottom w:val="0"/>
      <w:divBdr>
        <w:top w:val="none" w:sz="0" w:space="0" w:color="auto"/>
        <w:left w:val="none" w:sz="0" w:space="0" w:color="auto"/>
        <w:bottom w:val="none" w:sz="0" w:space="0" w:color="auto"/>
        <w:right w:val="none" w:sz="0" w:space="0" w:color="auto"/>
      </w:divBdr>
    </w:div>
    <w:div w:id="1443262754">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43470915">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808938030">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 w:id="2104838720">
      <w:bodyDiv w:val="1"/>
      <w:marLeft w:val="0"/>
      <w:marRight w:val="0"/>
      <w:marTop w:val="0"/>
      <w:marBottom w:val="0"/>
      <w:divBdr>
        <w:top w:val="none" w:sz="0" w:space="0" w:color="auto"/>
        <w:left w:val="none" w:sz="0" w:space="0" w:color="auto"/>
        <w:bottom w:val="none" w:sz="0" w:space="0" w:color="auto"/>
        <w:right w:val="none" w:sz="0" w:space="0" w:color="auto"/>
      </w:divBdr>
    </w:div>
    <w:div w:id="21204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767AD"/>
    <w:rsid w:val="0009364E"/>
    <w:rsid w:val="000C48FB"/>
    <w:rsid w:val="00155FB9"/>
    <w:rsid w:val="001E1FDB"/>
    <w:rsid w:val="0020712F"/>
    <w:rsid w:val="002342C2"/>
    <w:rsid w:val="002450CA"/>
    <w:rsid w:val="00252BE3"/>
    <w:rsid w:val="002711C6"/>
    <w:rsid w:val="002C2BF6"/>
    <w:rsid w:val="002E68C5"/>
    <w:rsid w:val="002F00A0"/>
    <w:rsid w:val="00301A29"/>
    <w:rsid w:val="0037752F"/>
    <w:rsid w:val="00381ACF"/>
    <w:rsid w:val="003C38E4"/>
    <w:rsid w:val="00401F6F"/>
    <w:rsid w:val="00455F48"/>
    <w:rsid w:val="00463D97"/>
    <w:rsid w:val="004B5710"/>
    <w:rsid w:val="004E6C4F"/>
    <w:rsid w:val="00506336"/>
    <w:rsid w:val="005509A0"/>
    <w:rsid w:val="0057125B"/>
    <w:rsid w:val="005B516E"/>
    <w:rsid w:val="005F2D63"/>
    <w:rsid w:val="005F3464"/>
    <w:rsid w:val="00631E4B"/>
    <w:rsid w:val="0071544D"/>
    <w:rsid w:val="00722BBE"/>
    <w:rsid w:val="007A01B8"/>
    <w:rsid w:val="007A7102"/>
    <w:rsid w:val="007B517F"/>
    <w:rsid w:val="007C42DF"/>
    <w:rsid w:val="007C5141"/>
    <w:rsid w:val="007D70AD"/>
    <w:rsid w:val="008260BD"/>
    <w:rsid w:val="008C2852"/>
    <w:rsid w:val="00900C78"/>
    <w:rsid w:val="00914BB0"/>
    <w:rsid w:val="00956ED1"/>
    <w:rsid w:val="00967A32"/>
    <w:rsid w:val="00983B58"/>
    <w:rsid w:val="00A45493"/>
    <w:rsid w:val="00A86DC5"/>
    <w:rsid w:val="00AF2D14"/>
    <w:rsid w:val="00B05C88"/>
    <w:rsid w:val="00B12279"/>
    <w:rsid w:val="00B66E09"/>
    <w:rsid w:val="00B9382C"/>
    <w:rsid w:val="00C05868"/>
    <w:rsid w:val="00C63F0F"/>
    <w:rsid w:val="00D2237F"/>
    <w:rsid w:val="00D67310"/>
    <w:rsid w:val="00DA29D0"/>
    <w:rsid w:val="00DB0937"/>
    <w:rsid w:val="00DB11BE"/>
    <w:rsid w:val="00E259E7"/>
    <w:rsid w:val="00E95234"/>
    <w:rsid w:val="00EC7937"/>
    <w:rsid w:val="00EC7B15"/>
    <w:rsid w:val="00EF575C"/>
    <w:rsid w:val="00F5120A"/>
    <w:rsid w:val="00FD538D"/>
    <w:rsid w:val="00FF3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A32"/>
    <w:rPr>
      <w:color w:val="808080"/>
    </w:rPr>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2909B-AA41-4481-8664-E76E77147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24</Pages>
  <Words>6217</Words>
  <Characters>35443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58</cp:revision>
  <cp:lastPrinted>2022-08-24T09:48:00Z</cp:lastPrinted>
  <dcterms:created xsi:type="dcterms:W3CDTF">2022-08-11T09:17:00Z</dcterms:created>
  <dcterms:modified xsi:type="dcterms:W3CDTF">2024-09-18T11:44:00Z</dcterms:modified>
</cp:coreProperties>
</file>