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2BB" w:rsidRDefault="005672BB" w:rsidP="005672BB">
      <w:pPr>
        <w:pStyle w:val="Heading2"/>
        <w:tabs>
          <w:tab w:val="clear" w:pos="846"/>
        </w:tabs>
        <w:ind w:left="360" w:firstLine="0"/>
        <w:rPr>
          <w:rFonts w:ascii="Century Gothic" w:hAnsi="Century Gothic"/>
          <w:szCs w:val="20"/>
          <w:u w:val="none"/>
        </w:rPr>
      </w:pPr>
      <w:proofErr w:type="gramStart"/>
      <w:r>
        <w:rPr>
          <w:rFonts w:ascii="Century Gothic" w:hAnsi="Century Gothic"/>
          <w:szCs w:val="20"/>
          <w:u w:val="none"/>
        </w:rPr>
        <w:t>About Company.</w:t>
      </w:r>
      <w:proofErr w:type="gramEnd"/>
      <w:r>
        <w:rPr>
          <w:rFonts w:ascii="Century Gothic" w:hAnsi="Century Gothic"/>
          <w:szCs w:val="20"/>
          <w:u w:val="none"/>
        </w:rPr>
        <w:t xml:space="preserve"> </w:t>
      </w:r>
    </w:p>
    <w:p w:rsidR="005672BB" w:rsidRPr="00A76187" w:rsidRDefault="005672BB" w:rsidP="005672BB">
      <w:pPr>
        <w:spacing w:after="120"/>
        <w:jc w:val="both"/>
        <w:rPr>
          <w:rFonts w:ascii="Century Gothic" w:eastAsia="Times New Roman" w:hAnsi="Century Gothic"/>
          <w:sz w:val="20"/>
          <w:szCs w:val="20"/>
          <w:lang w:bidi="en-US"/>
        </w:rPr>
      </w:pPr>
      <w:r w:rsidRPr="00A76187">
        <w:rPr>
          <w:rFonts w:ascii="Century Gothic" w:eastAsia="Times New Roman" w:hAnsi="Century Gothic"/>
          <w:sz w:val="20"/>
          <w:szCs w:val="20"/>
          <w:lang w:bidi="en-US"/>
        </w:rPr>
        <w:t xml:space="preserve">NHAI had awarded the concession to </w:t>
      </w:r>
      <w:r>
        <w:rPr>
          <w:rFonts w:ascii="Century Gothic" w:eastAsia="Times New Roman" w:hAnsi="Century Gothic"/>
          <w:sz w:val="20"/>
          <w:szCs w:val="20"/>
          <w:lang w:bidi="en-US"/>
        </w:rPr>
        <w:t>TN(DK) Expressways Limited</w:t>
      </w:r>
      <w:r w:rsidRPr="00A76187">
        <w:rPr>
          <w:rFonts w:ascii="Century Gothic" w:eastAsia="Times New Roman" w:hAnsi="Century Gothic"/>
          <w:sz w:val="20"/>
          <w:szCs w:val="20"/>
          <w:lang w:bidi="en-US"/>
        </w:rPr>
        <w:t xml:space="preserve"> for Four-</w:t>
      </w:r>
      <w:proofErr w:type="spellStart"/>
      <w:r w:rsidRPr="00A76187">
        <w:rPr>
          <w:rFonts w:ascii="Century Gothic" w:eastAsia="Times New Roman" w:hAnsi="Century Gothic"/>
          <w:sz w:val="20"/>
          <w:szCs w:val="20"/>
          <w:lang w:bidi="en-US"/>
        </w:rPr>
        <w:t>laning</w:t>
      </w:r>
      <w:proofErr w:type="spellEnd"/>
      <w:r w:rsidRPr="00A76187">
        <w:rPr>
          <w:rFonts w:ascii="Century Gothic" w:eastAsia="Times New Roman" w:hAnsi="Century Gothic"/>
          <w:sz w:val="20"/>
          <w:szCs w:val="20"/>
          <w:lang w:bidi="en-US"/>
        </w:rPr>
        <w:t xml:space="preserve"> of </w:t>
      </w:r>
      <w:proofErr w:type="spellStart"/>
      <w:r>
        <w:rPr>
          <w:rFonts w:ascii="Century Gothic" w:eastAsia="Times New Roman" w:hAnsi="Century Gothic"/>
          <w:sz w:val="20"/>
          <w:szCs w:val="20"/>
          <w:lang w:bidi="en-US"/>
        </w:rPr>
        <w:t>Karur</w:t>
      </w:r>
      <w:proofErr w:type="spellEnd"/>
      <w:r w:rsidRPr="00A76187">
        <w:rPr>
          <w:rFonts w:ascii="Century Gothic" w:eastAsia="Times New Roman" w:hAnsi="Century Gothic"/>
          <w:sz w:val="20"/>
          <w:szCs w:val="20"/>
          <w:lang w:bidi="en-US"/>
        </w:rPr>
        <w:t xml:space="preserve">- </w:t>
      </w:r>
      <w:proofErr w:type="spellStart"/>
      <w:r>
        <w:rPr>
          <w:rFonts w:ascii="Century Gothic" w:eastAsia="Times New Roman" w:hAnsi="Century Gothic"/>
          <w:sz w:val="20"/>
          <w:szCs w:val="20"/>
          <w:lang w:bidi="en-US"/>
        </w:rPr>
        <w:t>Dindigul</w:t>
      </w:r>
      <w:proofErr w:type="spellEnd"/>
      <w:r>
        <w:rPr>
          <w:rFonts w:ascii="Century Gothic" w:eastAsia="Times New Roman" w:hAnsi="Century Gothic"/>
          <w:sz w:val="20"/>
          <w:szCs w:val="20"/>
          <w:lang w:bidi="en-US"/>
        </w:rPr>
        <w:t xml:space="preserve"> section of NH-</w:t>
      </w:r>
      <w:r w:rsidRPr="00A76187">
        <w:rPr>
          <w:rFonts w:ascii="Century Gothic" w:eastAsia="Times New Roman" w:hAnsi="Century Gothic"/>
          <w:sz w:val="20"/>
          <w:szCs w:val="20"/>
          <w:lang w:bidi="en-US"/>
        </w:rPr>
        <w:t>7 from Km.</w:t>
      </w:r>
      <w:r>
        <w:rPr>
          <w:rFonts w:ascii="Century Gothic" w:eastAsia="Times New Roman" w:hAnsi="Century Gothic"/>
          <w:sz w:val="20"/>
          <w:szCs w:val="20"/>
          <w:lang w:bidi="en-US"/>
        </w:rPr>
        <w:t>305.6</w:t>
      </w:r>
      <w:r w:rsidRPr="00A76187">
        <w:rPr>
          <w:rFonts w:ascii="Century Gothic" w:eastAsia="Times New Roman" w:hAnsi="Century Gothic"/>
          <w:sz w:val="20"/>
          <w:szCs w:val="20"/>
          <w:lang w:bidi="en-US"/>
        </w:rPr>
        <w:t xml:space="preserve">00 to Km. </w:t>
      </w:r>
      <w:r>
        <w:rPr>
          <w:rFonts w:ascii="Century Gothic" w:eastAsia="Times New Roman" w:hAnsi="Century Gothic"/>
          <w:sz w:val="20"/>
          <w:szCs w:val="20"/>
          <w:lang w:bidi="en-US"/>
        </w:rPr>
        <w:t xml:space="preserve">373.275 </w:t>
      </w:r>
      <w:r w:rsidRPr="00A76187">
        <w:rPr>
          <w:rFonts w:ascii="Century Gothic" w:eastAsia="Times New Roman" w:hAnsi="Century Gothic"/>
          <w:sz w:val="20"/>
          <w:szCs w:val="20"/>
          <w:lang w:bidi="en-US"/>
        </w:rPr>
        <w:t xml:space="preserve"> with a total length of </w:t>
      </w:r>
      <w:r>
        <w:rPr>
          <w:rFonts w:ascii="Century Gothic" w:eastAsia="Times New Roman" w:hAnsi="Century Gothic"/>
          <w:sz w:val="20"/>
          <w:szCs w:val="20"/>
          <w:lang w:bidi="en-US"/>
        </w:rPr>
        <w:t>68.125</w:t>
      </w:r>
      <w:r w:rsidRPr="00A76187">
        <w:rPr>
          <w:rFonts w:ascii="Century Gothic" w:eastAsia="Times New Roman" w:hAnsi="Century Gothic"/>
          <w:sz w:val="20"/>
          <w:szCs w:val="20"/>
          <w:lang w:bidi="en-US"/>
        </w:rPr>
        <w:t xml:space="preserve"> km </w:t>
      </w:r>
      <w:r>
        <w:rPr>
          <w:rFonts w:ascii="Century Gothic" w:eastAsia="Times New Roman" w:hAnsi="Century Gothic"/>
          <w:sz w:val="20"/>
          <w:szCs w:val="20"/>
          <w:lang w:bidi="en-US"/>
        </w:rPr>
        <w:t xml:space="preserve">and improvement, operation and maintenance of 9.6 km from 292.600 to 305.600 of </w:t>
      </w:r>
      <w:proofErr w:type="spellStart"/>
      <w:r>
        <w:rPr>
          <w:rFonts w:ascii="Century Gothic" w:eastAsia="Times New Roman" w:hAnsi="Century Gothic"/>
          <w:sz w:val="20"/>
          <w:szCs w:val="20"/>
          <w:lang w:bidi="en-US"/>
        </w:rPr>
        <w:t>Karur</w:t>
      </w:r>
      <w:proofErr w:type="spellEnd"/>
      <w:r>
        <w:rPr>
          <w:rFonts w:ascii="Century Gothic" w:eastAsia="Times New Roman" w:hAnsi="Century Gothic"/>
          <w:sz w:val="20"/>
          <w:szCs w:val="20"/>
          <w:lang w:bidi="en-US"/>
        </w:rPr>
        <w:t xml:space="preserve"> bypass </w:t>
      </w:r>
      <w:r w:rsidRPr="00A76187">
        <w:rPr>
          <w:rFonts w:ascii="Century Gothic" w:eastAsia="Times New Roman" w:hAnsi="Century Gothic"/>
          <w:sz w:val="20"/>
          <w:szCs w:val="20"/>
          <w:lang w:bidi="en-US"/>
        </w:rPr>
        <w:t>in the state of Tamil Nadu with the following broad scope:</w:t>
      </w:r>
    </w:p>
    <w:p w:rsidR="005672BB" w:rsidRPr="004E7880" w:rsidRDefault="005672BB" w:rsidP="005672BB">
      <w:pPr>
        <w:pStyle w:val="PIM-Normal"/>
        <w:numPr>
          <w:ilvl w:val="0"/>
          <w:numId w:val="2"/>
        </w:numPr>
        <w:spacing w:line="276" w:lineRule="auto"/>
        <w:rPr>
          <w:rFonts w:ascii="Century Gothic" w:hAnsi="Century Gothic"/>
          <w:szCs w:val="20"/>
          <w:lang w:bidi="en-US"/>
        </w:rPr>
      </w:pPr>
      <w:r w:rsidRPr="004E7880">
        <w:rPr>
          <w:rFonts w:ascii="Century Gothic" w:hAnsi="Century Gothic"/>
          <w:szCs w:val="20"/>
          <w:lang w:bidi="en-US"/>
        </w:rPr>
        <w:t>Construction of the Project Highway &amp; Project Facilities as per C</w:t>
      </w:r>
      <w:r>
        <w:rPr>
          <w:rFonts w:ascii="Century Gothic" w:hAnsi="Century Gothic"/>
          <w:szCs w:val="20"/>
          <w:lang w:bidi="en-US"/>
        </w:rPr>
        <w:t xml:space="preserve">oncession </w:t>
      </w:r>
      <w:r w:rsidRPr="004E7880">
        <w:rPr>
          <w:rFonts w:ascii="Century Gothic" w:hAnsi="Century Gothic"/>
          <w:szCs w:val="20"/>
          <w:lang w:bidi="en-US"/>
        </w:rPr>
        <w:t>A</w:t>
      </w:r>
      <w:r>
        <w:rPr>
          <w:rFonts w:ascii="Century Gothic" w:hAnsi="Century Gothic"/>
          <w:szCs w:val="20"/>
          <w:lang w:bidi="en-US"/>
        </w:rPr>
        <w:t>greement</w:t>
      </w:r>
      <w:r w:rsidRPr="004E7880">
        <w:rPr>
          <w:rFonts w:ascii="Century Gothic" w:hAnsi="Century Gothic"/>
          <w:szCs w:val="20"/>
          <w:lang w:bidi="en-US"/>
        </w:rPr>
        <w:t>.</w:t>
      </w:r>
    </w:p>
    <w:p w:rsidR="005672BB" w:rsidRPr="004E7880" w:rsidRDefault="005672BB" w:rsidP="005672BB">
      <w:pPr>
        <w:pStyle w:val="PIM-Normal"/>
        <w:numPr>
          <w:ilvl w:val="0"/>
          <w:numId w:val="2"/>
        </w:numPr>
        <w:spacing w:line="276" w:lineRule="auto"/>
        <w:rPr>
          <w:rFonts w:ascii="Century Gothic" w:hAnsi="Century Gothic"/>
          <w:szCs w:val="20"/>
          <w:lang w:bidi="en-US"/>
        </w:rPr>
      </w:pPr>
      <w:r w:rsidRPr="004E7880">
        <w:rPr>
          <w:rFonts w:ascii="Century Gothic" w:hAnsi="Century Gothic"/>
          <w:szCs w:val="20"/>
          <w:lang w:bidi="en-US"/>
        </w:rPr>
        <w:t>Operations and Maintenance of the Project Highway.</w:t>
      </w:r>
    </w:p>
    <w:p w:rsidR="005672BB" w:rsidRDefault="005672BB" w:rsidP="005672BB">
      <w:pPr>
        <w:pStyle w:val="PIM-Normal"/>
        <w:numPr>
          <w:ilvl w:val="0"/>
          <w:numId w:val="2"/>
        </w:numPr>
        <w:spacing w:line="276" w:lineRule="auto"/>
        <w:rPr>
          <w:rFonts w:ascii="Century Gothic" w:hAnsi="Century Gothic"/>
          <w:szCs w:val="20"/>
          <w:lang w:bidi="en-US"/>
        </w:rPr>
      </w:pPr>
      <w:r w:rsidRPr="004E7880">
        <w:rPr>
          <w:rFonts w:ascii="Century Gothic" w:hAnsi="Century Gothic"/>
          <w:szCs w:val="20"/>
          <w:lang w:bidi="en-US"/>
        </w:rPr>
        <w:t>Performance and fulfillment of all other obligations of the Concessionaire in accordance with the provisions of the C</w:t>
      </w:r>
      <w:r>
        <w:rPr>
          <w:rFonts w:ascii="Century Gothic" w:hAnsi="Century Gothic"/>
          <w:szCs w:val="20"/>
          <w:lang w:bidi="en-US"/>
        </w:rPr>
        <w:t xml:space="preserve">oncession </w:t>
      </w:r>
      <w:r w:rsidRPr="004E7880">
        <w:rPr>
          <w:rFonts w:ascii="Century Gothic" w:hAnsi="Century Gothic"/>
          <w:szCs w:val="20"/>
          <w:lang w:bidi="en-US"/>
        </w:rPr>
        <w:t>A</w:t>
      </w:r>
      <w:r>
        <w:rPr>
          <w:rFonts w:ascii="Century Gothic" w:hAnsi="Century Gothic"/>
          <w:szCs w:val="20"/>
          <w:lang w:bidi="en-US"/>
        </w:rPr>
        <w:t>greement</w:t>
      </w:r>
      <w:r w:rsidRPr="004E7880">
        <w:rPr>
          <w:rFonts w:ascii="Century Gothic" w:hAnsi="Century Gothic"/>
          <w:szCs w:val="20"/>
          <w:lang w:bidi="en-US"/>
        </w:rPr>
        <w:t>.</w:t>
      </w:r>
    </w:p>
    <w:p w:rsidR="005672BB" w:rsidRPr="00A71E53" w:rsidRDefault="005672BB" w:rsidP="005672BB">
      <w:pPr>
        <w:pStyle w:val="PIM-Normal"/>
        <w:numPr>
          <w:ilvl w:val="0"/>
          <w:numId w:val="2"/>
        </w:numPr>
        <w:spacing w:line="276" w:lineRule="auto"/>
        <w:rPr>
          <w:rFonts w:ascii="Century Gothic" w:hAnsi="Century Gothic"/>
          <w:szCs w:val="20"/>
          <w:lang w:bidi="en-US"/>
        </w:rPr>
      </w:pPr>
      <w:r w:rsidRPr="00A71E53">
        <w:rPr>
          <w:rFonts w:ascii="Century Gothic" w:hAnsi="Century Gothic"/>
          <w:szCs w:val="20"/>
          <w:lang w:bidi="en-US"/>
        </w:rPr>
        <w:t>Transfer of the Project Highway to NHAI at the end of the Concession Period</w:t>
      </w:r>
    </w:p>
    <w:p w:rsidR="005672BB" w:rsidRPr="00AC51B4" w:rsidRDefault="005672BB" w:rsidP="005672BB">
      <w:pPr>
        <w:pStyle w:val="Heading2"/>
        <w:tabs>
          <w:tab w:val="clear" w:pos="846"/>
        </w:tabs>
        <w:ind w:left="360" w:firstLine="0"/>
        <w:rPr>
          <w:rFonts w:ascii="Century Gothic" w:hAnsi="Century Gothic"/>
          <w:szCs w:val="20"/>
          <w:u w:val="none"/>
        </w:rPr>
      </w:pPr>
      <w:bookmarkStart w:id="0" w:name="_Toc335857380"/>
      <w:bookmarkStart w:id="1" w:name="_Toc349918348"/>
      <w:r w:rsidRPr="00AC51B4">
        <w:rPr>
          <w:rFonts w:ascii="Century Gothic" w:hAnsi="Century Gothic"/>
          <w:szCs w:val="20"/>
          <w:u w:val="none"/>
        </w:rPr>
        <w:t>Site and Location</w:t>
      </w:r>
      <w:bookmarkEnd w:id="0"/>
      <w:bookmarkEnd w:id="1"/>
    </w:p>
    <w:p w:rsidR="005672BB" w:rsidRPr="00A76187" w:rsidRDefault="005672BB" w:rsidP="005672BB">
      <w:pPr>
        <w:spacing w:after="120"/>
        <w:jc w:val="both"/>
        <w:rPr>
          <w:rFonts w:ascii="Century Gothic" w:eastAsia="Times New Roman" w:hAnsi="Century Gothic"/>
          <w:sz w:val="20"/>
          <w:szCs w:val="20"/>
          <w:lang w:bidi="en-US"/>
        </w:rPr>
      </w:pPr>
      <w:r w:rsidRPr="00A76187">
        <w:rPr>
          <w:rFonts w:ascii="Century Gothic" w:eastAsia="Times New Roman" w:hAnsi="Century Gothic"/>
          <w:sz w:val="20"/>
          <w:szCs w:val="20"/>
          <w:lang w:bidi="en-US"/>
        </w:rPr>
        <w:t xml:space="preserve">The Project stretch starts from </w:t>
      </w:r>
      <w:proofErr w:type="spellStart"/>
      <w:r>
        <w:rPr>
          <w:rFonts w:ascii="Century Gothic" w:eastAsia="Times New Roman" w:hAnsi="Century Gothic"/>
          <w:sz w:val="20"/>
          <w:szCs w:val="20"/>
          <w:lang w:bidi="en-US"/>
        </w:rPr>
        <w:t>Karur</w:t>
      </w:r>
      <w:proofErr w:type="spellEnd"/>
      <w:r w:rsidRPr="00A76187">
        <w:rPr>
          <w:rFonts w:ascii="Century Gothic" w:eastAsia="Times New Roman" w:hAnsi="Century Gothic"/>
          <w:sz w:val="20"/>
          <w:szCs w:val="20"/>
          <w:lang w:bidi="en-US"/>
        </w:rPr>
        <w:t xml:space="preserve"> (Km </w:t>
      </w:r>
      <w:r>
        <w:rPr>
          <w:rFonts w:ascii="Century Gothic" w:eastAsia="Times New Roman" w:hAnsi="Century Gothic"/>
          <w:sz w:val="20"/>
          <w:szCs w:val="20"/>
          <w:lang w:bidi="en-US"/>
        </w:rPr>
        <w:t xml:space="preserve">305.600- End of </w:t>
      </w:r>
      <w:proofErr w:type="spellStart"/>
      <w:r>
        <w:rPr>
          <w:rFonts w:ascii="Century Gothic" w:eastAsia="Times New Roman" w:hAnsi="Century Gothic"/>
          <w:sz w:val="20"/>
          <w:szCs w:val="20"/>
          <w:lang w:bidi="en-US"/>
        </w:rPr>
        <w:t>Karur</w:t>
      </w:r>
      <w:proofErr w:type="spellEnd"/>
      <w:r>
        <w:rPr>
          <w:rFonts w:ascii="Century Gothic" w:eastAsia="Times New Roman" w:hAnsi="Century Gothic"/>
          <w:sz w:val="20"/>
          <w:szCs w:val="20"/>
          <w:lang w:bidi="en-US"/>
        </w:rPr>
        <w:t xml:space="preserve"> Bypass</w:t>
      </w:r>
      <w:r w:rsidRPr="00A76187">
        <w:rPr>
          <w:rFonts w:ascii="Century Gothic" w:eastAsia="Times New Roman" w:hAnsi="Century Gothic"/>
          <w:sz w:val="20"/>
          <w:szCs w:val="20"/>
          <w:lang w:bidi="en-US"/>
        </w:rPr>
        <w:t xml:space="preserve">) and terminates at </w:t>
      </w:r>
      <w:proofErr w:type="spellStart"/>
      <w:r>
        <w:rPr>
          <w:rFonts w:ascii="Century Gothic" w:eastAsia="Times New Roman" w:hAnsi="Century Gothic"/>
          <w:sz w:val="20"/>
          <w:szCs w:val="20"/>
          <w:lang w:bidi="en-US"/>
        </w:rPr>
        <w:t>Dindigul</w:t>
      </w:r>
      <w:proofErr w:type="spellEnd"/>
      <w:r w:rsidRPr="00A76187">
        <w:rPr>
          <w:rFonts w:ascii="Century Gothic" w:eastAsia="Times New Roman" w:hAnsi="Century Gothic"/>
          <w:sz w:val="20"/>
          <w:szCs w:val="20"/>
          <w:lang w:bidi="en-US"/>
        </w:rPr>
        <w:t xml:space="preserve"> (Km </w:t>
      </w:r>
      <w:r>
        <w:rPr>
          <w:rFonts w:ascii="Century Gothic" w:eastAsia="Times New Roman" w:hAnsi="Century Gothic"/>
          <w:sz w:val="20"/>
          <w:szCs w:val="20"/>
          <w:lang w:bidi="en-US"/>
        </w:rPr>
        <w:t xml:space="preserve">373.725- Start of </w:t>
      </w:r>
      <w:proofErr w:type="spellStart"/>
      <w:r>
        <w:rPr>
          <w:rFonts w:ascii="Century Gothic" w:eastAsia="Times New Roman" w:hAnsi="Century Gothic"/>
          <w:sz w:val="20"/>
          <w:szCs w:val="20"/>
          <w:lang w:bidi="en-US"/>
        </w:rPr>
        <w:t>Dindigul</w:t>
      </w:r>
      <w:proofErr w:type="spellEnd"/>
      <w:r>
        <w:rPr>
          <w:rFonts w:ascii="Century Gothic" w:eastAsia="Times New Roman" w:hAnsi="Century Gothic"/>
          <w:sz w:val="20"/>
          <w:szCs w:val="20"/>
          <w:lang w:bidi="en-US"/>
        </w:rPr>
        <w:t xml:space="preserve"> Bypass</w:t>
      </w:r>
      <w:r w:rsidRPr="00A76187">
        <w:rPr>
          <w:rFonts w:ascii="Century Gothic" w:eastAsia="Times New Roman" w:hAnsi="Century Gothic"/>
          <w:sz w:val="20"/>
          <w:szCs w:val="20"/>
          <w:lang w:bidi="en-US"/>
        </w:rPr>
        <w:t xml:space="preserve">) and </w:t>
      </w:r>
      <w:r>
        <w:rPr>
          <w:rFonts w:ascii="Century Gothic" w:eastAsia="Times New Roman" w:hAnsi="Century Gothic"/>
          <w:sz w:val="20"/>
          <w:szCs w:val="20"/>
          <w:lang w:bidi="en-US"/>
        </w:rPr>
        <w:t>is part of Bangalore-Salem-Madurai section of NH7 which connects Varanasi (Uttar Pradesh) and Kanyakumari (Tamil Nadu)</w:t>
      </w:r>
      <w:r w:rsidRPr="00A76187">
        <w:rPr>
          <w:rFonts w:ascii="Century Gothic" w:eastAsia="Times New Roman" w:hAnsi="Century Gothic"/>
          <w:sz w:val="20"/>
          <w:szCs w:val="20"/>
          <w:lang w:bidi="en-US"/>
        </w:rPr>
        <w:t xml:space="preserve">. </w:t>
      </w:r>
      <w:r>
        <w:rPr>
          <w:rFonts w:ascii="Century Gothic" w:eastAsia="Times New Roman" w:hAnsi="Century Gothic"/>
          <w:sz w:val="20"/>
          <w:szCs w:val="20"/>
          <w:lang w:bidi="en-US"/>
        </w:rPr>
        <w:t>NH-</w:t>
      </w:r>
      <w:r w:rsidRPr="00A76187">
        <w:rPr>
          <w:rFonts w:ascii="Century Gothic" w:eastAsia="Times New Roman" w:hAnsi="Century Gothic"/>
          <w:sz w:val="20"/>
          <w:szCs w:val="20"/>
          <w:lang w:bidi="en-US"/>
        </w:rPr>
        <w:t xml:space="preserve">7 originates from </w:t>
      </w:r>
      <w:r>
        <w:rPr>
          <w:rFonts w:ascii="Century Gothic" w:eastAsia="Times New Roman" w:hAnsi="Century Gothic"/>
          <w:sz w:val="20"/>
          <w:szCs w:val="20"/>
          <w:lang w:bidi="en-US"/>
        </w:rPr>
        <w:t>Varanasi</w:t>
      </w:r>
      <w:r w:rsidRPr="00A76187">
        <w:rPr>
          <w:rFonts w:ascii="Century Gothic" w:eastAsia="Times New Roman" w:hAnsi="Century Gothic"/>
          <w:sz w:val="20"/>
          <w:szCs w:val="20"/>
          <w:lang w:bidi="en-US"/>
        </w:rPr>
        <w:t xml:space="preserve"> (Km 0.000), in the state of </w:t>
      </w:r>
      <w:r>
        <w:rPr>
          <w:rFonts w:ascii="Century Gothic" w:eastAsia="Times New Roman" w:hAnsi="Century Gothic"/>
          <w:sz w:val="20"/>
          <w:szCs w:val="20"/>
          <w:lang w:bidi="en-US"/>
        </w:rPr>
        <w:t xml:space="preserve">Uttar Pradesh. It is a part of North-South corridor being developed under NHDP (Phase II) connecting Srinagar (J&amp;K) and Kanyakumari. Section between Km 292.600 (start of </w:t>
      </w:r>
      <w:proofErr w:type="spellStart"/>
      <w:r>
        <w:rPr>
          <w:rFonts w:ascii="Century Gothic" w:eastAsia="Times New Roman" w:hAnsi="Century Gothic"/>
          <w:sz w:val="20"/>
          <w:szCs w:val="20"/>
          <w:lang w:bidi="en-US"/>
        </w:rPr>
        <w:t>Karur</w:t>
      </w:r>
      <w:proofErr w:type="spellEnd"/>
      <w:r>
        <w:rPr>
          <w:rFonts w:ascii="Century Gothic" w:eastAsia="Times New Roman" w:hAnsi="Century Gothic"/>
          <w:sz w:val="20"/>
          <w:szCs w:val="20"/>
          <w:lang w:bidi="en-US"/>
        </w:rPr>
        <w:t xml:space="preserve"> Bypass) to Km 305.600 (End of </w:t>
      </w:r>
      <w:proofErr w:type="spellStart"/>
      <w:r>
        <w:rPr>
          <w:rFonts w:ascii="Century Gothic" w:eastAsia="Times New Roman" w:hAnsi="Century Gothic"/>
          <w:sz w:val="20"/>
          <w:szCs w:val="20"/>
          <w:lang w:bidi="en-US"/>
        </w:rPr>
        <w:t>Karur</w:t>
      </w:r>
      <w:proofErr w:type="spellEnd"/>
      <w:r>
        <w:rPr>
          <w:rFonts w:ascii="Century Gothic" w:eastAsia="Times New Roman" w:hAnsi="Century Gothic"/>
          <w:sz w:val="20"/>
          <w:szCs w:val="20"/>
          <w:lang w:bidi="en-US"/>
        </w:rPr>
        <w:t xml:space="preserve"> Bypass) is already a four </w:t>
      </w:r>
      <w:proofErr w:type="spellStart"/>
      <w:r>
        <w:rPr>
          <w:rFonts w:ascii="Century Gothic" w:eastAsia="Times New Roman" w:hAnsi="Century Gothic"/>
          <w:sz w:val="20"/>
          <w:szCs w:val="20"/>
          <w:lang w:bidi="en-US"/>
        </w:rPr>
        <w:t>laned</w:t>
      </w:r>
      <w:proofErr w:type="spellEnd"/>
      <w:r>
        <w:rPr>
          <w:rFonts w:ascii="Century Gothic" w:eastAsia="Times New Roman" w:hAnsi="Century Gothic"/>
          <w:sz w:val="20"/>
          <w:szCs w:val="20"/>
          <w:lang w:bidi="en-US"/>
        </w:rPr>
        <w:t xml:space="preserve"> stretch located with </w:t>
      </w:r>
      <w:proofErr w:type="spellStart"/>
      <w:r>
        <w:rPr>
          <w:rFonts w:ascii="Century Gothic" w:eastAsia="Times New Roman" w:hAnsi="Century Gothic"/>
          <w:sz w:val="20"/>
          <w:szCs w:val="20"/>
          <w:lang w:bidi="en-US"/>
        </w:rPr>
        <w:t>Karur</w:t>
      </w:r>
      <w:proofErr w:type="spellEnd"/>
      <w:r>
        <w:rPr>
          <w:rFonts w:ascii="Century Gothic" w:eastAsia="Times New Roman" w:hAnsi="Century Gothic"/>
          <w:sz w:val="20"/>
          <w:szCs w:val="20"/>
          <w:lang w:bidi="en-US"/>
        </w:rPr>
        <w:t xml:space="preserve"> and </w:t>
      </w:r>
      <w:proofErr w:type="spellStart"/>
      <w:r>
        <w:rPr>
          <w:rFonts w:ascii="Century Gothic" w:eastAsia="Times New Roman" w:hAnsi="Century Gothic"/>
          <w:sz w:val="20"/>
          <w:szCs w:val="20"/>
          <w:lang w:bidi="en-US"/>
        </w:rPr>
        <w:t>Dindigul</w:t>
      </w:r>
      <w:proofErr w:type="spellEnd"/>
      <w:r>
        <w:rPr>
          <w:rFonts w:ascii="Century Gothic" w:eastAsia="Times New Roman" w:hAnsi="Century Gothic"/>
          <w:sz w:val="20"/>
          <w:szCs w:val="20"/>
          <w:lang w:bidi="en-US"/>
        </w:rPr>
        <w:t xml:space="preserve"> district of Tamil Nadu. </w:t>
      </w:r>
    </w:p>
    <w:p w:rsidR="005672BB" w:rsidRPr="00DA5BC9" w:rsidRDefault="005672BB" w:rsidP="005672BB">
      <w:pPr>
        <w:pStyle w:val="Heading2"/>
        <w:tabs>
          <w:tab w:val="clear" w:pos="846"/>
        </w:tabs>
        <w:ind w:left="360" w:firstLine="0"/>
        <w:rPr>
          <w:rFonts w:ascii="Century Gothic" w:hAnsi="Century Gothic"/>
          <w:szCs w:val="20"/>
          <w:u w:val="none"/>
        </w:rPr>
      </w:pPr>
      <w:bookmarkStart w:id="2" w:name="_Toc335857382"/>
      <w:bookmarkStart w:id="3" w:name="_Toc349918349"/>
      <w:r w:rsidRPr="00752738">
        <w:rPr>
          <w:rFonts w:ascii="Century Gothic" w:hAnsi="Century Gothic"/>
          <w:szCs w:val="20"/>
          <w:u w:val="none"/>
        </w:rPr>
        <w:t>Project Key Events</w:t>
      </w:r>
      <w:bookmarkEnd w:id="2"/>
      <w:bookmarkEnd w:id="3"/>
    </w:p>
    <w:tbl>
      <w:tblPr>
        <w:tblW w:w="38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2575"/>
      </w:tblGrid>
      <w:tr w:rsidR="005672BB" w:rsidRPr="008922D1" w:rsidTr="00973F1C">
        <w:trPr>
          <w:jc w:val="center"/>
        </w:trPr>
        <w:tc>
          <w:tcPr>
            <w:tcW w:w="3211" w:type="pct"/>
            <w:shd w:val="clear" w:color="auto" w:fill="1F497D"/>
            <w:vAlign w:val="center"/>
          </w:tcPr>
          <w:p w:rsidR="005672BB" w:rsidRPr="008922D1" w:rsidRDefault="005672BB" w:rsidP="00973F1C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color w:val="FFFFFF"/>
                <w:sz w:val="20"/>
                <w:szCs w:val="20"/>
                <w:lang w:bidi="en-US"/>
              </w:rPr>
            </w:pPr>
            <w:r w:rsidRPr="008922D1">
              <w:rPr>
                <w:rFonts w:ascii="Century Gothic" w:hAnsi="Century Gothic"/>
                <w:b/>
                <w:color w:val="FFFFFF"/>
                <w:sz w:val="20"/>
                <w:szCs w:val="20"/>
                <w:lang w:bidi="en-US"/>
              </w:rPr>
              <w:t>Event</w:t>
            </w:r>
          </w:p>
        </w:tc>
        <w:tc>
          <w:tcPr>
            <w:tcW w:w="1789" w:type="pct"/>
            <w:shd w:val="clear" w:color="auto" w:fill="1F497D"/>
            <w:vAlign w:val="center"/>
          </w:tcPr>
          <w:p w:rsidR="005672BB" w:rsidRPr="008922D1" w:rsidRDefault="005672BB" w:rsidP="00973F1C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color w:val="FFFFFF"/>
                <w:sz w:val="20"/>
                <w:szCs w:val="20"/>
                <w:lang w:bidi="en-US"/>
              </w:rPr>
            </w:pPr>
            <w:r w:rsidRPr="008922D1">
              <w:rPr>
                <w:rFonts w:ascii="Century Gothic" w:hAnsi="Century Gothic"/>
                <w:b/>
                <w:color w:val="FFFFFF"/>
                <w:sz w:val="20"/>
                <w:szCs w:val="20"/>
                <w:lang w:bidi="en-US"/>
              </w:rPr>
              <w:t>Date</w:t>
            </w:r>
          </w:p>
        </w:tc>
      </w:tr>
      <w:tr w:rsidR="005672BB" w:rsidRPr="008922D1" w:rsidTr="00973F1C">
        <w:trPr>
          <w:jc w:val="center"/>
        </w:trPr>
        <w:tc>
          <w:tcPr>
            <w:tcW w:w="3211" w:type="pct"/>
            <w:shd w:val="clear" w:color="auto" w:fill="auto"/>
          </w:tcPr>
          <w:p w:rsidR="005672BB" w:rsidRPr="008922D1" w:rsidRDefault="005672BB" w:rsidP="00973F1C">
            <w:pPr>
              <w:pStyle w:val="NoSpacing"/>
              <w:spacing w:line="276" w:lineRule="auto"/>
              <w:jc w:val="left"/>
              <w:rPr>
                <w:rFonts w:ascii="Century Gothic" w:hAnsi="Century Gothic"/>
                <w:sz w:val="20"/>
                <w:szCs w:val="20"/>
                <w:lang w:bidi="en-US"/>
              </w:rPr>
            </w:pPr>
            <w:r w:rsidRPr="008922D1">
              <w:rPr>
                <w:rFonts w:ascii="Century Gothic" w:hAnsi="Century Gothic"/>
                <w:sz w:val="20"/>
                <w:szCs w:val="20"/>
                <w:lang w:bidi="en-US"/>
              </w:rPr>
              <w:t>Signing of Concession agreement</w:t>
            </w:r>
          </w:p>
        </w:tc>
        <w:tc>
          <w:tcPr>
            <w:tcW w:w="1789" w:type="pct"/>
            <w:shd w:val="clear" w:color="auto" w:fill="auto"/>
          </w:tcPr>
          <w:p w:rsidR="005672BB" w:rsidRPr="008922D1" w:rsidRDefault="005672BB" w:rsidP="00973F1C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bidi="en-US"/>
              </w:rPr>
            </w:pPr>
            <w:r>
              <w:rPr>
                <w:rFonts w:ascii="Century Gothic" w:hAnsi="Century Gothic"/>
                <w:sz w:val="20"/>
                <w:szCs w:val="20"/>
                <w:lang w:bidi="en-US"/>
              </w:rPr>
              <w:t>20</w:t>
            </w:r>
            <w:r w:rsidRPr="008922D1">
              <w:rPr>
                <w:rFonts w:ascii="Century Gothic" w:hAnsi="Century Gothic"/>
                <w:sz w:val="20"/>
                <w:szCs w:val="20"/>
                <w:vertAlign w:val="superscript"/>
                <w:lang w:bidi="en-US"/>
              </w:rPr>
              <w:t>th</w:t>
            </w:r>
            <w:r w:rsidRPr="008922D1">
              <w:rPr>
                <w:rFonts w:ascii="Century Gothic" w:hAnsi="Century Gothic"/>
                <w:sz w:val="20"/>
                <w:szCs w:val="20"/>
                <w:lang w:bidi="en-US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  <w:lang w:bidi="en-US"/>
              </w:rPr>
              <w:t>April</w:t>
            </w:r>
            <w:r w:rsidRPr="008922D1">
              <w:rPr>
                <w:rFonts w:ascii="Century Gothic" w:hAnsi="Century Gothic"/>
                <w:sz w:val="20"/>
                <w:szCs w:val="20"/>
                <w:lang w:bidi="en-US"/>
              </w:rPr>
              <w:t xml:space="preserve"> 2006</w:t>
            </w:r>
          </w:p>
        </w:tc>
      </w:tr>
      <w:tr w:rsidR="005672BB" w:rsidRPr="008922D1" w:rsidTr="00973F1C">
        <w:trPr>
          <w:jc w:val="center"/>
        </w:trPr>
        <w:tc>
          <w:tcPr>
            <w:tcW w:w="3211" w:type="pct"/>
            <w:shd w:val="clear" w:color="auto" w:fill="auto"/>
          </w:tcPr>
          <w:p w:rsidR="005672BB" w:rsidRPr="008922D1" w:rsidRDefault="005672BB" w:rsidP="00973F1C">
            <w:pPr>
              <w:pStyle w:val="NoSpacing"/>
              <w:spacing w:line="276" w:lineRule="auto"/>
              <w:jc w:val="left"/>
              <w:rPr>
                <w:rFonts w:ascii="Century Gothic" w:hAnsi="Century Gothic"/>
                <w:sz w:val="20"/>
                <w:szCs w:val="20"/>
                <w:lang w:bidi="en-US"/>
              </w:rPr>
            </w:pPr>
            <w:r w:rsidRPr="008922D1">
              <w:rPr>
                <w:rFonts w:ascii="Century Gothic" w:hAnsi="Century Gothic"/>
                <w:sz w:val="20"/>
                <w:szCs w:val="20"/>
                <w:lang w:bidi="en-US"/>
              </w:rPr>
              <w:t>Appoint</w:t>
            </w:r>
            <w:r>
              <w:rPr>
                <w:rFonts w:ascii="Century Gothic" w:hAnsi="Century Gothic"/>
                <w:sz w:val="20"/>
                <w:szCs w:val="20"/>
                <w:lang w:bidi="en-US"/>
              </w:rPr>
              <w:t>ed</w:t>
            </w:r>
            <w:r w:rsidRPr="008922D1">
              <w:rPr>
                <w:rFonts w:ascii="Century Gothic" w:hAnsi="Century Gothic"/>
                <w:sz w:val="20"/>
                <w:szCs w:val="20"/>
                <w:lang w:bidi="en-US"/>
              </w:rPr>
              <w:t xml:space="preserve"> Date</w:t>
            </w:r>
          </w:p>
        </w:tc>
        <w:tc>
          <w:tcPr>
            <w:tcW w:w="1789" w:type="pct"/>
            <w:shd w:val="clear" w:color="auto" w:fill="auto"/>
          </w:tcPr>
          <w:p w:rsidR="005672BB" w:rsidRPr="008922D1" w:rsidRDefault="005672BB" w:rsidP="00973F1C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bidi="en-US"/>
              </w:rPr>
            </w:pPr>
            <w:r>
              <w:rPr>
                <w:rFonts w:ascii="Century Gothic" w:hAnsi="Century Gothic"/>
                <w:sz w:val="20"/>
                <w:szCs w:val="20"/>
                <w:lang w:bidi="en-US"/>
              </w:rPr>
              <w:t>17</w:t>
            </w:r>
            <w:r w:rsidRPr="008922D1">
              <w:rPr>
                <w:rFonts w:ascii="Century Gothic" w:hAnsi="Century Gothic"/>
                <w:sz w:val="20"/>
                <w:szCs w:val="20"/>
                <w:vertAlign w:val="superscript"/>
                <w:lang w:bidi="en-US"/>
              </w:rPr>
              <w:t>th</w:t>
            </w:r>
            <w:r w:rsidRPr="008922D1">
              <w:rPr>
                <w:rFonts w:ascii="Century Gothic" w:hAnsi="Century Gothic"/>
                <w:sz w:val="20"/>
                <w:szCs w:val="20"/>
                <w:lang w:bidi="en-US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  <w:lang w:bidi="en-US"/>
              </w:rPr>
              <w:t>October</w:t>
            </w:r>
            <w:r w:rsidRPr="008922D1">
              <w:rPr>
                <w:rFonts w:ascii="Century Gothic" w:hAnsi="Century Gothic"/>
                <w:sz w:val="20"/>
                <w:szCs w:val="20"/>
                <w:lang w:bidi="en-US"/>
              </w:rPr>
              <w:t xml:space="preserve"> 2006</w:t>
            </w:r>
          </w:p>
        </w:tc>
      </w:tr>
      <w:tr w:rsidR="005672BB" w:rsidRPr="008922D1" w:rsidTr="00973F1C">
        <w:trPr>
          <w:jc w:val="center"/>
        </w:trPr>
        <w:tc>
          <w:tcPr>
            <w:tcW w:w="3211" w:type="pct"/>
            <w:shd w:val="clear" w:color="auto" w:fill="auto"/>
          </w:tcPr>
          <w:p w:rsidR="005672BB" w:rsidRPr="008922D1" w:rsidRDefault="005672BB" w:rsidP="00973F1C">
            <w:pPr>
              <w:pStyle w:val="NoSpacing"/>
              <w:spacing w:line="276" w:lineRule="auto"/>
              <w:jc w:val="left"/>
              <w:rPr>
                <w:rFonts w:ascii="Century Gothic" w:hAnsi="Century Gothic"/>
                <w:sz w:val="20"/>
                <w:szCs w:val="20"/>
                <w:lang w:bidi="en-US"/>
              </w:rPr>
            </w:pPr>
            <w:r>
              <w:rPr>
                <w:rFonts w:ascii="Century Gothic" w:hAnsi="Century Gothic"/>
                <w:sz w:val="20"/>
                <w:szCs w:val="20"/>
                <w:lang w:bidi="en-US"/>
              </w:rPr>
              <w:t>Scheduled Commercial Operations date</w:t>
            </w:r>
          </w:p>
        </w:tc>
        <w:tc>
          <w:tcPr>
            <w:tcW w:w="1789" w:type="pct"/>
            <w:shd w:val="clear" w:color="auto" w:fill="auto"/>
          </w:tcPr>
          <w:p w:rsidR="005672BB" w:rsidRPr="008922D1" w:rsidRDefault="005672BB" w:rsidP="00973F1C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bidi="en-US"/>
              </w:rPr>
            </w:pPr>
            <w:r>
              <w:rPr>
                <w:rFonts w:ascii="Century Gothic" w:hAnsi="Century Gothic"/>
                <w:sz w:val="20"/>
                <w:szCs w:val="20"/>
                <w:lang w:bidi="en-US"/>
              </w:rPr>
              <w:t>16</w:t>
            </w:r>
            <w:r w:rsidRPr="00A82028">
              <w:rPr>
                <w:rFonts w:ascii="Century Gothic" w:hAnsi="Century Gothic"/>
                <w:sz w:val="20"/>
                <w:szCs w:val="20"/>
                <w:vertAlign w:val="superscript"/>
                <w:lang w:bidi="en-US"/>
              </w:rPr>
              <w:t>th</w:t>
            </w:r>
            <w:r>
              <w:rPr>
                <w:rFonts w:ascii="Century Gothic" w:hAnsi="Century Gothic"/>
                <w:sz w:val="20"/>
                <w:szCs w:val="20"/>
                <w:lang w:bidi="en-US"/>
              </w:rPr>
              <w:t xml:space="preserve"> April 2009</w:t>
            </w:r>
          </w:p>
        </w:tc>
      </w:tr>
      <w:tr w:rsidR="005672BB" w:rsidRPr="008922D1" w:rsidTr="00973F1C">
        <w:trPr>
          <w:jc w:val="center"/>
        </w:trPr>
        <w:tc>
          <w:tcPr>
            <w:tcW w:w="3211" w:type="pct"/>
            <w:shd w:val="clear" w:color="auto" w:fill="auto"/>
          </w:tcPr>
          <w:p w:rsidR="005672BB" w:rsidRDefault="005672BB" w:rsidP="00973F1C">
            <w:pPr>
              <w:pStyle w:val="NoSpacing"/>
              <w:spacing w:line="276" w:lineRule="auto"/>
              <w:jc w:val="left"/>
              <w:rPr>
                <w:rFonts w:ascii="Century Gothic" w:hAnsi="Century Gothic"/>
                <w:sz w:val="20"/>
                <w:szCs w:val="20"/>
                <w:lang w:bidi="en-US"/>
              </w:rPr>
            </w:pPr>
            <w:r>
              <w:rPr>
                <w:rFonts w:ascii="Century Gothic" w:hAnsi="Century Gothic"/>
                <w:sz w:val="20"/>
                <w:szCs w:val="20"/>
                <w:lang w:bidi="en-US"/>
              </w:rPr>
              <w:t>Provisional COD</w:t>
            </w:r>
          </w:p>
        </w:tc>
        <w:tc>
          <w:tcPr>
            <w:tcW w:w="1789" w:type="pct"/>
            <w:shd w:val="clear" w:color="auto" w:fill="auto"/>
          </w:tcPr>
          <w:p w:rsidR="005672BB" w:rsidRDefault="005672BB" w:rsidP="00973F1C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bidi="en-US"/>
              </w:rPr>
            </w:pPr>
            <w:r>
              <w:rPr>
                <w:rFonts w:ascii="Century Gothic" w:hAnsi="Century Gothic"/>
                <w:sz w:val="20"/>
                <w:szCs w:val="20"/>
                <w:lang w:bidi="en-US"/>
              </w:rPr>
              <w:t>5</w:t>
            </w:r>
            <w:r w:rsidRPr="0036180A">
              <w:rPr>
                <w:rFonts w:ascii="Century Gothic" w:hAnsi="Century Gothic"/>
                <w:sz w:val="20"/>
                <w:szCs w:val="20"/>
                <w:vertAlign w:val="superscript"/>
                <w:lang w:bidi="en-US"/>
              </w:rPr>
              <w:t>th</w:t>
            </w:r>
            <w:r>
              <w:rPr>
                <w:rFonts w:ascii="Century Gothic" w:hAnsi="Century Gothic"/>
                <w:sz w:val="20"/>
                <w:szCs w:val="20"/>
                <w:lang w:bidi="en-US"/>
              </w:rPr>
              <w:t xml:space="preserve"> November 2009</w:t>
            </w:r>
          </w:p>
        </w:tc>
      </w:tr>
      <w:tr w:rsidR="005672BB" w:rsidRPr="008922D1" w:rsidTr="00973F1C">
        <w:trPr>
          <w:jc w:val="center"/>
        </w:trPr>
        <w:tc>
          <w:tcPr>
            <w:tcW w:w="3211" w:type="pct"/>
            <w:shd w:val="clear" w:color="auto" w:fill="auto"/>
          </w:tcPr>
          <w:p w:rsidR="005672BB" w:rsidRPr="008922D1" w:rsidRDefault="005672BB" w:rsidP="00973F1C">
            <w:pPr>
              <w:pStyle w:val="NoSpacing"/>
              <w:spacing w:line="276" w:lineRule="auto"/>
              <w:jc w:val="left"/>
              <w:rPr>
                <w:rFonts w:ascii="Century Gothic" w:hAnsi="Century Gothic"/>
                <w:sz w:val="20"/>
                <w:szCs w:val="20"/>
                <w:lang w:bidi="en-US"/>
              </w:rPr>
            </w:pPr>
            <w:r>
              <w:rPr>
                <w:rFonts w:ascii="Century Gothic" w:hAnsi="Century Gothic"/>
                <w:sz w:val="20"/>
                <w:szCs w:val="20"/>
                <w:lang w:bidi="en-US"/>
              </w:rPr>
              <w:t>End of Concession  Period</w:t>
            </w:r>
          </w:p>
        </w:tc>
        <w:tc>
          <w:tcPr>
            <w:tcW w:w="1789" w:type="pct"/>
            <w:shd w:val="clear" w:color="auto" w:fill="auto"/>
          </w:tcPr>
          <w:p w:rsidR="005672BB" w:rsidRPr="008922D1" w:rsidRDefault="005672BB" w:rsidP="00973F1C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bidi="en-US"/>
              </w:rPr>
            </w:pPr>
            <w:r>
              <w:rPr>
                <w:rFonts w:ascii="Century Gothic" w:hAnsi="Century Gothic"/>
                <w:sz w:val="20"/>
                <w:szCs w:val="20"/>
                <w:lang w:bidi="en-US"/>
              </w:rPr>
              <w:t>16</w:t>
            </w:r>
            <w:r w:rsidRPr="00A82028">
              <w:rPr>
                <w:rFonts w:ascii="Century Gothic" w:hAnsi="Century Gothic"/>
                <w:sz w:val="20"/>
                <w:szCs w:val="20"/>
                <w:vertAlign w:val="superscript"/>
                <w:lang w:bidi="en-US"/>
              </w:rPr>
              <w:t>th</w:t>
            </w:r>
            <w:r>
              <w:rPr>
                <w:rFonts w:ascii="Century Gothic" w:hAnsi="Century Gothic"/>
                <w:sz w:val="20"/>
                <w:szCs w:val="20"/>
                <w:lang w:bidi="en-US"/>
              </w:rPr>
              <w:t xml:space="preserve"> October  2026</w:t>
            </w:r>
          </w:p>
        </w:tc>
      </w:tr>
    </w:tbl>
    <w:p w:rsidR="005672BB" w:rsidRDefault="005672BB" w:rsidP="005672BB">
      <w:pPr>
        <w:pStyle w:val="Caption"/>
        <w:jc w:val="center"/>
      </w:pPr>
      <w:bookmarkStart w:id="4" w:name="_Toc348728967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21</w:t>
      </w:r>
      <w:r>
        <w:fldChar w:fldCharType="end"/>
      </w:r>
      <w:r>
        <w:t>: Project Key Events</w:t>
      </w:r>
      <w:bookmarkEnd w:id="4"/>
    </w:p>
    <w:p w:rsidR="005672BB" w:rsidRDefault="005672BB" w:rsidP="005672BB">
      <w:pPr>
        <w:pStyle w:val="Heading2"/>
        <w:tabs>
          <w:tab w:val="clear" w:pos="846"/>
        </w:tabs>
        <w:ind w:left="360" w:firstLine="0"/>
        <w:rPr>
          <w:rFonts w:ascii="Century Gothic" w:hAnsi="Century Gothic"/>
          <w:szCs w:val="20"/>
          <w:u w:val="none"/>
        </w:rPr>
      </w:pPr>
      <w:bookmarkStart w:id="5" w:name="_Toc336272719"/>
      <w:bookmarkStart w:id="6" w:name="_Toc336274169"/>
      <w:bookmarkStart w:id="7" w:name="_Toc336274354"/>
      <w:bookmarkStart w:id="8" w:name="_Toc349918350"/>
      <w:bookmarkEnd w:id="5"/>
      <w:bookmarkEnd w:id="6"/>
      <w:bookmarkEnd w:id="7"/>
      <w:r w:rsidRPr="00772F25">
        <w:rPr>
          <w:rFonts w:ascii="Century Gothic" w:hAnsi="Century Gothic"/>
          <w:szCs w:val="20"/>
          <w:u w:val="none"/>
        </w:rPr>
        <w:t>Project Cost</w:t>
      </w:r>
      <w:bookmarkEnd w:id="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1"/>
        <w:gridCol w:w="1928"/>
        <w:gridCol w:w="1368"/>
        <w:gridCol w:w="1474"/>
      </w:tblGrid>
      <w:tr w:rsidR="005672BB" w:rsidRPr="00FB2D29" w:rsidTr="00973F1C">
        <w:trPr>
          <w:trHeight w:val="540"/>
          <w:jc w:val="center"/>
        </w:trPr>
        <w:tc>
          <w:tcPr>
            <w:tcW w:w="0" w:type="auto"/>
            <w:shd w:val="clear" w:color="auto" w:fill="1F497D"/>
            <w:vAlign w:val="center"/>
            <w:hideMark/>
          </w:tcPr>
          <w:p w:rsidR="005672BB" w:rsidRPr="00A56DEA" w:rsidRDefault="005672BB" w:rsidP="00973F1C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A56DEA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Particulars</w:t>
            </w:r>
          </w:p>
        </w:tc>
        <w:tc>
          <w:tcPr>
            <w:tcW w:w="0" w:type="auto"/>
            <w:shd w:val="clear" w:color="auto" w:fill="1F497D"/>
            <w:vAlign w:val="center"/>
            <w:hideMark/>
          </w:tcPr>
          <w:p w:rsidR="005672BB" w:rsidRDefault="005672BB" w:rsidP="00973F1C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 xml:space="preserve">Original Estimates </w:t>
            </w:r>
          </w:p>
          <w:p w:rsidR="005672BB" w:rsidRPr="00A56DEA" w:rsidRDefault="005672BB" w:rsidP="00973F1C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A56DEA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(</w:t>
            </w:r>
            <w:proofErr w:type="spellStart"/>
            <w:r w:rsidRPr="00A56DEA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Rs</w:t>
            </w:r>
            <w:proofErr w:type="spellEnd"/>
            <w:r w:rsidRPr="00A56DEA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. Crore)</w:t>
            </w:r>
          </w:p>
        </w:tc>
        <w:tc>
          <w:tcPr>
            <w:tcW w:w="0" w:type="auto"/>
            <w:shd w:val="clear" w:color="auto" w:fill="1F497D"/>
            <w:vAlign w:val="center"/>
          </w:tcPr>
          <w:p w:rsidR="005672BB" w:rsidRPr="006B503A" w:rsidRDefault="005672BB" w:rsidP="00973F1C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6B503A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Actual Cost</w:t>
            </w:r>
          </w:p>
          <w:p w:rsidR="005672BB" w:rsidRPr="00AD0179" w:rsidRDefault="005672BB" w:rsidP="005672BB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color w:val="FFFFFF"/>
                <w:sz w:val="20"/>
                <w:szCs w:val="20"/>
                <w:highlight w:val="yellow"/>
              </w:rPr>
            </w:pPr>
            <w:r w:rsidRPr="006B503A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(</w:t>
            </w:r>
            <w:proofErr w:type="spellStart"/>
            <w:r w:rsidRPr="006B503A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Rs</w:t>
            </w:r>
            <w:proofErr w:type="spellEnd"/>
            <w:r w:rsidRPr="006B503A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. Cro</w:t>
            </w:r>
            <w:r w:rsidRPr="007C2DB3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re</w:t>
            </w:r>
            <w:r w:rsidRPr="006B503A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 xml:space="preserve"> s</w:t>
            </w:r>
            <w:r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)</w:t>
            </w:r>
          </w:p>
        </w:tc>
        <w:tc>
          <w:tcPr>
            <w:tcW w:w="1474" w:type="dxa"/>
            <w:shd w:val="clear" w:color="auto" w:fill="1F497D"/>
          </w:tcPr>
          <w:p w:rsidR="005672BB" w:rsidRPr="00A56DEA" w:rsidRDefault="005672BB" w:rsidP="00973F1C">
            <w:pPr>
              <w:pStyle w:val="NoSpacing"/>
              <w:spacing w:line="276" w:lineRule="auto"/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</w:p>
          <w:p w:rsidR="005672BB" w:rsidRPr="00A56DEA" w:rsidRDefault="005672BB" w:rsidP="00973F1C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A56DEA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Difference</w:t>
            </w:r>
          </w:p>
        </w:tc>
      </w:tr>
      <w:tr w:rsidR="005672BB" w:rsidRPr="00FB2D29" w:rsidTr="00973F1C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672BB" w:rsidRPr="00FB2D29" w:rsidRDefault="005672BB" w:rsidP="00973F1C">
            <w:pPr>
              <w:pStyle w:val="NoSpacing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FB2D29">
              <w:rPr>
                <w:rFonts w:ascii="Century Gothic" w:hAnsi="Century Gothic"/>
                <w:sz w:val="20"/>
                <w:szCs w:val="20"/>
              </w:rPr>
              <w:t>EPC Cost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72BB" w:rsidRPr="00FB2D29" w:rsidRDefault="005672BB" w:rsidP="00973F1C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330.00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72BB" w:rsidRPr="00313B9B" w:rsidRDefault="005672BB" w:rsidP="00973F1C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B9B">
              <w:rPr>
                <w:rFonts w:ascii="Century Gothic" w:hAnsi="Century Gothic"/>
                <w:sz w:val="20"/>
                <w:szCs w:val="20"/>
              </w:rPr>
              <w:t>330.00</w:t>
            </w:r>
          </w:p>
        </w:tc>
        <w:tc>
          <w:tcPr>
            <w:tcW w:w="1474" w:type="dxa"/>
            <w:vAlign w:val="center"/>
          </w:tcPr>
          <w:p w:rsidR="005672BB" w:rsidRPr="00FB2D29" w:rsidRDefault="005672BB" w:rsidP="00973F1C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</w:tr>
      <w:tr w:rsidR="005672BB" w:rsidRPr="00FB2D29" w:rsidTr="00973F1C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672BB" w:rsidRPr="00FB2D29" w:rsidRDefault="005672BB" w:rsidP="00973F1C">
            <w:pPr>
              <w:pStyle w:val="NoSpacing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FB2D29">
              <w:rPr>
                <w:rFonts w:ascii="Century Gothic" w:hAnsi="Century Gothic"/>
                <w:sz w:val="20"/>
                <w:szCs w:val="20"/>
              </w:rPr>
              <w:t>Design &amp; Engineering Expenses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72BB" w:rsidRPr="00FB2D29" w:rsidRDefault="005672BB" w:rsidP="00973F1C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8.25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72BB" w:rsidRPr="00313B9B" w:rsidRDefault="005672BB" w:rsidP="00973F1C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B9B">
              <w:rPr>
                <w:rFonts w:ascii="Century Gothic" w:hAnsi="Century Gothic"/>
                <w:sz w:val="20"/>
                <w:szCs w:val="20"/>
              </w:rPr>
              <w:t>4.04</w:t>
            </w:r>
          </w:p>
        </w:tc>
        <w:tc>
          <w:tcPr>
            <w:tcW w:w="1474" w:type="dxa"/>
            <w:vAlign w:val="center"/>
          </w:tcPr>
          <w:p w:rsidR="005672BB" w:rsidRPr="00FB2D29" w:rsidRDefault="005672BB" w:rsidP="00973F1C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-4.21</w:t>
            </w:r>
          </w:p>
        </w:tc>
      </w:tr>
      <w:tr w:rsidR="005672BB" w:rsidRPr="00FB2D29" w:rsidTr="00973F1C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672BB" w:rsidRPr="00FB2D29" w:rsidRDefault="005672BB" w:rsidP="00973F1C">
            <w:pPr>
              <w:pStyle w:val="NoSpacing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FB2D29">
              <w:rPr>
                <w:rFonts w:ascii="Century Gothic" w:hAnsi="Century Gothic"/>
                <w:sz w:val="20"/>
                <w:szCs w:val="20"/>
              </w:rPr>
              <w:t>Financial Fees and Expenses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72BB" w:rsidRPr="00FB2D29" w:rsidRDefault="005672BB" w:rsidP="00973F1C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3.13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72BB" w:rsidRPr="00313B9B" w:rsidRDefault="005672BB" w:rsidP="00973F1C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B9B">
              <w:rPr>
                <w:rFonts w:ascii="Century Gothic" w:hAnsi="Century Gothic"/>
                <w:sz w:val="20"/>
                <w:szCs w:val="20"/>
              </w:rPr>
              <w:t>2.58</w:t>
            </w:r>
          </w:p>
        </w:tc>
        <w:tc>
          <w:tcPr>
            <w:tcW w:w="1474" w:type="dxa"/>
            <w:vAlign w:val="center"/>
          </w:tcPr>
          <w:p w:rsidR="005672BB" w:rsidRPr="00FB2D29" w:rsidRDefault="005672BB" w:rsidP="00973F1C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-0.55</w:t>
            </w:r>
          </w:p>
        </w:tc>
      </w:tr>
      <w:tr w:rsidR="005672BB" w:rsidRPr="00FB2D29" w:rsidTr="00973F1C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672BB" w:rsidRPr="00FB2D29" w:rsidRDefault="005672BB" w:rsidP="00973F1C">
            <w:pPr>
              <w:pStyle w:val="NoSpacing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FB2D29">
              <w:rPr>
                <w:rFonts w:ascii="Century Gothic" w:hAnsi="Century Gothic"/>
                <w:sz w:val="20"/>
                <w:szCs w:val="20"/>
              </w:rPr>
              <w:t>Interest During Construction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72BB" w:rsidRPr="00FB2D29" w:rsidRDefault="005672BB" w:rsidP="00973F1C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25.34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72BB" w:rsidRPr="00313B9B" w:rsidRDefault="005672BB" w:rsidP="00973F1C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B9B">
              <w:rPr>
                <w:rFonts w:ascii="Century Gothic" w:hAnsi="Century Gothic"/>
                <w:sz w:val="20"/>
                <w:szCs w:val="20"/>
              </w:rPr>
              <w:t>36.62</w:t>
            </w:r>
          </w:p>
        </w:tc>
        <w:tc>
          <w:tcPr>
            <w:tcW w:w="1474" w:type="dxa"/>
            <w:vAlign w:val="center"/>
          </w:tcPr>
          <w:p w:rsidR="005672BB" w:rsidRPr="00FB2D29" w:rsidRDefault="005672BB" w:rsidP="00973F1C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11.28</w:t>
            </w:r>
          </w:p>
        </w:tc>
      </w:tr>
      <w:tr w:rsidR="005672BB" w:rsidRPr="00FB2D29" w:rsidTr="00973F1C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672BB" w:rsidRPr="00FB2D29" w:rsidRDefault="005672BB" w:rsidP="00973F1C">
            <w:pPr>
              <w:pStyle w:val="NoSpacing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FB2D29">
              <w:rPr>
                <w:rFonts w:ascii="Century Gothic" w:hAnsi="Century Gothic"/>
                <w:sz w:val="20"/>
                <w:szCs w:val="20"/>
              </w:rPr>
              <w:t>Preliminary &amp; Pre-operative Expenses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72BB" w:rsidRPr="00FB2D29" w:rsidRDefault="005672BB" w:rsidP="00973F1C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6.60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72BB" w:rsidRPr="00313B9B" w:rsidRDefault="005672BB" w:rsidP="00973F1C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B9B">
              <w:rPr>
                <w:rFonts w:ascii="Century Gothic" w:hAnsi="Century Gothic"/>
                <w:sz w:val="20"/>
                <w:szCs w:val="20"/>
              </w:rPr>
              <w:t>2.27</w:t>
            </w:r>
          </w:p>
        </w:tc>
        <w:tc>
          <w:tcPr>
            <w:tcW w:w="1474" w:type="dxa"/>
            <w:vAlign w:val="center"/>
          </w:tcPr>
          <w:p w:rsidR="005672BB" w:rsidRPr="00FB2D29" w:rsidRDefault="005672BB" w:rsidP="00973F1C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-4.33</w:t>
            </w:r>
          </w:p>
        </w:tc>
      </w:tr>
      <w:tr w:rsidR="005672BB" w:rsidRPr="00FB2D29" w:rsidTr="00973F1C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672BB" w:rsidRPr="00FB2D29" w:rsidRDefault="005672BB" w:rsidP="00973F1C">
            <w:pPr>
              <w:pStyle w:val="NoSpacing"/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FB2D29">
              <w:rPr>
                <w:rFonts w:ascii="Century Gothic" w:hAnsi="Century Gothic"/>
                <w:b/>
                <w:sz w:val="20"/>
                <w:szCs w:val="20"/>
              </w:rPr>
              <w:t>Total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72BB" w:rsidRPr="00FB2D29" w:rsidRDefault="005672BB" w:rsidP="00973F1C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373.32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72BB" w:rsidRPr="00313B9B" w:rsidRDefault="005672BB" w:rsidP="00973F1C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13B9B">
              <w:rPr>
                <w:rFonts w:ascii="Century Gothic" w:hAnsi="Century Gothic"/>
                <w:b/>
                <w:sz w:val="20"/>
                <w:szCs w:val="20"/>
              </w:rPr>
              <w:t>375.51</w:t>
            </w:r>
          </w:p>
        </w:tc>
        <w:tc>
          <w:tcPr>
            <w:tcW w:w="1474" w:type="dxa"/>
            <w:vAlign w:val="center"/>
          </w:tcPr>
          <w:p w:rsidR="005672BB" w:rsidRPr="00FB2D29" w:rsidRDefault="005672BB" w:rsidP="00973F1C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2.19</w:t>
            </w:r>
          </w:p>
        </w:tc>
      </w:tr>
    </w:tbl>
    <w:p w:rsidR="005672BB" w:rsidRDefault="005672BB" w:rsidP="005672BB">
      <w:pPr>
        <w:pStyle w:val="Heading2"/>
        <w:tabs>
          <w:tab w:val="clear" w:pos="846"/>
        </w:tabs>
        <w:ind w:left="360" w:firstLine="0"/>
        <w:rPr>
          <w:rFonts w:ascii="Century Gothic" w:hAnsi="Century Gothic"/>
          <w:szCs w:val="20"/>
          <w:u w:val="none"/>
        </w:rPr>
      </w:pPr>
      <w:bookmarkStart w:id="9" w:name="_Toc349918351"/>
    </w:p>
    <w:p w:rsidR="005672BB" w:rsidRPr="005672BB" w:rsidRDefault="005672BB" w:rsidP="005672BB">
      <w:pPr>
        <w:rPr>
          <w:lang w:val="en-US"/>
        </w:rPr>
      </w:pPr>
    </w:p>
    <w:p w:rsidR="005672BB" w:rsidRDefault="005672BB" w:rsidP="005672BB">
      <w:pPr>
        <w:pStyle w:val="Heading2"/>
        <w:tabs>
          <w:tab w:val="clear" w:pos="846"/>
        </w:tabs>
        <w:ind w:left="360" w:firstLine="0"/>
        <w:rPr>
          <w:rFonts w:ascii="Century Gothic" w:hAnsi="Century Gothic"/>
          <w:szCs w:val="20"/>
          <w:u w:val="none"/>
        </w:rPr>
      </w:pPr>
      <w:r>
        <w:rPr>
          <w:rFonts w:ascii="Century Gothic" w:hAnsi="Century Gothic"/>
          <w:szCs w:val="20"/>
          <w:u w:val="none"/>
        </w:rPr>
        <w:lastRenderedPageBreak/>
        <w:t xml:space="preserve">Means of </w:t>
      </w:r>
      <w:bookmarkStart w:id="10" w:name="_GoBack"/>
      <w:bookmarkEnd w:id="10"/>
      <w:r>
        <w:rPr>
          <w:rFonts w:ascii="Century Gothic" w:hAnsi="Century Gothic"/>
          <w:szCs w:val="20"/>
          <w:u w:val="none"/>
        </w:rPr>
        <w:t>Finance</w:t>
      </w:r>
      <w:bookmarkEnd w:id="9"/>
    </w:p>
    <w:p w:rsidR="005672BB" w:rsidRPr="00A76187" w:rsidRDefault="005672BB" w:rsidP="005672BB">
      <w:pPr>
        <w:spacing w:after="120"/>
        <w:jc w:val="both"/>
        <w:rPr>
          <w:rFonts w:ascii="Century Gothic" w:eastAsia="Times New Roman" w:hAnsi="Century Gothic"/>
          <w:sz w:val="20"/>
          <w:szCs w:val="20"/>
          <w:lang w:bidi="en-US"/>
        </w:rPr>
      </w:pPr>
      <w:r w:rsidRPr="00A76187">
        <w:rPr>
          <w:rFonts w:ascii="Century Gothic" w:eastAsia="Times New Roman" w:hAnsi="Century Gothic"/>
          <w:sz w:val="20"/>
          <w:szCs w:val="20"/>
          <w:lang w:bidi="en-US"/>
        </w:rPr>
        <w:t>The funding of the Project Cost is met by a combination of promoter’s equity, NHAI Grant and Rupee Term Loan from Banks/Financial Institutions. The funding structure is given below: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2566"/>
        <w:gridCol w:w="2566"/>
        <w:gridCol w:w="1595"/>
      </w:tblGrid>
      <w:tr w:rsidR="005672BB" w:rsidRPr="00FB2D29" w:rsidTr="00973F1C">
        <w:trPr>
          <w:trHeight w:val="540"/>
          <w:jc w:val="center"/>
        </w:trPr>
        <w:tc>
          <w:tcPr>
            <w:tcW w:w="1361" w:type="pct"/>
            <w:shd w:val="clear" w:color="auto" w:fill="1F497D"/>
            <w:vAlign w:val="center"/>
            <w:hideMark/>
          </w:tcPr>
          <w:p w:rsidR="005672BB" w:rsidRPr="00A56DEA" w:rsidRDefault="005672BB" w:rsidP="00973F1C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A56DEA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Source of Funds</w:t>
            </w:r>
          </w:p>
        </w:tc>
        <w:tc>
          <w:tcPr>
            <w:tcW w:w="1388" w:type="pct"/>
            <w:shd w:val="clear" w:color="auto" w:fill="1F497D"/>
            <w:vAlign w:val="center"/>
            <w:hideMark/>
          </w:tcPr>
          <w:p w:rsidR="005672BB" w:rsidRPr="00A56DEA" w:rsidRDefault="005672BB" w:rsidP="00973F1C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 xml:space="preserve">Original Estimates </w:t>
            </w:r>
            <w:r w:rsidRPr="00A56DEA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(</w:t>
            </w:r>
            <w:proofErr w:type="spellStart"/>
            <w:r w:rsidRPr="00A56DEA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Rs</w:t>
            </w:r>
            <w:proofErr w:type="spellEnd"/>
            <w:r w:rsidRPr="00A56DEA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. Crore)</w:t>
            </w:r>
          </w:p>
        </w:tc>
        <w:tc>
          <w:tcPr>
            <w:tcW w:w="1388" w:type="pct"/>
            <w:shd w:val="clear" w:color="auto" w:fill="1F497D"/>
            <w:vAlign w:val="center"/>
            <w:hideMark/>
          </w:tcPr>
          <w:p w:rsidR="005672BB" w:rsidRPr="00BA668D" w:rsidRDefault="005672BB" w:rsidP="00973F1C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A668D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Actual Cost</w:t>
            </w:r>
          </w:p>
          <w:p w:rsidR="005672BB" w:rsidRPr="006B503A" w:rsidRDefault="005672BB" w:rsidP="00973F1C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A668D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(</w:t>
            </w:r>
            <w:proofErr w:type="spellStart"/>
            <w:r w:rsidRPr="00BA668D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Rs</w:t>
            </w:r>
            <w:proofErr w:type="spellEnd"/>
            <w:r w:rsidRPr="00BA668D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. Cro</w:t>
            </w:r>
            <w:r w:rsidRPr="007C2DB3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re</w:t>
            </w:r>
            <w:r w:rsidRPr="00BA668D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 xml:space="preserve"> as on </w:t>
            </w:r>
            <w:r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31</w:t>
            </w:r>
            <w:r w:rsidRPr="00BA668D">
              <w:rPr>
                <w:rFonts w:ascii="Century Gothic" w:hAnsi="Century Gothic"/>
                <w:b/>
                <w:color w:val="FFFFFF"/>
                <w:sz w:val="20"/>
                <w:szCs w:val="20"/>
                <w:vertAlign w:val="superscript"/>
              </w:rPr>
              <w:t>st</w:t>
            </w:r>
            <w:r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 xml:space="preserve"> March 2012)</w:t>
            </w:r>
          </w:p>
        </w:tc>
        <w:tc>
          <w:tcPr>
            <w:tcW w:w="863" w:type="pct"/>
            <w:shd w:val="clear" w:color="auto" w:fill="1F497D"/>
            <w:vAlign w:val="center"/>
          </w:tcPr>
          <w:p w:rsidR="005672BB" w:rsidRPr="00FB2D29" w:rsidRDefault="005672BB" w:rsidP="00973F1C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Difference</w:t>
            </w:r>
          </w:p>
        </w:tc>
      </w:tr>
      <w:tr w:rsidR="005672BB" w:rsidRPr="00FB2D29" w:rsidTr="00973F1C">
        <w:trPr>
          <w:trHeight w:val="300"/>
          <w:jc w:val="center"/>
        </w:trPr>
        <w:tc>
          <w:tcPr>
            <w:tcW w:w="1361" w:type="pct"/>
            <w:shd w:val="clear" w:color="auto" w:fill="auto"/>
            <w:vAlign w:val="center"/>
            <w:hideMark/>
          </w:tcPr>
          <w:p w:rsidR="005672BB" w:rsidRPr="00FB2D29" w:rsidRDefault="005672BB" w:rsidP="00973F1C">
            <w:pPr>
              <w:pStyle w:val="NoSpacing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bookmarkStart w:id="11" w:name="_Hlk347841727"/>
            <w:r w:rsidRPr="00FB2D29">
              <w:rPr>
                <w:rFonts w:ascii="Century Gothic" w:hAnsi="Century Gothic"/>
                <w:sz w:val="20"/>
                <w:szCs w:val="20"/>
              </w:rPr>
              <w:t>Promoter’s Equity</w:t>
            </w:r>
            <w:r>
              <w:rPr>
                <w:rFonts w:ascii="Century Gothic" w:hAnsi="Century Gothic"/>
                <w:sz w:val="20"/>
                <w:szCs w:val="20"/>
              </w:rPr>
              <w:t>/Unsecured Loans</w:t>
            </w:r>
          </w:p>
        </w:tc>
        <w:tc>
          <w:tcPr>
            <w:tcW w:w="1388" w:type="pct"/>
            <w:shd w:val="clear" w:color="auto" w:fill="auto"/>
            <w:vAlign w:val="center"/>
            <w:hideMark/>
          </w:tcPr>
          <w:p w:rsidR="005672BB" w:rsidRPr="001B5093" w:rsidRDefault="005672BB" w:rsidP="00973F1C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val="en-US"/>
              </w:rPr>
            </w:pPr>
            <w:r w:rsidRPr="001B5093">
              <w:rPr>
                <w:rFonts w:ascii="Century Gothic" w:eastAsia="Times New Roman" w:hAnsi="Century Gothic"/>
                <w:sz w:val="20"/>
                <w:szCs w:val="20"/>
                <w:lang w:val="en-US"/>
              </w:rPr>
              <w:t>74.66</w:t>
            </w:r>
          </w:p>
        </w:tc>
        <w:tc>
          <w:tcPr>
            <w:tcW w:w="1388" w:type="pct"/>
            <w:shd w:val="clear" w:color="auto" w:fill="auto"/>
            <w:vAlign w:val="center"/>
          </w:tcPr>
          <w:p w:rsidR="005672BB" w:rsidRPr="001B5093" w:rsidRDefault="005672BB" w:rsidP="00973F1C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val="en-US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val="en-US"/>
              </w:rPr>
              <w:t>76.85</w:t>
            </w:r>
          </w:p>
        </w:tc>
        <w:tc>
          <w:tcPr>
            <w:tcW w:w="863" w:type="pct"/>
            <w:vAlign w:val="center"/>
          </w:tcPr>
          <w:p w:rsidR="005672BB" w:rsidRPr="00FB2D29" w:rsidRDefault="005672BB" w:rsidP="00973F1C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2.19</w:t>
            </w:r>
          </w:p>
        </w:tc>
      </w:tr>
      <w:tr w:rsidR="005672BB" w:rsidRPr="00FB2D29" w:rsidTr="00973F1C">
        <w:trPr>
          <w:trHeight w:val="300"/>
          <w:jc w:val="center"/>
        </w:trPr>
        <w:tc>
          <w:tcPr>
            <w:tcW w:w="1361" w:type="pct"/>
            <w:shd w:val="clear" w:color="auto" w:fill="auto"/>
            <w:vAlign w:val="center"/>
            <w:hideMark/>
          </w:tcPr>
          <w:p w:rsidR="005672BB" w:rsidRPr="00FB2D29" w:rsidRDefault="005672BB" w:rsidP="00973F1C">
            <w:pPr>
              <w:pStyle w:val="NoSpacing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FB2D29">
              <w:rPr>
                <w:rFonts w:ascii="Century Gothic" w:hAnsi="Century Gothic"/>
                <w:sz w:val="20"/>
                <w:szCs w:val="20"/>
              </w:rPr>
              <w:t>NHAI Grant</w:t>
            </w:r>
          </w:p>
        </w:tc>
        <w:tc>
          <w:tcPr>
            <w:tcW w:w="1388" w:type="pct"/>
            <w:shd w:val="clear" w:color="auto" w:fill="auto"/>
            <w:vAlign w:val="center"/>
            <w:hideMark/>
          </w:tcPr>
          <w:p w:rsidR="005672BB" w:rsidRPr="001B5093" w:rsidRDefault="005672BB" w:rsidP="00973F1C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val="en-US"/>
              </w:rPr>
            </w:pPr>
            <w:r w:rsidRPr="001B5093">
              <w:rPr>
                <w:rFonts w:ascii="Century Gothic" w:eastAsia="Times New Roman" w:hAnsi="Century Gothic"/>
                <w:sz w:val="20"/>
                <w:szCs w:val="20"/>
                <w:lang w:val="en-US"/>
              </w:rPr>
              <w:t>74.66</w:t>
            </w:r>
          </w:p>
        </w:tc>
        <w:tc>
          <w:tcPr>
            <w:tcW w:w="1388" w:type="pct"/>
            <w:shd w:val="clear" w:color="auto" w:fill="auto"/>
            <w:vAlign w:val="center"/>
          </w:tcPr>
          <w:p w:rsidR="005672BB" w:rsidRPr="001B5093" w:rsidRDefault="005672BB" w:rsidP="00973F1C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val="en-US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val="en-US"/>
              </w:rPr>
              <w:t>74.66</w:t>
            </w:r>
          </w:p>
        </w:tc>
        <w:tc>
          <w:tcPr>
            <w:tcW w:w="863" w:type="pct"/>
          </w:tcPr>
          <w:p w:rsidR="005672BB" w:rsidRPr="00FB2D29" w:rsidRDefault="005672BB" w:rsidP="00973F1C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0.00</w:t>
            </w:r>
          </w:p>
        </w:tc>
      </w:tr>
      <w:tr w:rsidR="005672BB" w:rsidRPr="00FB2D29" w:rsidTr="00973F1C">
        <w:trPr>
          <w:trHeight w:val="300"/>
          <w:jc w:val="center"/>
        </w:trPr>
        <w:tc>
          <w:tcPr>
            <w:tcW w:w="1361" w:type="pct"/>
            <w:shd w:val="clear" w:color="auto" w:fill="auto"/>
            <w:vAlign w:val="center"/>
            <w:hideMark/>
          </w:tcPr>
          <w:p w:rsidR="005672BB" w:rsidRPr="00FB2D29" w:rsidRDefault="005672BB" w:rsidP="00973F1C">
            <w:pPr>
              <w:pStyle w:val="NoSpacing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FB2D29">
              <w:rPr>
                <w:rFonts w:ascii="Century Gothic" w:hAnsi="Century Gothic"/>
                <w:sz w:val="20"/>
                <w:szCs w:val="20"/>
              </w:rPr>
              <w:t>Rupee Term Loan</w:t>
            </w:r>
          </w:p>
        </w:tc>
        <w:tc>
          <w:tcPr>
            <w:tcW w:w="1388" w:type="pct"/>
            <w:shd w:val="clear" w:color="auto" w:fill="auto"/>
            <w:vAlign w:val="center"/>
            <w:hideMark/>
          </w:tcPr>
          <w:p w:rsidR="005672BB" w:rsidRPr="001B5093" w:rsidRDefault="005672BB" w:rsidP="00973F1C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val="en-US"/>
              </w:rPr>
            </w:pPr>
            <w:r w:rsidRPr="001B5093">
              <w:rPr>
                <w:rFonts w:ascii="Century Gothic" w:eastAsia="Times New Roman" w:hAnsi="Century Gothic"/>
                <w:sz w:val="20"/>
                <w:szCs w:val="20"/>
                <w:lang w:val="en-US"/>
              </w:rPr>
              <w:t>224.00</w:t>
            </w:r>
          </w:p>
        </w:tc>
        <w:tc>
          <w:tcPr>
            <w:tcW w:w="1388" w:type="pct"/>
            <w:shd w:val="clear" w:color="auto" w:fill="auto"/>
            <w:vAlign w:val="center"/>
          </w:tcPr>
          <w:p w:rsidR="005672BB" w:rsidRPr="001B5093" w:rsidRDefault="005672BB" w:rsidP="00973F1C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val="en-US"/>
              </w:rPr>
            </w:pPr>
            <w:r w:rsidRPr="001B5093">
              <w:rPr>
                <w:rFonts w:ascii="Century Gothic" w:eastAsia="Times New Roman" w:hAnsi="Century Gothic"/>
                <w:sz w:val="20"/>
                <w:szCs w:val="20"/>
                <w:lang w:val="en-US"/>
              </w:rPr>
              <w:t>224.00</w:t>
            </w:r>
          </w:p>
        </w:tc>
        <w:tc>
          <w:tcPr>
            <w:tcW w:w="863" w:type="pct"/>
          </w:tcPr>
          <w:p w:rsidR="005672BB" w:rsidRPr="00FB2D29" w:rsidRDefault="005672BB" w:rsidP="00973F1C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0.00</w:t>
            </w:r>
          </w:p>
        </w:tc>
      </w:tr>
      <w:bookmarkEnd w:id="11"/>
      <w:tr w:rsidR="005672BB" w:rsidRPr="00FB2D29" w:rsidTr="00973F1C">
        <w:trPr>
          <w:trHeight w:val="315"/>
          <w:jc w:val="center"/>
        </w:trPr>
        <w:tc>
          <w:tcPr>
            <w:tcW w:w="1361" w:type="pct"/>
            <w:shd w:val="clear" w:color="auto" w:fill="auto"/>
            <w:vAlign w:val="bottom"/>
          </w:tcPr>
          <w:p w:rsidR="005672BB" w:rsidRPr="006B503A" w:rsidRDefault="005672BB" w:rsidP="00973F1C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B503A">
              <w:rPr>
                <w:rFonts w:ascii="Century Gothic" w:hAnsi="Century Gothic"/>
                <w:b/>
                <w:sz w:val="20"/>
                <w:szCs w:val="20"/>
              </w:rPr>
              <w:t>Total</w:t>
            </w:r>
          </w:p>
        </w:tc>
        <w:tc>
          <w:tcPr>
            <w:tcW w:w="1388" w:type="pct"/>
            <w:shd w:val="clear" w:color="auto" w:fill="auto"/>
            <w:vAlign w:val="center"/>
          </w:tcPr>
          <w:p w:rsidR="005672BB" w:rsidRPr="001B5093" w:rsidRDefault="005672BB" w:rsidP="00973F1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val="en-US"/>
              </w:rPr>
            </w:pPr>
            <w:r w:rsidRPr="001B5093">
              <w:rPr>
                <w:rFonts w:ascii="Century Gothic" w:eastAsia="Times New Roman" w:hAnsi="Century Gothic"/>
                <w:b/>
                <w:sz w:val="20"/>
                <w:szCs w:val="20"/>
                <w:lang w:val="en-US"/>
              </w:rPr>
              <w:t>373.32</w:t>
            </w:r>
          </w:p>
        </w:tc>
        <w:tc>
          <w:tcPr>
            <w:tcW w:w="1388" w:type="pct"/>
            <w:shd w:val="clear" w:color="auto" w:fill="auto"/>
            <w:vAlign w:val="center"/>
          </w:tcPr>
          <w:p w:rsidR="005672BB" w:rsidRPr="001B5093" w:rsidRDefault="005672BB" w:rsidP="00973F1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eastAsia="Times New Roman" w:hAnsi="Century Gothic"/>
                <w:b/>
                <w:sz w:val="20"/>
                <w:szCs w:val="20"/>
                <w:lang w:val="en-US"/>
              </w:rPr>
              <w:t>375.51</w:t>
            </w:r>
          </w:p>
        </w:tc>
        <w:tc>
          <w:tcPr>
            <w:tcW w:w="863" w:type="pct"/>
            <w:vAlign w:val="bottom"/>
          </w:tcPr>
          <w:p w:rsidR="005672BB" w:rsidRPr="006B503A" w:rsidRDefault="005672BB" w:rsidP="00973F1C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2.19</w:t>
            </w:r>
          </w:p>
        </w:tc>
      </w:tr>
    </w:tbl>
    <w:p w:rsidR="005672BB" w:rsidRDefault="005672BB" w:rsidP="0040551A"/>
    <w:sectPr w:rsidR="005672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70AE0"/>
    <w:multiLevelType w:val="hybridMultilevel"/>
    <w:tmpl w:val="69F67A00"/>
    <w:lvl w:ilvl="0" w:tplc="0409001B">
      <w:start w:val="1"/>
      <w:numFmt w:val="lowerRoman"/>
      <w:lvlText w:val="%1."/>
      <w:lvlJc w:val="right"/>
      <w:pPr>
        <w:ind w:left="1152" w:hanging="360"/>
      </w:p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F4B6A810">
      <w:start w:val="1"/>
      <w:numFmt w:val="lowerLetter"/>
      <w:lvlText w:val="(%3)"/>
      <w:lvlJc w:val="left"/>
      <w:pPr>
        <w:ind w:left="277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>
    <w:nsid w:val="273D1A22"/>
    <w:multiLevelType w:val="hybridMultilevel"/>
    <w:tmpl w:val="8B1429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75BB9"/>
    <w:multiLevelType w:val="multilevel"/>
    <w:tmpl w:val="F28CACD2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1A"/>
    <w:rsid w:val="0040551A"/>
    <w:rsid w:val="005672BB"/>
    <w:rsid w:val="007561B3"/>
    <w:rsid w:val="00A9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51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72B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Heading2">
    <w:name w:val="heading 2"/>
    <w:aliases w:val="h2,A.B.C.,Level I for #'s,h21.2.3.,Heading21.2.3.,H2,h2 main heading,Subhead A,B Sub/Bold,hanging indent lvl 2,IP Heading 2,UNDERRUBRIK 1-2,Sub-heading,sl2,Headinnormalg 2,NonTOCHead2,Header 2,l2,Header2,h21,h22,h23,h24,h25,h26,Major,style1,A"/>
    <w:basedOn w:val="Normal"/>
    <w:next w:val="Normal"/>
    <w:link w:val="Heading2Char"/>
    <w:qFormat/>
    <w:rsid w:val="005672BB"/>
    <w:pPr>
      <w:keepNext/>
      <w:widowControl w:val="0"/>
      <w:tabs>
        <w:tab w:val="num" w:pos="846"/>
      </w:tabs>
      <w:autoSpaceDE w:val="0"/>
      <w:autoSpaceDN w:val="0"/>
      <w:adjustRightInd w:val="0"/>
      <w:spacing w:after="120" w:line="360" w:lineRule="exact"/>
      <w:ind w:left="576" w:hanging="576"/>
      <w:jc w:val="both"/>
      <w:outlineLvl w:val="1"/>
    </w:pPr>
    <w:rPr>
      <w:rFonts w:ascii="Book Antiqua" w:eastAsia="Times New Roman" w:hAnsi="Book Antiqua"/>
      <w:b/>
      <w:bCs/>
      <w:color w:val="000000"/>
      <w:sz w:val="20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2BB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rsid w:val="005672BB"/>
    <w:rPr>
      <w:rFonts w:ascii="Book Antiqua" w:eastAsia="Times New Roman" w:hAnsi="Book Antiqua" w:cs="Times New Roman"/>
      <w:b/>
      <w:bCs/>
      <w:color w:val="000000"/>
      <w:sz w:val="20"/>
      <w:szCs w:val="24"/>
      <w:u w:val="single"/>
      <w:lang w:val="en-US"/>
    </w:rPr>
  </w:style>
  <w:style w:type="paragraph" w:styleId="NoSpacing">
    <w:name w:val="No Spacing"/>
    <w:link w:val="NoSpacingChar"/>
    <w:uiPriority w:val="1"/>
    <w:qFormat/>
    <w:rsid w:val="005672BB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NoSpacingChar">
    <w:name w:val="No Spacing Char"/>
    <w:link w:val="NoSpacing"/>
    <w:uiPriority w:val="1"/>
    <w:rsid w:val="005672BB"/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PIM-Normal">
    <w:name w:val="PIM - Normal"/>
    <w:basedOn w:val="Normal"/>
    <w:link w:val="PIM-NormalChar"/>
    <w:rsid w:val="005672BB"/>
    <w:pPr>
      <w:spacing w:after="120" w:line="360" w:lineRule="auto"/>
      <w:ind w:left="432"/>
      <w:jc w:val="both"/>
    </w:pPr>
    <w:rPr>
      <w:rFonts w:ascii="Verdana" w:eastAsia="Times New Roman" w:hAnsi="Verdana"/>
      <w:sz w:val="20"/>
      <w:szCs w:val="24"/>
      <w:lang w:val="en-US"/>
    </w:rPr>
  </w:style>
  <w:style w:type="character" w:customStyle="1" w:styleId="PIM-NormalChar">
    <w:name w:val="PIM - Normal Char"/>
    <w:link w:val="PIM-Normal"/>
    <w:locked/>
    <w:rsid w:val="005672BB"/>
    <w:rPr>
      <w:rFonts w:ascii="Verdana" w:eastAsia="Times New Roman" w:hAnsi="Verdana" w:cs="Times New Roman"/>
      <w:sz w:val="20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5672B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51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72B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Heading2">
    <w:name w:val="heading 2"/>
    <w:aliases w:val="h2,A.B.C.,Level I for #'s,h21.2.3.,Heading21.2.3.,H2,h2 main heading,Subhead A,B Sub/Bold,hanging indent lvl 2,IP Heading 2,UNDERRUBRIK 1-2,Sub-heading,sl2,Headinnormalg 2,NonTOCHead2,Header 2,l2,Header2,h21,h22,h23,h24,h25,h26,Major,style1,A"/>
    <w:basedOn w:val="Normal"/>
    <w:next w:val="Normal"/>
    <w:link w:val="Heading2Char"/>
    <w:qFormat/>
    <w:rsid w:val="005672BB"/>
    <w:pPr>
      <w:keepNext/>
      <w:widowControl w:val="0"/>
      <w:tabs>
        <w:tab w:val="num" w:pos="846"/>
      </w:tabs>
      <w:autoSpaceDE w:val="0"/>
      <w:autoSpaceDN w:val="0"/>
      <w:adjustRightInd w:val="0"/>
      <w:spacing w:after="120" w:line="360" w:lineRule="exact"/>
      <w:ind w:left="576" w:hanging="576"/>
      <w:jc w:val="both"/>
      <w:outlineLvl w:val="1"/>
    </w:pPr>
    <w:rPr>
      <w:rFonts w:ascii="Book Antiqua" w:eastAsia="Times New Roman" w:hAnsi="Book Antiqua"/>
      <w:b/>
      <w:bCs/>
      <w:color w:val="000000"/>
      <w:sz w:val="20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2BB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rsid w:val="005672BB"/>
    <w:rPr>
      <w:rFonts w:ascii="Book Antiqua" w:eastAsia="Times New Roman" w:hAnsi="Book Antiqua" w:cs="Times New Roman"/>
      <w:b/>
      <w:bCs/>
      <w:color w:val="000000"/>
      <w:sz w:val="20"/>
      <w:szCs w:val="24"/>
      <w:u w:val="single"/>
      <w:lang w:val="en-US"/>
    </w:rPr>
  </w:style>
  <w:style w:type="paragraph" w:styleId="NoSpacing">
    <w:name w:val="No Spacing"/>
    <w:link w:val="NoSpacingChar"/>
    <w:uiPriority w:val="1"/>
    <w:qFormat/>
    <w:rsid w:val="005672BB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NoSpacingChar">
    <w:name w:val="No Spacing Char"/>
    <w:link w:val="NoSpacing"/>
    <w:uiPriority w:val="1"/>
    <w:rsid w:val="005672BB"/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PIM-Normal">
    <w:name w:val="PIM - Normal"/>
    <w:basedOn w:val="Normal"/>
    <w:link w:val="PIM-NormalChar"/>
    <w:rsid w:val="005672BB"/>
    <w:pPr>
      <w:spacing w:after="120" w:line="360" w:lineRule="auto"/>
      <w:ind w:left="432"/>
      <w:jc w:val="both"/>
    </w:pPr>
    <w:rPr>
      <w:rFonts w:ascii="Verdana" w:eastAsia="Times New Roman" w:hAnsi="Verdana"/>
      <w:sz w:val="20"/>
      <w:szCs w:val="24"/>
      <w:lang w:val="en-US"/>
    </w:rPr>
  </w:style>
  <w:style w:type="character" w:customStyle="1" w:styleId="PIM-NormalChar">
    <w:name w:val="PIM - Normal Char"/>
    <w:link w:val="PIM-Normal"/>
    <w:locked/>
    <w:rsid w:val="005672BB"/>
    <w:rPr>
      <w:rFonts w:ascii="Verdana" w:eastAsia="Times New Roman" w:hAnsi="Verdana" w:cs="Times New Roman"/>
      <w:sz w:val="20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5672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MIL-MNGACCT</dc:creator>
  <cp:lastModifiedBy>MIL-MNGACCT</cp:lastModifiedBy>
  <cp:revision>3</cp:revision>
  <dcterms:created xsi:type="dcterms:W3CDTF">2024-11-09T04:27:00Z</dcterms:created>
  <dcterms:modified xsi:type="dcterms:W3CDTF">2024-11-09T05:09:00Z</dcterms:modified>
</cp:coreProperties>
</file>