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ACAF" w14:textId="2F2D15A5" w:rsidR="00D911A0" w:rsidRDefault="00D911A0" w:rsidP="00D911A0">
      <w:pPr>
        <w:pStyle w:val="cb-split"/>
        <w:ind w:left="142" w:right="-23"/>
        <w:jc w:val="center"/>
        <w:rPr>
          <w:rFonts w:ascii="Arial" w:hAnsi="Arial" w:cs="Arial"/>
          <w:b/>
          <w:sz w:val="20"/>
          <w:szCs w:val="20"/>
        </w:rPr>
      </w:pPr>
    </w:p>
    <w:p w14:paraId="6FA42C76" w14:textId="77777777" w:rsidR="00B80526" w:rsidRDefault="00B80526" w:rsidP="00D911A0">
      <w:pPr>
        <w:pStyle w:val="cb-split"/>
        <w:ind w:left="142" w:right="-23"/>
        <w:jc w:val="center"/>
        <w:rPr>
          <w:rFonts w:ascii="Arial" w:hAnsi="Arial" w:cs="Arial"/>
          <w:b/>
          <w:sz w:val="20"/>
          <w:szCs w:val="20"/>
        </w:rPr>
      </w:pPr>
    </w:p>
    <w:p w14:paraId="1AC6B68E" w14:textId="251992DC" w:rsidR="00CF78E7" w:rsidRDefault="00CF78E7" w:rsidP="001E4301">
      <w:pPr>
        <w:pStyle w:val="cb-split"/>
        <w:ind w:left="-142" w:right="-430"/>
        <w:jc w:val="center"/>
        <w:rPr>
          <w:rFonts w:ascii="Arial" w:hAnsi="Arial" w:cs="Arial"/>
          <w:sz w:val="20"/>
          <w:szCs w:val="20"/>
        </w:rPr>
      </w:pPr>
      <w:r w:rsidRPr="008C56CD">
        <w:rPr>
          <w:rFonts w:ascii="Arial" w:hAnsi="Arial" w:cs="Arial"/>
          <w:b/>
          <w:sz w:val="20"/>
          <w:szCs w:val="20"/>
        </w:rPr>
        <w:t xml:space="preserve">REPORT FORMAT: </w:t>
      </w:r>
      <w:r w:rsidRPr="008C56CD">
        <w:rPr>
          <w:rFonts w:ascii="Arial" w:hAnsi="Arial" w:cs="Arial"/>
          <w:sz w:val="20"/>
          <w:szCs w:val="20"/>
        </w:rPr>
        <w:t>V-L11 (Enterprise Valuation) | Version: 1.0_2018</w:t>
      </w:r>
    </w:p>
    <w:p w14:paraId="511E7013" w14:textId="77777777" w:rsidR="00AF6342" w:rsidRPr="008C56CD" w:rsidRDefault="00AF6342" w:rsidP="001E4301">
      <w:pPr>
        <w:pStyle w:val="cb-split"/>
        <w:ind w:left="-142" w:right="-430"/>
        <w:jc w:val="center"/>
        <w:rPr>
          <w:rFonts w:ascii="Arial" w:hAnsi="Arial" w:cs="Arial"/>
          <w:b/>
          <w:sz w:val="20"/>
          <w:szCs w:val="20"/>
        </w:rPr>
      </w:pPr>
    </w:p>
    <w:p w14:paraId="5630B93B" w14:textId="1B5C6BB3" w:rsidR="00E11206" w:rsidRPr="005C6FC8" w:rsidRDefault="00E11206" w:rsidP="001E4301">
      <w:pPr>
        <w:spacing w:line="360" w:lineRule="auto"/>
        <w:ind w:left="-142" w:right="-430"/>
        <w:rPr>
          <w:b/>
        </w:rPr>
      </w:pPr>
      <w:r w:rsidRPr="00F72935">
        <w:rPr>
          <w:rFonts w:ascii="Arial" w:hAnsi="Arial" w:cs="Arial"/>
          <w:b/>
        </w:rPr>
        <w:t>File No.:</w:t>
      </w:r>
      <w:r w:rsidR="001E4301">
        <w:rPr>
          <w:rFonts w:ascii="Arial" w:hAnsi="Arial" w:cs="Arial"/>
          <w:b/>
        </w:rPr>
        <w:t xml:space="preserve"> </w:t>
      </w:r>
      <w:proofErr w:type="gramStart"/>
      <w:r w:rsidR="00343705" w:rsidRPr="001E4301">
        <w:rPr>
          <w:rFonts w:ascii="Arial" w:hAnsi="Arial" w:cs="Arial"/>
          <w:b/>
        </w:rPr>
        <w:t>VIS(</w:t>
      </w:r>
      <w:proofErr w:type="gramEnd"/>
      <w:r w:rsidR="00343705" w:rsidRPr="001E4301">
        <w:rPr>
          <w:rFonts w:ascii="Arial" w:hAnsi="Arial" w:cs="Arial"/>
          <w:b/>
        </w:rPr>
        <w:t>202</w:t>
      </w:r>
      <w:r w:rsidR="00343705">
        <w:rPr>
          <w:rFonts w:ascii="Arial" w:hAnsi="Arial" w:cs="Arial"/>
          <w:b/>
        </w:rPr>
        <w:t>4</w:t>
      </w:r>
      <w:r w:rsidR="00343705" w:rsidRPr="001E4301">
        <w:rPr>
          <w:rFonts w:ascii="Arial" w:hAnsi="Arial" w:cs="Arial"/>
          <w:b/>
        </w:rPr>
        <w:t>-2</w:t>
      </w:r>
      <w:r w:rsidR="00343705">
        <w:rPr>
          <w:rFonts w:ascii="Arial" w:hAnsi="Arial" w:cs="Arial"/>
          <w:b/>
        </w:rPr>
        <w:t>5</w:t>
      </w:r>
      <w:r w:rsidR="00343705" w:rsidRPr="001E4301">
        <w:rPr>
          <w:rFonts w:ascii="Arial" w:hAnsi="Arial" w:cs="Arial"/>
          <w:b/>
        </w:rPr>
        <w:t>)-PL</w:t>
      </w:r>
      <w:r w:rsidR="00343705">
        <w:rPr>
          <w:rFonts w:ascii="Arial" w:hAnsi="Arial" w:cs="Arial"/>
          <w:b/>
        </w:rPr>
        <w:t>683-614</w:t>
      </w:r>
      <w:r w:rsidR="00343705" w:rsidRPr="001E4301">
        <w:rPr>
          <w:rFonts w:ascii="Arial" w:hAnsi="Arial" w:cs="Arial"/>
          <w:b/>
        </w:rPr>
        <w:t>-</w:t>
      </w:r>
      <w:r w:rsidR="00343705">
        <w:rPr>
          <w:rFonts w:ascii="Arial" w:hAnsi="Arial" w:cs="Arial"/>
          <w:b/>
        </w:rPr>
        <w:t>85</w:t>
      </w:r>
      <w:r w:rsidR="00343705" w:rsidRPr="001E4301">
        <w:rPr>
          <w:rFonts w:ascii="Arial" w:hAnsi="Arial" w:cs="Arial"/>
          <w:b/>
        </w:rPr>
        <w:t>3</w:t>
      </w:r>
      <w:r w:rsidR="00702E37" w:rsidRPr="00F72935">
        <w:rPr>
          <w:rFonts w:ascii="Arial" w:hAnsi="Arial" w:cs="Arial"/>
          <w:b/>
        </w:rPr>
        <w:tab/>
      </w:r>
      <w:r w:rsidR="00C17DBF" w:rsidRPr="00F72935">
        <w:rPr>
          <w:rFonts w:ascii="Arial" w:hAnsi="Arial" w:cs="Arial"/>
          <w:b/>
        </w:rPr>
        <w:tab/>
        <w:t xml:space="preserve">          </w:t>
      </w:r>
      <w:r w:rsidRPr="00F72935">
        <w:rPr>
          <w:rFonts w:ascii="Arial" w:hAnsi="Arial" w:cs="Arial"/>
          <w:b/>
        </w:rPr>
        <w:tab/>
        <w:t xml:space="preserve">     </w:t>
      </w:r>
      <w:r w:rsidR="00D911A0">
        <w:rPr>
          <w:rFonts w:ascii="Arial" w:hAnsi="Arial" w:cs="Arial"/>
          <w:b/>
        </w:rPr>
        <w:t xml:space="preserve">  </w:t>
      </w:r>
      <w:r w:rsidR="00F72935">
        <w:rPr>
          <w:rFonts w:ascii="Arial" w:hAnsi="Arial" w:cs="Arial"/>
          <w:b/>
        </w:rPr>
        <w:t xml:space="preserve">  </w:t>
      </w:r>
      <w:r w:rsidR="001E4301">
        <w:rPr>
          <w:rFonts w:ascii="Arial" w:hAnsi="Arial" w:cs="Arial"/>
          <w:b/>
        </w:rPr>
        <w:tab/>
        <w:t xml:space="preserve">               </w:t>
      </w:r>
      <w:r w:rsidR="00655E10" w:rsidRPr="00F72935">
        <w:rPr>
          <w:rFonts w:ascii="Arial" w:hAnsi="Arial" w:cs="Arial"/>
          <w:b/>
        </w:rPr>
        <w:t xml:space="preserve">  </w:t>
      </w:r>
      <w:r w:rsidR="00791AC8" w:rsidRPr="00F72935">
        <w:rPr>
          <w:rFonts w:ascii="Arial" w:hAnsi="Arial" w:cs="Arial"/>
          <w:b/>
        </w:rPr>
        <w:t>D</w:t>
      </w:r>
      <w:r w:rsidRPr="00F72935">
        <w:rPr>
          <w:rFonts w:ascii="Arial" w:hAnsi="Arial" w:cs="Arial"/>
          <w:b/>
        </w:rPr>
        <w:t xml:space="preserve">ated: </w:t>
      </w:r>
      <w:sdt>
        <w:sdtPr>
          <w:rPr>
            <w:rFonts w:ascii="Arial" w:hAnsi="Arial" w:cs="Arial"/>
            <w:b/>
          </w:rPr>
          <w:id w:val="2011871766"/>
          <w:placeholder>
            <w:docPart w:val="35136785C9ED4DD5A88C47EE69E3505C"/>
          </w:placeholder>
          <w:date w:fullDate="2025-02-08T00:00:00Z">
            <w:dateFormat w:val="dd.MM.yyyy"/>
            <w:lid w:val="en-IN"/>
            <w:storeMappedDataAs w:val="dateTime"/>
            <w:calendar w:val="gregorian"/>
          </w:date>
        </w:sdtPr>
        <w:sdtEndPr/>
        <w:sdtContent>
          <w:r w:rsidR="007A43B8">
            <w:rPr>
              <w:rFonts w:ascii="Arial" w:hAnsi="Arial" w:cs="Arial"/>
              <w:b/>
              <w:lang w:val="en-IN"/>
            </w:rPr>
            <w:t>08.02.2025</w:t>
          </w:r>
        </w:sdtContent>
      </w:sdt>
    </w:p>
    <w:p w14:paraId="117C260A" w14:textId="084A9CB0" w:rsidR="00655E10" w:rsidRDefault="00655E10" w:rsidP="001E4301">
      <w:pPr>
        <w:ind w:left="-142" w:right="-430"/>
        <w:jc w:val="center"/>
        <w:rPr>
          <w:rFonts w:ascii="Arial" w:hAnsi="Arial" w:cs="Arial"/>
          <w:b/>
          <w:szCs w:val="12"/>
        </w:rPr>
      </w:pPr>
    </w:p>
    <w:p w14:paraId="3169BC1E" w14:textId="77777777" w:rsidR="00B80526" w:rsidRPr="00AF6342" w:rsidRDefault="00B80526" w:rsidP="001E4301">
      <w:pPr>
        <w:ind w:left="-142" w:right="-430"/>
        <w:jc w:val="center"/>
        <w:rPr>
          <w:rFonts w:ascii="Arial" w:hAnsi="Arial" w:cs="Arial"/>
          <w:b/>
          <w:szCs w:val="12"/>
        </w:rPr>
      </w:pPr>
    </w:p>
    <w:p w14:paraId="584563E2" w14:textId="50E02455" w:rsidR="00E11206" w:rsidRDefault="00E11206" w:rsidP="001E4301">
      <w:pPr>
        <w:ind w:left="-142" w:right="-430"/>
        <w:jc w:val="center"/>
        <w:rPr>
          <w:rFonts w:ascii="Arial" w:hAnsi="Arial" w:cs="Arial"/>
          <w:b/>
          <w:sz w:val="48"/>
        </w:rPr>
      </w:pPr>
      <w:r w:rsidRPr="005C6FC8">
        <w:rPr>
          <w:rFonts w:ascii="Arial" w:hAnsi="Arial" w:cs="Arial"/>
          <w:b/>
          <w:sz w:val="48"/>
        </w:rPr>
        <w:t>ENTERPRISE VALUATION REPORT</w:t>
      </w:r>
    </w:p>
    <w:p w14:paraId="5A529131" w14:textId="77777777" w:rsidR="00CF78E7" w:rsidRPr="00CF78E7" w:rsidRDefault="00CF78E7" w:rsidP="001E4301">
      <w:pPr>
        <w:ind w:left="-142" w:right="-430"/>
        <w:jc w:val="center"/>
        <w:rPr>
          <w:rFonts w:ascii="Arial" w:hAnsi="Arial" w:cs="Arial"/>
          <w:b/>
          <w:sz w:val="2"/>
          <w:szCs w:val="2"/>
        </w:rPr>
      </w:pPr>
    </w:p>
    <w:p w14:paraId="3B2768C3" w14:textId="71EADDF9" w:rsidR="00CF78E7" w:rsidRDefault="00791AC8" w:rsidP="001E4301">
      <w:pPr>
        <w:ind w:left="-142" w:right="-430"/>
        <w:jc w:val="center"/>
        <w:rPr>
          <w:rFonts w:ascii="Arial" w:hAnsi="Arial" w:cs="Arial"/>
          <w:b/>
          <w:sz w:val="32"/>
          <w:szCs w:val="16"/>
        </w:rPr>
      </w:pPr>
      <w:r w:rsidRPr="00791AC8">
        <w:rPr>
          <w:rFonts w:ascii="Arial" w:hAnsi="Arial" w:cs="Arial"/>
          <w:b/>
          <w:sz w:val="32"/>
          <w:szCs w:val="16"/>
        </w:rPr>
        <w:t>OF</w:t>
      </w:r>
      <w:r w:rsidR="00CF78E7">
        <w:rPr>
          <w:rFonts w:ascii="Arial" w:hAnsi="Arial" w:cs="Arial"/>
          <w:b/>
          <w:sz w:val="32"/>
          <w:szCs w:val="16"/>
        </w:rPr>
        <w:t xml:space="preserve"> </w:t>
      </w:r>
    </w:p>
    <w:p w14:paraId="41DEB5E2" w14:textId="4C4982B0" w:rsidR="00791AC8" w:rsidRPr="00CF78E7" w:rsidRDefault="00791AC8" w:rsidP="001E4301">
      <w:pPr>
        <w:ind w:left="-142" w:right="-430"/>
        <w:jc w:val="center"/>
        <w:rPr>
          <w:rFonts w:ascii="Arial" w:hAnsi="Arial" w:cs="Arial"/>
          <w:b/>
          <w:sz w:val="2"/>
          <w:szCs w:val="2"/>
        </w:rPr>
      </w:pPr>
      <w:r w:rsidRPr="00791AC8">
        <w:rPr>
          <w:rFonts w:ascii="Arial" w:hAnsi="Arial" w:cs="Arial"/>
          <w:b/>
          <w:sz w:val="32"/>
          <w:szCs w:val="16"/>
        </w:rPr>
        <w:t xml:space="preserve"> </w:t>
      </w:r>
    </w:p>
    <w:p w14:paraId="60054CE3" w14:textId="30D05693" w:rsidR="00791AC8" w:rsidRPr="00791AC8" w:rsidRDefault="00D41272" w:rsidP="001E4301">
      <w:pPr>
        <w:ind w:left="-142" w:right="-430"/>
        <w:jc w:val="center"/>
        <w:outlineLvl w:val="0"/>
        <w:rPr>
          <w:rFonts w:ascii="Arial" w:hAnsi="Arial" w:cs="Arial"/>
          <w:b/>
          <w:sz w:val="48"/>
          <w:szCs w:val="20"/>
        </w:rPr>
      </w:pPr>
      <w:r>
        <w:rPr>
          <w:rFonts w:ascii="Arial" w:hAnsi="Arial" w:cs="Arial"/>
          <w:b/>
          <w:sz w:val="48"/>
          <w:lang w:val="en-IN"/>
        </w:rPr>
        <w:t>GTL INFRASTRUCTURE</w:t>
      </w:r>
      <w:r w:rsidR="004610DE" w:rsidRPr="004610DE">
        <w:rPr>
          <w:rFonts w:ascii="Arial" w:hAnsi="Arial" w:cs="Arial"/>
          <w:b/>
          <w:sz w:val="48"/>
          <w:lang w:val="en-IN"/>
        </w:rPr>
        <w:t xml:space="preserve"> LIMITED</w:t>
      </w:r>
    </w:p>
    <w:p w14:paraId="46638E89" w14:textId="40629CDF" w:rsidR="00791AC8" w:rsidRDefault="00791AC8" w:rsidP="001E4301">
      <w:pPr>
        <w:ind w:left="-142" w:right="-430"/>
        <w:rPr>
          <w:b/>
        </w:rPr>
      </w:pPr>
    </w:p>
    <w:p w14:paraId="2228E5EA" w14:textId="77777777" w:rsidR="00B80526" w:rsidRDefault="00B80526" w:rsidP="001E4301">
      <w:pPr>
        <w:ind w:left="-142" w:right="-430"/>
        <w:rPr>
          <w:b/>
        </w:rPr>
      </w:pPr>
    </w:p>
    <w:p w14:paraId="745FF116" w14:textId="77777777" w:rsidR="00791AC8" w:rsidRPr="00972AB4" w:rsidRDefault="00791AC8" w:rsidP="001E4301">
      <w:pPr>
        <w:spacing w:line="360" w:lineRule="auto"/>
        <w:ind w:left="-142" w:right="-430"/>
        <w:jc w:val="center"/>
        <w:outlineLvl w:val="0"/>
        <w:rPr>
          <w:rFonts w:ascii="Arial" w:hAnsi="Arial" w:cs="Arial"/>
          <w:b/>
        </w:rPr>
      </w:pPr>
      <w:r w:rsidRPr="00972AB4">
        <w:rPr>
          <w:rFonts w:ascii="Arial" w:hAnsi="Arial" w:cs="Arial"/>
          <w:b/>
        </w:rPr>
        <w:t>SITUATED AT</w:t>
      </w:r>
    </w:p>
    <w:p w14:paraId="0DD1611C" w14:textId="1DDFDCC0" w:rsidR="00D41272" w:rsidRPr="00D41272" w:rsidRDefault="00D41272" w:rsidP="00D41272">
      <w:pPr>
        <w:spacing w:line="360" w:lineRule="auto"/>
        <w:ind w:left="-142" w:right="-430"/>
        <w:jc w:val="center"/>
        <w:rPr>
          <w:rFonts w:ascii="Arial" w:hAnsi="Arial" w:cs="Arial"/>
          <w:b/>
          <w:lang w:val="en-IN"/>
        </w:rPr>
      </w:pPr>
      <w:r w:rsidRPr="00D41272">
        <w:rPr>
          <w:rFonts w:ascii="Arial" w:hAnsi="Arial" w:cs="Arial"/>
          <w:b/>
          <w:lang w:val="en-IN"/>
        </w:rPr>
        <w:t>GTL INFRASTRUCTURE LIMITED</w:t>
      </w:r>
      <w:r>
        <w:rPr>
          <w:rFonts w:ascii="Arial" w:hAnsi="Arial" w:cs="Arial"/>
          <w:b/>
          <w:lang w:val="en-IN"/>
        </w:rPr>
        <w:t xml:space="preserve">, </w:t>
      </w:r>
      <w:r w:rsidRPr="00D41272">
        <w:rPr>
          <w:rFonts w:ascii="Arial" w:hAnsi="Arial" w:cs="Arial"/>
          <w:b/>
          <w:lang w:val="en-IN"/>
        </w:rPr>
        <w:t>FLOOR 7, BUILDING A, PLOT EL – 207, MIDC, TTC INDUSTRIAL AREA, MAHAPE,</w:t>
      </w:r>
      <w:r>
        <w:rPr>
          <w:rFonts w:ascii="Arial" w:hAnsi="Arial" w:cs="Arial"/>
          <w:b/>
          <w:lang w:val="en-IN"/>
        </w:rPr>
        <w:t xml:space="preserve"> </w:t>
      </w:r>
      <w:r w:rsidRPr="00D41272">
        <w:rPr>
          <w:rFonts w:ascii="Arial" w:hAnsi="Arial" w:cs="Arial"/>
          <w:b/>
          <w:lang w:val="en-IN"/>
        </w:rPr>
        <w:t>NAVI MUMBAI - 400710, MAHARASHTRA, INDIA.</w:t>
      </w:r>
    </w:p>
    <w:p w14:paraId="5E7225F2" w14:textId="5A5C351D" w:rsidR="00791AC8" w:rsidRPr="00D41272" w:rsidRDefault="00791AC8" w:rsidP="001E4301">
      <w:pPr>
        <w:ind w:left="-142" w:right="-430"/>
        <w:jc w:val="center"/>
        <w:rPr>
          <w:rFonts w:ascii="Arial" w:hAnsi="Arial" w:cs="Arial"/>
          <w:b/>
          <w:lang w:val="en-IN"/>
        </w:rPr>
      </w:pPr>
    </w:p>
    <w:p w14:paraId="5C268FE0" w14:textId="77777777" w:rsidR="00791AC8" w:rsidRDefault="00D44AC2" w:rsidP="001E4301">
      <w:pPr>
        <w:tabs>
          <w:tab w:val="left" w:pos="8190"/>
        </w:tabs>
        <w:spacing w:line="360" w:lineRule="auto"/>
        <w:ind w:left="-142" w:right="-430"/>
        <w:jc w:val="center"/>
        <w:rPr>
          <w:rFonts w:ascii="Arial" w:hAnsi="Arial" w:cs="Arial"/>
          <w:b/>
          <w:szCs w:val="20"/>
        </w:rPr>
      </w:pPr>
      <w:sdt>
        <w:sdtPr>
          <w:rPr>
            <w:rFonts w:ascii="Arial" w:hAnsi="Arial" w:cs="Arial"/>
            <w:b/>
            <w:sz w:val="32"/>
          </w:rPr>
          <w:id w:val="-1048604389"/>
          <w:placeholder>
            <w:docPart w:val="420C91A2D8D34B2682B1FA8E0B97BF8C"/>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EndPr/>
        <w:sdtContent>
          <w:r w:rsidR="00791AC8">
            <w:rPr>
              <w:rFonts w:ascii="Arial" w:hAnsi="Arial" w:cs="Arial"/>
              <w:b/>
              <w:sz w:val="32"/>
              <w:lang w:val="en-IN"/>
            </w:rPr>
            <w:t>OWNER/ PROMOTER</w:t>
          </w:r>
        </w:sdtContent>
      </w:sdt>
      <w:r w:rsidR="00791AC8" w:rsidRPr="005137D6">
        <w:rPr>
          <w:rFonts w:ascii="Arial" w:hAnsi="Arial" w:cs="Arial"/>
          <w:b/>
          <w:szCs w:val="20"/>
        </w:rPr>
        <w:t xml:space="preserve"> </w:t>
      </w:r>
    </w:p>
    <w:p w14:paraId="649E53C4" w14:textId="76490914" w:rsidR="00791AC8" w:rsidRPr="00F148D8" w:rsidRDefault="00791AC8" w:rsidP="001E4301">
      <w:pPr>
        <w:tabs>
          <w:tab w:val="left" w:pos="9209"/>
        </w:tabs>
        <w:spacing w:line="360" w:lineRule="auto"/>
        <w:ind w:left="-142" w:right="-430"/>
        <w:jc w:val="center"/>
        <w:rPr>
          <w:rFonts w:ascii="Arial" w:hAnsi="Arial" w:cs="Arial"/>
          <w:b/>
        </w:rPr>
      </w:pPr>
      <w:r w:rsidRPr="00896A5D">
        <w:rPr>
          <w:rFonts w:ascii="Arial" w:hAnsi="Arial" w:cs="Arial"/>
          <w:b/>
        </w:rPr>
        <w:t xml:space="preserve">M/S </w:t>
      </w:r>
      <w:r w:rsidR="00D41272">
        <w:rPr>
          <w:rFonts w:ascii="Arial" w:hAnsi="Arial" w:cs="Arial"/>
          <w:b/>
        </w:rPr>
        <w:t>GTL INFRASTRUCTURE LIMITED</w:t>
      </w:r>
      <w:r w:rsidRPr="00896A5D">
        <w:rPr>
          <w:rFonts w:ascii="Arial" w:hAnsi="Arial" w:cs="Arial"/>
          <w:b/>
        </w:rPr>
        <w:t xml:space="preserve"> (</w:t>
      </w:r>
      <w:r w:rsidR="00D41272">
        <w:rPr>
          <w:rFonts w:ascii="Arial" w:hAnsi="Arial" w:cs="Arial"/>
          <w:b/>
        </w:rPr>
        <w:t>GI</w:t>
      </w:r>
      <w:r w:rsidRPr="00896A5D">
        <w:rPr>
          <w:rFonts w:ascii="Arial" w:hAnsi="Arial" w:cs="Arial"/>
          <w:b/>
        </w:rPr>
        <w:t>L)</w:t>
      </w:r>
    </w:p>
    <w:p w14:paraId="2900806A" w14:textId="77777777" w:rsidR="00791AC8" w:rsidRPr="00CF78E7" w:rsidRDefault="00791AC8" w:rsidP="001E4301">
      <w:pPr>
        <w:tabs>
          <w:tab w:val="left" w:pos="8190"/>
        </w:tabs>
        <w:spacing w:line="360" w:lineRule="auto"/>
        <w:ind w:left="-142" w:right="-430"/>
        <w:jc w:val="center"/>
        <w:outlineLvl w:val="0"/>
        <w:rPr>
          <w:rFonts w:ascii="Arial" w:hAnsi="Arial" w:cs="Arial"/>
          <w:b/>
          <w:sz w:val="12"/>
          <w:szCs w:val="12"/>
        </w:rPr>
      </w:pPr>
    </w:p>
    <w:p w14:paraId="134B1FCD" w14:textId="77777777" w:rsidR="00791AC8" w:rsidRDefault="00791AC8" w:rsidP="001E4301">
      <w:pPr>
        <w:tabs>
          <w:tab w:val="left" w:pos="8190"/>
        </w:tabs>
        <w:spacing w:line="360" w:lineRule="auto"/>
        <w:ind w:left="-142" w:right="-430"/>
        <w:jc w:val="center"/>
        <w:outlineLvl w:val="0"/>
        <w:rPr>
          <w:rFonts w:ascii="Arial" w:hAnsi="Arial" w:cs="Arial"/>
          <w:b/>
        </w:rPr>
      </w:pPr>
      <w:r>
        <w:rPr>
          <w:rFonts w:ascii="Arial" w:hAnsi="Arial" w:cs="Arial"/>
          <w:b/>
        </w:rPr>
        <w:t>REPORT PREPARED FOR</w:t>
      </w:r>
    </w:p>
    <w:p w14:paraId="4708BB36" w14:textId="2D2DD2F4" w:rsidR="00655E10" w:rsidRDefault="00D41272" w:rsidP="00D41272">
      <w:pPr>
        <w:spacing w:line="276" w:lineRule="auto"/>
        <w:ind w:left="-142" w:right="-430" w:hanging="11"/>
        <w:jc w:val="center"/>
        <w:rPr>
          <w:rFonts w:ascii="Arial" w:hAnsi="Arial" w:cs="Arial"/>
          <w:b/>
          <w:lang w:val="en-IN"/>
        </w:rPr>
      </w:pPr>
      <w:r w:rsidRPr="00D41272">
        <w:rPr>
          <w:rFonts w:ascii="Arial" w:hAnsi="Arial" w:cs="Arial"/>
          <w:b/>
          <w:lang w:val="en-IN"/>
        </w:rPr>
        <w:t>EDELWEISS ASSET RECONSTRUCTION COMPANY LIMITED</w:t>
      </w:r>
      <w:r>
        <w:rPr>
          <w:rFonts w:ascii="Arial" w:hAnsi="Arial" w:cs="Arial"/>
          <w:b/>
          <w:lang w:val="en-IN"/>
        </w:rPr>
        <w:t xml:space="preserve">, </w:t>
      </w:r>
      <w:r w:rsidRPr="00D41272">
        <w:rPr>
          <w:rFonts w:ascii="Arial" w:hAnsi="Arial" w:cs="Arial"/>
          <w:b/>
          <w:lang w:val="en-IN"/>
        </w:rPr>
        <w:t xml:space="preserve">EDELWEISS HOUSE, 1ST FLOOR, OFF CST ROAD KALINA, MUMBAI </w:t>
      </w:r>
      <w:r w:rsidR="00B80526">
        <w:rPr>
          <w:rFonts w:ascii="Arial" w:hAnsi="Arial" w:cs="Arial"/>
          <w:b/>
          <w:lang w:val="en-IN"/>
        </w:rPr>
        <w:t>–</w:t>
      </w:r>
      <w:r w:rsidRPr="00D41272">
        <w:rPr>
          <w:rFonts w:ascii="Arial" w:hAnsi="Arial" w:cs="Arial"/>
          <w:b/>
          <w:lang w:val="en-IN"/>
        </w:rPr>
        <w:t xml:space="preserve"> 400098</w:t>
      </w:r>
    </w:p>
    <w:p w14:paraId="72483600" w14:textId="77777777" w:rsidR="00B80526" w:rsidRPr="00AF68CD" w:rsidRDefault="00B80526" w:rsidP="00B80526">
      <w:pPr>
        <w:spacing w:after="0" w:line="276" w:lineRule="auto"/>
        <w:ind w:left="-142" w:right="-430" w:hanging="11"/>
        <w:jc w:val="center"/>
        <w:rPr>
          <w:rFonts w:ascii="Arial" w:hAnsi="Arial" w:cs="Arial"/>
          <w:b/>
          <w:sz w:val="14"/>
          <w:szCs w:val="6"/>
        </w:rPr>
      </w:pPr>
    </w:p>
    <w:p w14:paraId="36D4DAD4" w14:textId="77777777" w:rsidR="00791AC8" w:rsidRDefault="00791AC8" w:rsidP="00B80526">
      <w:pPr>
        <w:widowControl w:val="0"/>
        <w:autoSpaceDE w:val="0"/>
        <w:autoSpaceDN w:val="0"/>
        <w:spacing w:after="0" w:line="360" w:lineRule="auto"/>
        <w:ind w:left="-142" w:right="-430"/>
        <w:jc w:val="center"/>
        <w:rPr>
          <w:rFonts w:ascii="Arial" w:eastAsia="Arial" w:hAnsi="Arial" w:cs="Arial"/>
          <w:b/>
          <w:i/>
          <w:sz w:val="16"/>
          <w:szCs w:val="16"/>
          <w:lang w:bidi="en-US"/>
        </w:rPr>
      </w:pPr>
      <w:r w:rsidRPr="00B2687B">
        <w:rPr>
          <w:rFonts w:ascii="Arial" w:eastAsia="Arial" w:hAnsi="Arial" w:cs="Arial"/>
          <w:b/>
          <w:i/>
          <w:sz w:val="16"/>
          <w:szCs w:val="16"/>
          <w:lang w:bidi="en-US"/>
        </w:rPr>
        <w:t>**Important - In case of any query/ issue/ concern or escalation you may please contact Incident Manager @ valuers@rkassociates.org. We will appreciate your feedback in order to improve our services.</w:t>
      </w:r>
    </w:p>
    <w:p w14:paraId="3502CF00" w14:textId="77777777" w:rsidR="00655E10" w:rsidRDefault="00655E10" w:rsidP="001E4301">
      <w:pPr>
        <w:widowControl w:val="0"/>
        <w:autoSpaceDE w:val="0"/>
        <w:autoSpaceDN w:val="0"/>
        <w:spacing w:after="0" w:line="360" w:lineRule="auto"/>
        <w:ind w:left="-142" w:right="-430"/>
        <w:jc w:val="center"/>
        <w:rPr>
          <w:rFonts w:ascii="Arial" w:eastAsia="Arial" w:hAnsi="Arial" w:cs="Arial"/>
          <w:b/>
          <w:i/>
          <w:sz w:val="16"/>
          <w:szCs w:val="16"/>
          <w:lang w:bidi="en-US"/>
        </w:rPr>
      </w:pPr>
    </w:p>
    <w:p w14:paraId="6F83EEC6" w14:textId="77777777" w:rsidR="00791AC8" w:rsidRDefault="00791AC8" w:rsidP="001E4301">
      <w:pPr>
        <w:widowControl w:val="0"/>
        <w:autoSpaceDE w:val="0"/>
        <w:autoSpaceDN w:val="0"/>
        <w:spacing w:line="360" w:lineRule="auto"/>
        <w:ind w:left="-142" w:right="-430"/>
        <w:jc w:val="center"/>
        <w:rPr>
          <w:rFonts w:ascii="Arial" w:eastAsia="Arial" w:hAnsi="Arial" w:cs="Arial"/>
          <w:b/>
          <w:i/>
          <w:sz w:val="16"/>
          <w:szCs w:val="16"/>
          <w:lang w:bidi="en-US"/>
        </w:rPr>
      </w:pPr>
      <w:r w:rsidRPr="00B2687B">
        <w:rPr>
          <w:rFonts w:ascii="Arial" w:eastAsia="Arial" w:hAnsi="Arial" w:cs="Arial"/>
          <w:b/>
          <w:i/>
          <w:sz w:val="16"/>
          <w:szCs w:val="16"/>
          <w:lang w:bidi="en-US"/>
        </w:rPr>
        <w:t xml:space="preserve">NOTE: </w:t>
      </w:r>
      <w:r>
        <w:rPr>
          <w:rFonts w:ascii="Arial" w:eastAsia="Arial" w:hAnsi="Arial" w:cs="Arial"/>
          <w:b/>
          <w:i/>
          <w:sz w:val="16"/>
          <w:szCs w:val="16"/>
          <w:lang w:bidi="en-US"/>
        </w:rPr>
        <w:t>P</w:t>
      </w:r>
      <w:r w:rsidRPr="00B2687B">
        <w:rPr>
          <w:rFonts w:ascii="Arial" w:eastAsia="Arial" w:hAnsi="Arial" w:cs="Arial"/>
          <w:b/>
          <w:i/>
          <w:sz w:val="16"/>
          <w:szCs w:val="16"/>
          <w:lang w:bidi="en-US"/>
        </w:rPr>
        <w:t>lease provide your feedback on the report within 15 days of its submission after which report will be considered to be accepted &amp; correct.</w:t>
      </w:r>
      <w:r>
        <w:rPr>
          <w:rFonts w:ascii="Arial" w:eastAsia="Arial" w:hAnsi="Arial" w:cs="Arial"/>
          <w:b/>
          <w:i/>
          <w:sz w:val="16"/>
          <w:szCs w:val="16"/>
          <w:lang w:bidi="en-US"/>
        </w:rPr>
        <w:t xml:space="preserve"> </w:t>
      </w:r>
      <w:r w:rsidRPr="00B2687B">
        <w:rPr>
          <w:rFonts w:ascii="Arial" w:eastAsia="Arial" w:hAnsi="Arial" w:cs="Arial"/>
          <w:b/>
          <w:i/>
          <w:sz w:val="16"/>
          <w:szCs w:val="16"/>
          <w:lang w:bidi="en-US"/>
        </w:rPr>
        <w:t xml:space="preserve">Valuation Terms of Services &amp; </w:t>
      </w:r>
      <w:proofErr w:type="spellStart"/>
      <w:r w:rsidRPr="00B2687B">
        <w:rPr>
          <w:rFonts w:ascii="Arial" w:eastAsia="Arial" w:hAnsi="Arial" w:cs="Arial"/>
          <w:b/>
          <w:i/>
          <w:sz w:val="16"/>
          <w:szCs w:val="16"/>
          <w:lang w:bidi="en-US"/>
        </w:rPr>
        <w:t>Valuer’s</w:t>
      </w:r>
      <w:proofErr w:type="spellEnd"/>
      <w:r w:rsidRPr="00B2687B">
        <w:rPr>
          <w:rFonts w:ascii="Arial" w:eastAsia="Arial" w:hAnsi="Arial" w:cs="Arial"/>
          <w:b/>
          <w:i/>
          <w:sz w:val="16"/>
          <w:szCs w:val="16"/>
          <w:lang w:bidi="en-US"/>
        </w:rPr>
        <w:t xml:space="preserve"> Important Remarks are available at </w:t>
      </w:r>
      <w:hyperlink r:id="rId8" w:history="1">
        <w:r w:rsidRPr="00B2687B">
          <w:rPr>
            <w:rFonts w:ascii="Arial" w:eastAsia="Arial" w:hAnsi="Arial" w:cs="Arial"/>
            <w:b/>
            <w:i/>
            <w:color w:val="0000FF"/>
            <w:sz w:val="16"/>
            <w:szCs w:val="16"/>
            <w:u w:val="single"/>
            <w:lang w:bidi="en-US"/>
          </w:rPr>
          <w:t>www.rkassociates.org</w:t>
        </w:r>
      </w:hyperlink>
      <w:r w:rsidRPr="00B2687B">
        <w:rPr>
          <w:rFonts w:ascii="Arial" w:eastAsia="Arial" w:hAnsi="Arial" w:cs="Arial"/>
          <w:b/>
          <w:i/>
          <w:sz w:val="16"/>
          <w:szCs w:val="16"/>
          <w:lang w:bidi="en-US"/>
        </w:rPr>
        <w:t xml:space="preserve"> for reference.</w:t>
      </w:r>
    </w:p>
    <w:p w14:paraId="1EB6C93C" w14:textId="77777777" w:rsidR="00E11206" w:rsidRPr="001D42F3" w:rsidRDefault="00E11206" w:rsidP="00D911A0">
      <w:pPr>
        <w:spacing w:after="0" w:line="360" w:lineRule="auto"/>
        <w:ind w:left="-284" w:right="-23"/>
        <w:rPr>
          <w:rFonts w:ascii="Arial" w:hAnsi="Arial" w:cs="Arial"/>
          <w:b/>
          <w:i/>
          <w:sz w:val="20"/>
          <w:szCs w:val="16"/>
        </w:rPr>
        <w:sectPr w:rsidR="00E11206" w:rsidRPr="001D42F3" w:rsidSect="001D42F3">
          <w:headerReference w:type="even" r:id="rId9"/>
          <w:headerReference w:type="default" r:id="rId10"/>
          <w:footerReference w:type="even" r:id="rId11"/>
          <w:footerReference w:type="default" r:id="rId12"/>
          <w:footerReference w:type="first" r:id="rId13"/>
          <w:pgSz w:w="11909" w:h="16834"/>
          <w:pgMar w:top="1440" w:right="1440" w:bottom="1560" w:left="1260" w:header="576" w:footer="464" w:gutter="0"/>
          <w:pgNumType w:start="1"/>
          <w:cols w:space="720"/>
          <w:titlePg/>
          <w:docGrid w:linePitch="360"/>
        </w:sectPr>
      </w:pPr>
    </w:p>
    <w:p w14:paraId="2A343048" w14:textId="77777777" w:rsidR="00B80526" w:rsidRDefault="00B80526" w:rsidP="00D911A0">
      <w:pPr>
        <w:ind w:left="-284" w:right="-23"/>
        <w:jc w:val="center"/>
        <w:rPr>
          <w:rFonts w:ascii="Arial" w:hAnsi="Arial" w:cs="Arial"/>
          <w:b/>
          <w:szCs w:val="28"/>
          <w:u w:val="single"/>
        </w:rPr>
      </w:pPr>
    </w:p>
    <w:p w14:paraId="4D7C8624" w14:textId="6DE2A080" w:rsidR="00CF78E7" w:rsidRDefault="00CF78E7" w:rsidP="00D911A0">
      <w:pPr>
        <w:ind w:left="-284" w:right="-23"/>
        <w:jc w:val="center"/>
        <w:rPr>
          <w:rFonts w:ascii="Arial" w:hAnsi="Arial" w:cs="Arial"/>
          <w:b/>
          <w:szCs w:val="28"/>
          <w:u w:val="single"/>
        </w:rPr>
      </w:pPr>
      <w:r w:rsidRPr="00836B04">
        <w:rPr>
          <w:rFonts w:ascii="Arial" w:hAnsi="Arial" w:cs="Arial"/>
          <w:b/>
          <w:szCs w:val="28"/>
          <w:u w:val="single"/>
        </w:rPr>
        <w:t>IMPORTANT NOTICE</w:t>
      </w:r>
    </w:p>
    <w:p w14:paraId="3D32F336" w14:textId="77777777" w:rsidR="00CF78E7" w:rsidRPr="00836B04" w:rsidRDefault="00CF78E7" w:rsidP="00D911A0">
      <w:pPr>
        <w:tabs>
          <w:tab w:val="left" w:pos="360"/>
        </w:tabs>
        <w:spacing w:line="360" w:lineRule="auto"/>
        <w:ind w:left="-284" w:right="-23"/>
        <w:jc w:val="center"/>
        <w:rPr>
          <w:rFonts w:ascii="Arial" w:hAnsi="Arial" w:cs="Arial"/>
          <w:b/>
          <w:szCs w:val="28"/>
          <w:u w:val="single"/>
        </w:rPr>
      </w:pPr>
    </w:p>
    <w:p w14:paraId="66A93A2D" w14:textId="77777777" w:rsidR="00CF78E7" w:rsidRPr="00B14DBF" w:rsidRDefault="00CF78E7" w:rsidP="00D911A0">
      <w:pPr>
        <w:tabs>
          <w:tab w:val="left" w:pos="360"/>
        </w:tabs>
        <w:spacing w:before="240" w:line="360" w:lineRule="auto"/>
        <w:ind w:left="-284" w:right="-23"/>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Pr="00B14DBF">
        <w:rPr>
          <w:rFonts w:ascii="Arial" w:hAnsi="Arial" w:cs="Arial"/>
          <w:i/>
          <w:sz w:val="22"/>
          <w:szCs w:val="22"/>
        </w:rPr>
        <w:t xml:space="preserve">This report is prepared on the copyright format of R. K. Associates </w:t>
      </w:r>
      <w:proofErr w:type="spellStart"/>
      <w:r w:rsidRPr="00B14DBF">
        <w:rPr>
          <w:rFonts w:ascii="Arial" w:hAnsi="Arial" w:cs="Arial"/>
          <w:i/>
          <w:sz w:val="22"/>
          <w:szCs w:val="22"/>
        </w:rPr>
        <w:t>Valuers</w:t>
      </w:r>
      <w:proofErr w:type="spellEnd"/>
      <w:r w:rsidRPr="00B14DBF">
        <w:rPr>
          <w:rFonts w:ascii="Arial" w:hAnsi="Arial" w:cs="Arial"/>
          <w:i/>
          <w:sz w:val="22"/>
          <w:szCs w:val="22"/>
        </w:rPr>
        <w:t xml:space="preserve">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529CF35" w14:textId="77777777" w:rsidR="00CF78E7" w:rsidRPr="006A44C2" w:rsidRDefault="00CF78E7" w:rsidP="00D911A0">
      <w:pPr>
        <w:tabs>
          <w:tab w:val="left" w:pos="360"/>
        </w:tabs>
        <w:spacing w:line="360" w:lineRule="auto"/>
        <w:ind w:left="-284" w:right="-23"/>
        <w:jc w:val="center"/>
        <w:rPr>
          <w:rFonts w:ascii="Arial" w:hAnsi="Arial" w:cs="Arial"/>
          <w:i/>
          <w:sz w:val="22"/>
          <w:szCs w:val="22"/>
        </w:rPr>
      </w:pPr>
      <w:r w:rsidRPr="00B14DBF">
        <w:rPr>
          <w:rFonts w:ascii="Arial" w:hAnsi="Arial" w:cs="Arial"/>
          <w:i/>
          <w:sz w:val="22"/>
          <w:szCs w:val="22"/>
        </w:rPr>
        <w:t>This report is intended for the sole use of the intended recipient/s and contains material that is STRICTLY CONFIDENTIAL AND PRIVATE.</w:t>
      </w:r>
    </w:p>
    <w:p w14:paraId="2FFEC539" w14:textId="77777777" w:rsidR="00CF78E7" w:rsidRPr="006A44C2" w:rsidRDefault="00CF78E7" w:rsidP="00D911A0">
      <w:pPr>
        <w:tabs>
          <w:tab w:val="left" w:pos="360"/>
        </w:tabs>
        <w:spacing w:line="360" w:lineRule="auto"/>
        <w:ind w:left="-284" w:right="-23"/>
        <w:jc w:val="center"/>
        <w:rPr>
          <w:rFonts w:ascii="Arial" w:hAnsi="Arial" w:cs="Arial"/>
          <w:i/>
          <w:sz w:val="22"/>
          <w:szCs w:val="22"/>
        </w:rPr>
      </w:pPr>
    </w:p>
    <w:p w14:paraId="5BE0F28C" w14:textId="77777777" w:rsidR="00CF78E7" w:rsidRPr="0077508B" w:rsidRDefault="00CF78E7" w:rsidP="00D911A0">
      <w:pPr>
        <w:spacing w:line="360" w:lineRule="auto"/>
        <w:ind w:left="-284" w:right="-23"/>
        <w:jc w:val="center"/>
        <w:rPr>
          <w:rFonts w:ascii="Arial" w:hAnsi="Arial" w:cs="Arial"/>
          <w:i/>
          <w:sz w:val="22"/>
          <w:szCs w:val="22"/>
        </w:rPr>
      </w:pPr>
      <w:r w:rsidRPr="006A44C2">
        <w:rPr>
          <w:rFonts w:ascii="Arial" w:hAnsi="Arial" w:cs="Arial"/>
          <w:b/>
          <w:i/>
          <w:sz w:val="22"/>
          <w:szCs w:val="22"/>
          <w:u w:val="single"/>
        </w:rPr>
        <w:t>DEFECT LIABILITY PERIOD</w:t>
      </w:r>
      <w:r w:rsidRPr="006A44C2">
        <w:rPr>
          <w:rFonts w:ascii="Arial" w:hAnsi="Arial" w:cs="Arial"/>
          <w:b/>
          <w:i/>
          <w:sz w:val="22"/>
          <w:szCs w:val="22"/>
        </w:rPr>
        <w:t>:</w:t>
      </w:r>
      <w:r>
        <w:rPr>
          <w:rFonts w:ascii="Arial" w:hAnsi="Arial" w:cs="Arial"/>
          <w:i/>
          <w:sz w:val="22"/>
          <w:szCs w:val="22"/>
        </w:rPr>
        <w:t xml:space="preserve"> </w:t>
      </w:r>
      <w:bookmarkStart w:id="0" w:name="_Hlk38912989"/>
      <w:r w:rsidRPr="0055777A">
        <w:rPr>
          <w:rFonts w:ascii="Arial" w:hAnsi="Arial" w:cs="Arial"/>
          <w:i/>
          <w:sz w:val="22"/>
          <w:szCs w:val="22"/>
        </w:rPr>
        <w:t>In case of any query/ issue or es</w:t>
      </w:r>
      <w:r>
        <w:rPr>
          <w:rFonts w:ascii="Arial" w:hAnsi="Arial" w:cs="Arial"/>
          <w:i/>
          <w:sz w:val="22"/>
          <w:szCs w:val="22"/>
        </w:rPr>
        <w:t xml:space="preserve">calation you may please contact </w:t>
      </w:r>
      <w:r w:rsidRPr="0055777A">
        <w:rPr>
          <w:rFonts w:ascii="Arial" w:hAnsi="Arial" w:cs="Arial"/>
          <w:i/>
          <w:sz w:val="22"/>
          <w:szCs w:val="22"/>
        </w:rPr>
        <w:t xml:space="preserve">Incident Manager at </w:t>
      </w:r>
      <w:r w:rsidRPr="0077508B">
        <w:rPr>
          <w:rFonts w:ascii="Arial" w:hAnsi="Arial" w:cs="Arial"/>
          <w:i/>
          <w:sz w:val="22"/>
          <w:szCs w:val="22"/>
        </w:rPr>
        <w:t>valuers@rkassociates.org</w:t>
      </w:r>
      <w:r w:rsidRPr="0055777A">
        <w:rPr>
          <w:rFonts w:ascii="Arial" w:hAnsi="Arial" w:cs="Arial"/>
          <w:i/>
          <w:sz w:val="22"/>
          <w:szCs w:val="22"/>
        </w:rPr>
        <w:t>.</w:t>
      </w:r>
      <w:r>
        <w:rPr>
          <w:rFonts w:ascii="Arial" w:hAnsi="Arial" w:cs="Arial"/>
          <w:i/>
          <w:sz w:val="22"/>
          <w:szCs w:val="22"/>
        </w:rPr>
        <w:t xml:space="preserve"> </w:t>
      </w:r>
      <w:r w:rsidRPr="0055777A">
        <w:rPr>
          <w:rFonts w:ascii="Arial" w:hAnsi="Arial" w:cs="Arial"/>
          <w:i/>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w:t>
      </w:r>
      <w:r>
        <w:rPr>
          <w:rFonts w:ascii="Arial" w:hAnsi="Arial" w:cs="Arial"/>
          <w:i/>
          <w:sz w:val="22"/>
          <w:szCs w:val="22"/>
        </w:rPr>
        <w:t xml:space="preserve"> </w:t>
      </w:r>
      <w:r w:rsidRPr="0055777A">
        <w:rPr>
          <w:rFonts w:ascii="Arial" w:hAnsi="Arial" w:cs="Arial"/>
          <w:i/>
          <w:sz w:val="22"/>
          <w:szCs w:val="22"/>
        </w:rPr>
        <w:t>to their satisfaction &amp; use and further to which R.K Associates shall not be held responsible in any manner.</w:t>
      </w:r>
      <w:bookmarkEnd w:id="0"/>
    </w:p>
    <w:p w14:paraId="5FC5D2B4" w14:textId="77777777" w:rsidR="00CF78E7" w:rsidRPr="006A44C2" w:rsidRDefault="00CF78E7" w:rsidP="00D911A0">
      <w:pPr>
        <w:spacing w:line="360" w:lineRule="auto"/>
        <w:ind w:left="-284" w:right="-23"/>
        <w:rPr>
          <w:rFonts w:ascii="Arial" w:hAnsi="Arial" w:cs="Arial"/>
          <w:b/>
          <w:sz w:val="22"/>
          <w:szCs w:val="22"/>
          <w:u w:val="single"/>
        </w:rPr>
      </w:pPr>
    </w:p>
    <w:p w14:paraId="4331282B" w14:textId="18E6EAB8" w:rsidR="00CF78E7" w:rsidRDefault="00CF78E7" w:rsidP="00D911A0">
      <w:pPr>
        <w:spacing w:line="360" w:lineRule="auto"/>
        <w:ind w:left="-284" w:right="-23"/>
        <w:jc w:val="center"/>
        <w:rPr>
          <w:rFonts w:ascii="Arial" w:hAnsi="Arial" w:cs="Arial"/>
          <w:i/>
          <w:sz w:val="22"/>
          <w:szCs w:val="22"/>
        </w:rPr>
      </w:pPr>
      <w:r w:rsidRPr="00B70BD6">
        <w:rPr>
          <w:rFonts w:ascii="Arial" w:hAnsi="Arial" w:cs="Arial"/>
          <w:b/>
          <w:i/>
          <w:sz w:val="22"/>
          <w:szCs w:val="22"/>
          <w:u w:val="single"/>
        </w:rPr>
        <w:t xml:space="preserve">Part </w:t>
      </w:r>
      <w:r w:rsidR="0087294A" w:rsidRPr="00B70BD6">
        <w:rPr>
          <w:rFonts w:ascii="Arial" w:hAnsi="Arial" w:cs="Arial"/>
          <w:b/>
          <w:i/>
          <w:sz w:val="22"/>
          <w:szCs w:val="22"/>
          <w:u w:val="single"/>
        </w:rPr>
        <w:t>H</w:t>
      </w:r>
      <w:r w:rsidRPr="00B70BD6">
        <w:rPr>
          <w:rFonts w:ascii="Arial" w:hAnsi="Arial" w:cs="Arial"/>
          <w:b/>
          <w:i/>
          <w:sz w:val="22"/>
          <w:szCs w:val="22"/>
          <w:u w:val="single"/>
        </w:rPr>
        <w:t>: R.</w:t>
      </w:r>
      <w:r>
        <w:rPr>
          <w:rFonts w:ascii="Arial" w:hAnsi="Arial" w:cs="Arial"/>
          <w:b/>
          <w:i/>
          <w:sz w:val="22"/>
          <w:szCs w:val="22"/>
          <w:u w:val="single"/>
        </w:rPr>
        <w:t xml:space="preserve"> </w:t>
      </w:r>
      <w:r w:rsidRPr="006A44C2">
        <w:rPr>
          <w:rFonts w:ascii="Arial" w:hAnsi="Arial" w:cs="Arial"/>
          <w:b/>
          <w:i/>
          <w:sz w:val="22"/>
          <w:szCs w:val="22"/>
          <w:u w:val="single"/>
        </w:rPr>
        <w:t>K</w:t>
      </w:r>
      <w:r>
        <w:rPr>
          <w:rFonts w:ascii="Arial" w:hAnsi="Arial" w:cs="Arial"/>
          <w:b/>
          <w:i/>
          <w:sz w:val="22"/>
          <w:szCs w:val="22"/>
          <w:u w:val="single"/>
        </w:rPr>
        <w:t>.</w:t>
      </w:r>
      <w:r w:rsidRPr="006A44C2">
        <w:rPr>
          <w:rFonts w:ascii="Arial" w:hAnsi="Arial" w:cs="Arial"/>
          <w:b/>
          <w:i/>
          <w:sz w:val="22"/>
          <w:szCs w:val="22"/>
          <w:u w:val="single"/>
        </w:rPr>
        <w:t xml:space="preserve"> Associates Important Dis</w:t>
      </w:r>
      <w:r>
        <w:rPr>
          <w:rFonts w:ascii="Arial" w:hAnsi="Arial" w:cs="Arial"/>
          <w:b/>
          <w:i/>
          <w:sz w:val="22"/>
          <w:szCs w:val="22"/>
          <w:u w:val="single"/>
        </w:rPr>
        <w:t xml:space="preserve">claimer and </w:t>
      </w:r>
      <w:r w:rsidRPr="006A44C2">
        <w:rPr>
          <w:rFonts w:ascii="Arial" w:hAnsi="Arial" w:cs="Arial"/>
          <w:b/>
          <w:i/>
          <w:sz w:val="22"/>
          <w:szCs w:val="22"/>
          <w:u w:val="single"/>
        </w:rPr>
        <w:t>Remarks</w:t>
      </w:r>
      <w:r w:rsidRPr="00474C2A">
        <w:rPr>
          <w:rFonts w:ascii="Arial" w:hAnsi="Arial" w:cs="Arial"/>
          <w:b/>
          <w:i/>
          <w:sz w:val="22"/>
          <w:szCs w:val="22"/>
        </w:rPr>
        <w:t xml:space="preserve"> </w:t>
      </w:r>
      <w:r w:rsidRPr="00474C2A">
        <w:rPr>
          <w:rFonts w:ascii="Arial" w:hAnsi="Arial" w:cs="Arial"/>
          <w:i/>
          <w:sz w:val="22"/>
          <w:szCs w:val="22"/>
        </w:rPr>
        <w:t xml:space="preserve">are integral part of this report and </w:t>
      </w:r>
      <w:r>
        <w:rPr>
          <w:rFonts w:ascii="Arial" w:hAnsi="Arial" w:cs="Arial"/>
          <w:i/>
          <w:sz w:val="22"/>
          <w:szCs w:val="22"/>
        </w:rPr>
        <w:t>Feasibility</w:t>
      </w:r>
      <w:r w:rsidRPr="00474C2A">
        <w:rPr>
          <w:rFonts w:ascii="Arial" w:hAnsi="Arial" w:cs="Arial"/>
          <w:i/>
          <w:sz w:val="22"/>
          <w:szCs w:val="22"/>
        </w:rPr>
        <w:t xml:space="preserve"> assessment is subject to this section. Reader of the report is advised to read all the points mentioned in these sections carefully.</w:t>
      </w:r>
    </w:p>
    <w:p w14:paraId="4FDEDF39" w14:textId="77777777" w:rsidR="00CF78E7" w:rsidRDefault="00CF78E7" w:rsidP="00CF78E7">
      <w:pPr>
        <w:rPr>
          <w:rFonts w:ascii="Arial" w:hAnsi="Arial" w:cs="Arial"/>
          <w:i/>
          <w:sz w:val="22"/>
          <w:szCs w:val="22"/>
        </w:rPr>
      </w:pPr>
      <w:r>
        <w:rPr>
          <w:rFonts w:ascii="Arial" w:hAnsi="Arial" w:cs="Arial"/>
          <w:i/>
          <w:sz w:val="22"/>
          <w:szCs w:val="22"/>
        </w:rPr>
        <w:br w:type="page"/>
      </w:r>
    </w:p>
    <w:tbl>
      <w:tblPr>
        <w:tblW w:w="516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6522"/>
        <w:gridCol w:w="1583"/>
      </w:tblGrid>
      <w:tr w:rsidR="00D579B3" w14:paraId="726FEFAA" w14:textId="77777777" w:rsidTr="00B70BD6">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vAlign w:val="center"/>
            <w:hideMark/>
          </w:tcPr>
          <w:p w14:paraId="1B56F7DF"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14:paraId="79E508CD" w14:textId="77777777" w:rsidTr="004B1CA8">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A3BCD" w14:textId="77777777" w:rsidR="00D579B3" w:rsidRDefault="00D579B3" w:rsidP="00782165">
            <w:pPr>
              <w:spacing w:after="0" w:line="276" w:lineRule="auto"/>
              <w:jc w:val="center"/>
              <w:rPr>
                <w:rFonts w:ascii="Arial" w:hAnsi="Arial" w:cs="Arial"/>
                <w:b/>
                <w:sz w:val="22"/>
                <w:szCs w:val="22"/>
              </w:rPr>
            </w:pPr>
          </w:p>
        </w:tc>
      </w:tr>
      <w:tr w:rsidR="00D579B3" w14:paraId="0D3285B2" w14:textId="77777777" w:rsidTr="004B1CA8">
        <w:trPr>
          <w:trHeight w:val="432"/>
          <w:tblHeader/>
        </w:trPr>
        <w:tc>
          <w:tcPr>
            <w:tcW w:w="8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8F9ECD"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CC01E7" w14:textId="77777777"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8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71D62E"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14:paraId="6F6F5BD3" w14:textId="77777777" w:rsidTr="004B1CA8">
        <w:trPr>
          <w:trHeight w:val="432"/>
        </w:trPr>
        <w:tc>
          <w:tcPr>
            <w:tcW w:w="857"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3FAF1D"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A</w:t>
            </w:r>
          </w:p>
        </w:tc>
        <w:tc>
          <w:tcPr>
            <w:tcW w:w="3334" w:type="pct"/>
            <w:tcBorders>
              <w:top w:val="single" w:sz="4" w:space="0" w:color="auto"/>
              <w:left w:val="single" w:sz="4" w:space="0" w:color="auto"/>
              <w:bottom w:val="single" w:sz="4" w:space="0" w:color="auto"/>
              <w:right w:val="single" w:sz="4" w:space="0" w:color="auto"/>
            </w:tcBorders>
            <w:vAlign w:val="center"/>
            <w:hideMark/>
          </w:tcPr>
          <w:p w14:paraId="342DE73E"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809" w:type="pct"/>
            <w:tcBorders>
              <w:top w:val="single" w:sz="4" w:space="0" w:color="auto"/>
              <w:left w:val="single" w:sz="4" w:space="0" w:color="auto"/>
              <w:bottom w:val="single" w:sz="4" w:space="0" w:color="auto"/>
              <w:right w:val="single" w:sz="4" w:space="0" w:color="auto"/>
            </w:tcBorders>
            <w:vAlign w:val="center"/>
            <w:hideMark/>
          </w:tcPr>
          <w:p w14:paraId="600D0B17" w14:textId="04BCC568" w:rsidR="00D579B3" w:rsidRDefault="00B70BD6" w:rsidP="00782165">
            <w:pPr>
              <w:spacing w:after="0" w:line="276" w:lineRule="auto"/>
              <w:jc w:val="center"/>
              <w:rPr>
                <w:rFonts w:ascii="Arial" w:hAnsi="Arial" w:cs="Arial"/>
                <w:b/>
                <w:sz w:val="22"/>
                <w:szCs w:val="22"/>
              </w:rPr>
            </w:pPr>
            <w:r>
              <w:rPr>
                <w:rFonts w:ascii="Arial" w:hAnsi="Arial" w:cs="Arial"/>
                <w:b/>
                <w:sz w:val="22"/>
                <w:szCs w:val="22"/>
              </w:rPr>
              <w:t>5</w:t>
            </w:r>
          </w:p>
        </w:tc>
      </w:tr>
      <w:tr w:rsidR="00D579B3" w14:paraId="502C946F"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22B221"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341854DC" w14:textId="77777777" w:rsidR="00D579B3" w:rsidRDefault="00D579B3" w:rsidP="00B07001">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About the Report</w:t>
            </w:r>
          </w:p>
        </w:tc>
        <w:tc>
          <w:tcPr>
            <w:tcW w:w="809" w:type="pct"/>
            <w:tcBorders>
              <w:top w:val="single" w:sz="4" w:space="0" w:color="auto"/>
              <w:left w:val="single" w:sz="4" w:space="0" w:color="auto"/>
              <w:bottom w:val="single" w:sz="4" w:space="0" w:color="auto"/>
              <w:right w:val="single" w:sz="4" w:space="0" w:color="auto"/>
            </w:tcBorders>
            <w:vAlign w:val="center"/>
            <w:hideMark/>
          </w:tcPr>
          <w:p w14:paraId="247C5098" w14:textId="38C0DD4E" w:rsidR="00D579B3" w:rsidRDefault="00B70BD6" w:rsidP="00782165">
            <w:pPr>
              <w:spacing w:after="0" w:line="276" w:lineRule="auto"/>
              <w:jc w:val="center"/>
              <w:rPr>
                <w:rFonts w:ascii="Arial" w:hAnsi="Arial" w:cs="Arial"/>
                <w:sz w:val="22"/>
                <w:szCs w:val="22"/>
              </w:rPr>
            </w:pPr>
            <w:r>
              <w:rPr>
                <w:rFonts w:ascii="Arial" w:hAnsi="Arial" w:cs="Arial"/>
                <w:sz w:val="22"/>
                <w:szCs w:val="22"/>
              </w:rPr>
              <w:t>5</w:t>
            </w:r>
          </w:p>
        </w:tc>
      </w:tr>
      <w:tr w:rsidR="00D579B3" w14:paraId="3D6C85FD"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474F86"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1FC2A26C" w14:textId="77777777" w:rsidR="00D579B3" w:rsidRDefault="00D579B3" w:rsidP="00B07001">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Background of the Project</w:t>
            </w:r>
          </w:p>
        </w:tc>
        <w:tc>
          <w:tcPr>
            <w:tcW w:w="809" w:type="pct"/>
            <w:tcBorders>
              <w:top w:val="single" w:sz="4" w:space="0" w:color="auto"/>
              <w:left w:val="single" w:sz="4" w:space="0" w:color="auto"/>
              <w:bottom w:val="single" w:sz="4" w:space="0" w:color="auto"/>
              <w:right w:val="single" w:sz="4" w:space="0" w:color="auto"/>
            </w:tcBorders>
            <w:vAlign w:val="center"/>
            <w:hideMark/>
          </w:tcPr>
          <w:p w14:paraId="08DDBB71" w14:textId="69951F1C" w:rsidR="00D579B3" w:rsidRDefault="00B70BD6" w:rsidP="00782165">
            <w:pPr>
              <w:spacing w:after="0" w:line="276" w:lineRule="auto"/>
              <w:jc w:val="center"/>
              <w:rPr>
                <w:rFonts w:ascii="Arial" w:hAnsi="Arial" w:cs="Arial"/>
                <w:sz w:val="22"/>
                <w:szCs w:val="22"/>
              </w:rPr>
            </w:pPr>
            <w:r>
              <w:rPr>
                <w:rFonts w:ascii="Arial" w:hAnsi="Arial" w:cs="Arial"/>
                <w:sz w:val="22"/>
                <w:szCs w:val="22"/>
              </w:rPr>
              <w:t>5</w:t>
            </w:r>
          </w:p>
        </w:tc>
      </w:tr>
      <w:tr w:rsidR="00D579B3" w14:paraId="1422E017"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5D0DA3"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17E0C7B6" w14:textId="77777777" w:rsidR="00D579B3" w:rsidRDefault="00D579B3" w:rsidP="00B07001">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Type of Report</w:t>
            </w:r>
          </w:p>
        </w:tc>
        <w:tc>
          <w:tcPr>
            <w:tcW w:w="809" w:type="pct"/>
            <w:tcBorders>
              <w:top w:val="single" w:sz="4" w:space="0" w:color="auto"/>
              <w:left w:val="single" w:sz="4" w:space="0" w:color="auto"/>
              <w:bottom w:val="single" w:sz="4" w:space="0" w:color="auto"/>
              <w:right w:val="single" w:sz="4" w:space="0" w:color="auto"/>
            </w:tcBorders>
            <w:vAlign w:val="center"/>
          </w:tcPr>
          <w:p w14:paraId="255A4C03" w14:textId="18A864A0" w:rsidR="00D579B3" w:rsidRDefault="00B70BD6" w:rsidP="00782165">
            <w:pPr>
              <w:spacing w:after="0" w:line="276" w:lineRule="auto"/>
              <w:jc w:val="center"/>
              <w:rPr>
                <w:rFonts w:ascii="Arial" w:hAnsi="Arial" w:cs="Arial"/>
                <w:sz w:val="22"/>
                <w:szCs w:val="22"/>
              </w:rPr>
            </w:pPr>
            <w:r>
              <w:rPr>
                <w:rFonts w:ascii="Arial" w:hAnsi="Arial" w:cs="Arial"/>
                <w:sz w:val="22"/>
                <w:szCs w:val="22"/>
              </w:rPr>
              <w:t>8</w:t>
            </w:r>
          </w:p>
        </w:tc>
      </w:tr>
      <w:tr w:rsidR="007D6460" w14:paraId="7328F575"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FB9365" w14:textId="77777777" w:rsidR="007D6460" w:rsidRDefault="007D6460" w:rsidP="007D6460">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065256A6" w14:textId="77777777" w:rsidR="007D6460" w:rsidRDefault="007D6460" w:rsidP="00B07001">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Purpose of the Report</w:t>
            </w:r>
          </w:p>
        </w:tc>
        <w:tc>
          <w:tcPr>
            <w:tcW w:w="809" w:type="pct"/>
            <w:tcBorders>
              <w:top w:val="single" w:sz="4" w:space="0" w:color="auto"/>
              <w:left w:val="single" w:sz="4" w:space="0" w:color="auto"/>
              <w:bottom w:val="single" w:sz="4" w:space="0" w:color="auto"/>
              <w:right w:val="single" w:sz="4" w:space="0" w:color="auto"/>
            </w:tcBorders>
            <w:vAlign w:val="center"/>
          </w:tcPr>
          <w:p w14:paraId="1FD2C053" w14:textId="33B37CAB" w:rsidR="007D6460" w:rsidRDefault="00B70BD6" w:rsidP="007D6460">
            <w:pPr>
              <w:spacing w:after="0" w:line="276" w:lineRule="auto"/>
              <w:jc w:val="center"/>
              <w:rPr>
                <w:rFonts w:ascii="Arial" w:hAnsi="Arial" w:cs="Arial"/>
                <w:sz w:val="22"/>
                <w:szCs w:val="22"/>
              </w:rPr>
            </w:pPr>
            <w:r>
              <w:rPr>
                <w:rFonts w:ascii="Arial" w:hAnsi="Arial" w:cs="Arial"/>
                <w:sz w:val="22"/>
                <w:szCs w:val="22"/>
              </w:rPr>
              <w:t>8</w:t>
            </w:r>
          </w:p>
        </w:tc>
      </w:tr>
      <w:tr w:rsidR="007D6460" w14:paraId="1E74261D"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5D8A62" w14:textId="77777777" w:rsidR="007D6460" w:rsidRDefault="007D6460" w:rsidP="007D6460">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70929542" w14:textId="589BC806" w:rsidR="007D6460" w:rsidRDefault="007D6460" w:rsidP="00B07001">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Scope of the Report</w:t>
            </w:r>
          </w:p>
        </w:tc>
        <w:tc>
          <w:tcPr>
            <w:tcW w:w="809" w:type="pct"/>
            <w:tcBorders>
              <w:top w:val="single" w:sz="4" w:space="0" w:color="auto"/>
              <w:left w:val="single" w:sz="4" w:space="0" w:color="auto"/>
              <w:bottom w:val="single" w:sz="4" w:space="0" w:color="auto"/>
              <w:right w:val="single" w:sz="4" w:space="0" w:color="auto"/>
            </w:tcBorders>
            <w:vAlign w:val="center"/>
          </w:tcPr>
          <w:p w14:paraId="42750601" w14:textId="4CDEFCEF" w:rsidR="007D6460" w:rsidRDefault="00B70BD6" w:rsidP="007D6460">
            <w:pPr>
              <w:spacing w:after="0" w:line="276" w:lineRule="auto"/>
              <w:jc w:val="center"/>
              <w:rPr>
                <w:rFonts w:ascii="Arial" w:hAnsi="Arial" w:cs="Arial"/>
                <w:sz w:val="22"/>
                <w:szCs w:val="22"/>
              </w:rPr>
            </w:pPr>
            <w:r>
              <w:rPr>
                <w:rFonts w:ascii="Arial" w:hAnsi="Arial" w:cs="Arial"/>
                <w:sz w:val="22"/>
                <w:szCs w:val="22"/>
              </w:rPr>
              <w:t>8</w:t>
            </w:r>
          </w:p>
        </w:tc>
      </w:tr>
      <w:tr w:rsidR="00D579B3" w14:paraId="306A174D"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E6E087"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7C408B82" w14:textId="77777777" w:rsidR="00D579B3" w:rsidRDefault="00D579B3" w:rsidP="00B07001">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Methodology/ Model Adopted</w:t>
            </w:r>
          </w:p>
        </w:tc>
        <w:tc>
          <w:tcPr>
            <w:tcW w:w="809" w:type="pct"/>
            <w:tcBorders>
              <w:top w:val="single" w:sz="4" w:space="0" w:color="auto"/>
              <w:left w:val="single" w:sz="4" w:space="0" w:color="auto"/>
              <w:bottom w:val="single" w:sz="4" w:space="0" w:color="auto"/>
              <w:right w:val="single" w:sz="4" w:space="0" w:color="auto"/>
            </w:tcBorders>
            <w:vAlign w:val="center"/>
          </w:tcPr>
          <w:p w14:paraId="5334ECB7" w14:textId="368B8E46" w:rsidR="00D579B3" w:rsidRDefault="00B70BD6" w:rsidP="00782165">
            <w:pPr>
              <w:spacing w:after="0" w:line="276" w:lineRule="auto"/>
              <w:jc w:val="center"/>
              <w:rPr>
                <w:rFonts w:ascii="Arial" w:hAnsi="Arial" w:cs="Arial"/>
                <w:sz w:val="22"/>
                <w:szCs w:val="22"/>
              </w:rPr>
            </w:pPr>
            <w:r>
              <w:rPr>
                <w:rFonts w:ascii="Arial" w:hAnsi="Arial" w:cs="Arial"/>
                <w:sz w:val="22"/>
                <w:szCs w:val="22"/>
              </w:rPr>
              <w:t>9</w:t>
            </w:r>
          </w:p>
        </w:tc>
      </w:tr>
      <w:tr w:rsidR="00D579B3" w14:paraId="30FDA0D5"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0CB13F"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0EF8BAA5" w14:textId="77777777" w:rsidR="00D579B3" w:rsidRDefault="00D579B3" w:rsidP="00B07001">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Documents/ Data Referred</w:t>
            </w:r>
          </w:p>
        </w:tc>
        <w:tc>
          <w:tcPr>
            <w:tcW w:w="809" w:type="pct"/>
            <w:tcBorders>
              <w:top w:val="single" w:sz="4" w:space="0" w:color="auto"/>
              <w:left w:val="single" w:sz="4" w:space="0" w:color="auto"/>
              <w:bottom w:val="single" w:sz="4" w:space="0" w:color="auto"/>
              <w:right w:val="single" w:sz="4" w:space="0" w:color="auto"/>
            </w:tcBorders>
            <w:vAlign w:val="center"/>
          </w:tcPr>
          <w:p w14:paraId="771D100C" w14:textId="339CE781" w:rsidR="00D579B3" w:rsidRDefault="00B70BD6" w:rsidP="00782165">
            <w:pPr>
              <w:spacing w:after="0" w:line="276" w:lineRule="auto"/>
              <w:jc w:val="center"/>
              <w:rPr>
                <w:rFonts w:ascii="Arial" w:hAnsi="Arial" w:cs="Arial"/>
                <w:sz w:val="22"/>
                <w:szCs w:val="22"/>
              </w:rPr>
            </w:pPr>
            <w:r>
              <w:rPr>
                <w:rFonts w:ascii="Arial" w:hAnsi="Arial" w:cs="Arial"/>
                <w:sz w:val="22"/>
                <w:szCs w:val="22"/>
              </w:rPr>
              <w:t>9</w:t>
            </w:r>
          </w:p>
        </w:tc>
      </w:tr>
      <w:tr w:rsidR="00A075FD" w14:paraId="7D2F044A" w14:textId="77777777" w:rsidTr="004B1CA8">
        <w:trPr>
          <w:trHeight w:val="432"/>
        </w:trPr>
        <w:tc>
          <w:tcPr>
            <w:tcW w:w="857"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0D0FEA9E" w14:textId="77777777" w:rsidR="00A075FD" w:rsidRDefault="00A075FD" w:rsidP="0087294A">
            <w:pPr>
              <w:spacing w:after="0" w:line="276" w:lineRule="auto"/>
              <w:jc w:val="center"/>
              <w:rPr>
                <w:rFonts w:ascii="Arial" w:hAnsi="Arial" w:cs="Arial"/>
                <w:b/>
                <w:sz w:val="22"/>
                <w:szCs w:val="22"/>
                <w:u w:val="single"/>
              </w:rPr>
            </w:pPr>
            <w:r>
              <w:rPr>
                <w:rFonts w:ascii="Arial" w:hAnsi="Arial" w:cs="Arial"/>
                <w:b/>
                <w:sz w:val="22"/>
                <w:szCs w:val="22"/>
              </w:rPr>
              <w:t>Part B</w:t>
            </w:r>
          </w:p>
        </w:tc>
        <w:tc>
          <w:tcPr>
            <w:tcW w:w="3334" w:type="pct"/>
            <w:tcBorders>
              <w:top w:val="single" w:sz="4" w:space="0" w:color="auto"/>
              <w:left w:val="single" w:sz="4" w:space="0" w:color="auto"/>
              <w:bottom w:val="single" w:sz="4" w:space="0" w:color="auto"/>
              <w:right w:val="single" w:sz="4" w:space="0" w:color="auto"/>
            </w:tcBorders>
            <w:vAlign w:val="center"/>
            <w:hideMark/>
          </w:tcPr>
          <w:p w14:paraId="36A85DB4" w14:textId="77777777" w:rsidR="00A075FD" w:rsidRDefault="00A075FD"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809" w:type="pct"/>
            <w:tcBorders>
              <w:top w:val="single" w:sz="4" w:space="0" w:color="auto"/>
              <w:left w:val="single" w:sz="4" w:space="0" w:color="auto"/>
              <w:bottom w:val="single" w:sz="4" w:space="0" w:color="auto"/>
              <w:right w:val="single" w:sz="4" w:space="0" w:color="auto"/>
            </w:tcBorders>
            <w:vAlign w:val="center"/>
          </w:tcPr>
          <w:p w14:paraId="741FA5F8" w14:textId="6EB44ABD" w:rsidR="00A075FD" w:rsidRDefault="007D6460" w:rsidP="00782165">
            <w:pPr>
              <w:spacing w:after="0" w:line="276" w:lineRule="auto"/>
              <w:jc w:val="center"/>
              <w:rPr>
                <w:rFonts w:ascii="Arial" w:hAnsi="Arial" w:cs="Arial"/>
                <w:b/>
                <w:sz w:val="22"/>
                <w:szCs w:val="22"/>
              </w:rPr>
            </w:pPr>
            <w:r>
              <w:rPr>
                <w:rFonts w:ascii="Arial" w:hAnsi="Arial" w:cs="Arial"/>
                <w:b/>
                <w:sz w:val="22"/>
                <w:szCs w:val="22"/>
              </w:rPr>
              <w:t>1</w:t>
            </w:r>
            <w:r w:rsidR="00B70BD6">
              <w:rPr>
                <w:rFonts w:ascii="Arial" w:hAnsi="Arial" w:cs="Arial"/>
                <w:b/>
                <w:sz w:val="22"/>
                <w:szCs w:val="22"/>
              </w:rPr>
              <w:t>0</w:t>
            </w:r>
          </w:p>
        </w:tc>
      </w:tr>
      <w:tr w:rsidR="00A075FD" w14:paraId="72A94F5A"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hideMark/>
          </w:tcPr>
          <w:p w14:paraId="0FC48BFD" w14:textId="77777777" w:rsidR="00A075FD" w:rsidRDefault="00A075FD"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023B1B31" w14:textId="2232E194" w:rsidR="00A075FD" w:rsidRDefault="00A075FD" w:rsidP="00B07001">
            <w:pPr>
              <w:pStyle w:val="ListParagraph"/>
              <w:numPr>
                <w:ilvl w:val="0"/>
                <w:numId w:val="4"/>
              </w:numPr>
              <w:tabs>
                <w:tab w:val="left" w:pos="0"/>
              </w:tabs>
              <w:spacing w:after="0" w:line="276" w:lineRule="auto"/>
              <w:ind w:left="459"/>
              <w:rPr>
                <w:rFonts w:ascii="Arial" w:hAnsi="Arial" w:cs="Arial"/>
                <w:sz w:val="22"/>
                <w:szCs w:val="22"/>
              </w:rPr>
            </w:pPr>
            <w:r>
              <w:rPr>
                <w:rFonts w:ascii="Arial" w:hAnsi="Arial" w:cs="Arial"/>
                <w:sz w:val="22"/>
                <w:szCs w:val="22"/>
                <w:lang w:val="en-IN"/>
              </w:rPr>
              <w:t>Brief Description About the Company</w:t>
            </w:r>
          </w:p>
        </w:tc>
        <w:tc>
          <w:tcPr>
            <w:tcW w:w="809" w:type="pct"/>
            <w:tcBorders>
              <w:top w:val="single" w:sz="4" w:space="0" w:color="auto"/>
              <w:left w:val="single" w:sz="4" w:space="0" w:color="auto"/>
              <w:bottom w:val="single" w:sz="4" w:space="0" w:color="auto"/>
              <w:right w:val="single" w:sz="4" w:space="0" w:color="auto"/>
            </w:tcBorders>
            <w:vAlign w:val="center"/>
          </w:tcPr>
          <w:p w14:paraId="308ED5B5" w14:textId="5450F947" w:rsidR="00A075FD" w:rsidRDefault="007D6460"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0</w:t>
            </w:r>
          </w:p>
        </w:tc>
      </w:tr>
      <w:tr w:rsidR="007D6460" w14:paraId="02B0D8E7"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tcPr>
          <w:p w14:paraId="4F60D5F0" w14:textId="77777777" w:rsidR="007D6460" w:rsidRDefault="007D6460"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tcPr>
          <w:p w14:paraId="50FC4848" w14:textId="5EB6B454" w:rsidR="007D6460" w:rsidRDefault="007D6460" w:rsidP="00B07001">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Key Personnel of the Company</w:t>
            </w:r>
          </w:p>
        </w:tc>
        <w:tc>
          <w:tcPr>
            <w:tcW w:w="809" w:type="pct"/>
            <w:tcBorders>
              <w:top w:val="single" w:sz="4" w:space="0" w:color="auto"/>
              <w:left w:val="single" w:sz="4" w:space="0" w:color="auto"/>
              <w:bottom w:val="single" w:sz="4" w:space="0" w:color="auto"/>
              <w:right w:val="single" w:sz="4" w:space="0" w:color="auto"/>
            </w:tcBorders>
            <w:vAlign w:val="center"/>
          </w:tcPr>
          <w:p w14:paraId="796DC1CD" w14:textId="32421B69" w:rsidR="007D6460" w:rsidRDefault="007D6460"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0</w:t>
            </w:r>
          </w:p>
        </w:tc>
      </w:tr>
      <w:tr w:rsidR="00A075FD" w14:paraId="1193C819"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hideMark/>
          </w:tcPr>
          <w:p w14:paraId="183FD652" w14:textId="77777777" w:rsidR="00A075FD" w:rsidRDefault="00A075FD"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640DBD70" w14:textId="77777777" w:rsidR="00A075FD" w:rsidRDefault="00A075FD" w:rsidP="00B07001">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809" w:type="pct"/>
            <w:tcBorders>
              <w:top w:val="single" w:sz="4" w:space="0" w:color="auto"/>
              <w:left w:val="single" w:sz="4" w:space="0" w:color="auto"/>
              <w:bottom w:val="single" w:sz="4" w:space="0" w:color="auto"/>
              <w:right w:val="single" w:sz="4" w:space="0" w:color="auto"/>
            </w:tcBorders>
            <w:vAlign w:val="center"/>
          </w:tcPr>
          <w:p w14:paraId="7E294D9F" w14:textId="1BFEC3EB" w:rsidR="00A075FD" w:rsidRDefault="007D6460"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1</w:t>
            </w:r>
          </w:p>
        </w:tc>
      </w:tr>
      <w:tr w:rsidR="00A075FD" w14:paraId="0B9DB684"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hideMark/>
          </w:tcPr>
          <w:p w14:paraId="6D7019F5" w14:textId="77777777" w:rsidR="00A075FD" w:rsidRDefault="00A075FD"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00A0B2A9" w14:textId="77777777" w:rsidR="00A075FD" w:rsidRDefault="00A075FD" w:rsidP="00B07001">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809" w:type="pct"/>
            <w:tcBorders>
              <w:top w:val="single" w:sz="4" w:space="0" w:color="auto"/>
              <w:left w:val="single" w:sz="4" w:space="0" w:color="auto"/>
              <w:bottom w:val="single" w:sz="4" w:space="0" w:color="auto"/>
              <w:right w:val="single" w:sz="4" w:space="0" w:color="auto"/>
            </w:tcBorders>
            <w:vAlign w:val="center"/>
            <w:hideMark/>
          </w:tcPr>
          <w:p w14:paraId="2FF2AB2D" w14:textId="29AAECD6" w:rsidR="00A075FD" w:rsidRDefault="007D6460"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1</w:t>
            </w:r>
          </w:p>
        </w:tc>
      </w:tr>
      <w:tr w:rsidR="00A075FD" w14:paraId="359ABEB3"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tcPr>
          <w:p w14:paraId="4FFE6351" w14:textId="77777777" w:rsidR="00A075FD" w:rsidRDefault="00A075FD"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tcPr>
          <w:p w14:paraId="6D34F563" w14:textId="0884CCD4" w:rsidR="00A075FD" w:rsidRDefault="00A075FD" w:rsidP="00B07001">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Snapshot of the Outstanding Debt of the Company</w:t>
            </w:r>
          </w:p>
        </w:tc>
        <w:tc>
          <w:tcPr>
            <w:tcW w:w="809" w:type="pct"/>
            <w:tcBorders>
              <w:top w:val="single" w:sz="4" w:space="0" w:color="auto"/>
              <w:left w:val="single" w:sz="4" w:space="0" w:color="auto"/>
              <w:bottom w:val="single" w:sz="4" w:space="0" w:color="auto"/>
              <w:right w:val="single" w:sz="4" w:space="0" w:color="auto"/>
            </w:tcBorders>
            <w:vAlign w:val="center"/>
          </w:tcPr>
          <w:p w14:paraId="23B6C470" w14:textId="20053978" w:rsidR="00A075FD" w:rsidRDefault="00A075FD"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2</w:t>
            </w:r>
          </w:p>
        </w:tc>
      </w:tr>
      <w:tr w:rsidR="00B70BD6" w14:paraId="7622BCAC"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tcPr>
          <w:p w14:paraId="11E70338" w14:textId="77777777" w:rsidR="00B70BD6" w:rsidRDefault="00B70BD6"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tcPr>
          <w:p w14:paraId="66732B72" w14:textId="5E44A951" w:rsidR="00B70BD6" w:rsidRDefault="00B70BD6" w:rsidP="00B07001">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Organizational Structure</w:t>
            </w:r>
          </w:p>
        </w:tc>
        <w:tc>
          <w:tcPr>
            <w:tcW w:w="809" w:type="pct"/>
            <w:tcBorders>
              <w:top w:val="single" w:sz="4" w:space="0" w:color="auto"/>
              <w:left w:val="single" w:sz="4" w:space="0" w:color="auto"/>
              <w:bottom w:val="single" w:sz="4" w:space="0" w:color="auto"/>
              <w:right w:val="single" w:sz="4" w:space="0" w:color="auto"/>
            </w:tcBorders>
            <w:vAlign w:val="center"/>
          </w:tcPr>
          <w:p w14:paraId="6B56A5C7" w14:textId="74161FFE" w:rsidR="00B70BD6" w:rsidRDefault="00B70BD6" w:rsidP="00782165">
            <w:pPr>
              <w:spacing w:after="0" w:line="276" w:lineRule="auto"/>
              <w:jc w:val="center"/>
              <w:rPr>
                <w:rFonts w:ascii="Arial" w:hAnsi="Arial" w:cs="Arial"/>
                <w:sz w:val="22"/>
                <w:szCs w:val="22"/>
              </w:rPr>
            </w:pPr>
            <w:r>
              <w:rPr>
                <w:rFonts w:ascii="Arial" w:hAnsi="Arial" w:cs="Arial"/>
                <w:sz w:val="22"/>
                <w:szCs w:val="22"/>
              </w:rPr>
              <w:t>13</w:t>
            </w:r>
          </w:p>
        </w:tc>
      </w:tr>
      <w:tr w:rsidR="00A075FD" w14:paraId="33774257" w14:textId="77777777" w:rsidTr="004B1CA8">
        <w:trPr>
          <w:trHeight w:val="432"/>
        </w:trPr>
        <w:tc>
          <w:tcPr>
            <w:tcW w:w="857" w:type="pct"/>
            <w:vMerge/>
            <w:tcBorders>
              <w:left w:val="single" w:sz="4" w:space="0" w:color="auto"/>
              <w:bottom w:val="single" w:sz="4" w:space="0" w:color="auto"/>
              <w:right w:val="single" w:sz="4" w:space="0" w:color="auto"/>
            </w:tcBorders>
            <w:shd w:val="clear" w:color="auto" w:fill="DEEAF6" w:themeFill="accent1" w:themeFillTint="33"/>
            <w:vAlign w:val="center"/>
          </w:tcPr>
          <w:p w14:paraId="30A23CB9" w14:textId="77777777" w:rsidR="00A075FD" w:rsidRDefault="00A075FD"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tcPr>
          <w:p w14:paraId="5B00577A" w14:textId="7F07F351" w:rsidR="00A075FD" w:rsidRDefault="00A075FD" w:rsidP="00B07001">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Current Status of the Project</w:t>
            </w:r>
          </w:p>
        </w:tc>
        <w:tc>
          <w:tcPr>
            <w:tcW w:w="809" w:type="pct"/>
            <w:tcBorders>
              <w:top w:val="single" w:sz="4" w:space="0" w:color="auto"/>
              <w:left w:val="single" w:sz="4" w:space="0" w:color="auto"/>
              <w:bottom w:val="single" w:sz="4" w:space="0" w:color="auto"/>
              <w:right w:val="single" w:sz="4" w:space="0" w:color="auto"/>
            </w:tcBorders>
            <w:vAlign w:val="center"/>
          </w:tcPr>
          <w:p w14:paraId="3728CE18" w14:textId="727C34B7" w:rsidR="00A075FD" w:rsidRDefault="00A075FD" w:rsidP="00782165">
            <w:pPr>
              <w:spacing w:after="0" w:line="276" w:lineRule="auto"/>
              <w:jc w:val="center"/>
              <w:rPr>
                <w:rFonts w:ascii="Arial" w:hAnsi="Arial" w:cs="Arial"/>
                <w:sz w:val="22"/>
                <w:szCs w:val="22"/>
              </w:rPr>
            </w:pPr>
            <w:r>
              <w:rPr>
                <w:rFonts w:ascii="Arial" w:hAnsi="Arial" w:cs="Arial"/>
                <w:sz w:val="22"/>
                <w:szCs w:val="22"/>
              </w:rPr>
              <w:t>1</w:t>
            </w:r>
            <w:r w:rsidR="007D6460">
              <w:rPr>
                <w:rFonts w:ascii="Arial" w:hAnsi="Arial" w:cs="Arial"/>
                <w:sz w:val="22"/>
                <w:szCs w:val="22"/>
              </w:rPr>
              <w:t>3</w:t>
            </w:r>
          </w:p>
        </w:tc>
      </w:tr>
      <w:tr w:rsidR="00D911A0" w14:paraId="0D6441C2" w14:textId="77777777" w:rsidTr="004B1CA8">
        <w:trPr>
          <w:trHeight w:val="432"/>
        </w:trPr>
        <w:tc>
          <w:tcPr>
            <w:tcW w:w="857"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3C6FAAC6" w14:textId="77777777" w:rsidR="00D911A0" w:rsidRDefault="00D911A0" w:rsidP="0087294A">
            <w:pPr>
              <w:spacing w:after="0" w:line="276" w:lineRule="auto"/>
              <w:jc w:val="center"/>
              <w:rPr>
                <w:rFonts w:ascii="Arial" w:hAnsi="Arial" w:cs="Arial"/>
                <w:b/>
                <w:sz w:val="22"/>
                <w:szCs w:val="22"/>
                <w:u w:val="single"/>
              </w:rPr>
            </w:pPr>
            <w:r>
              <w:rPr>
                <w:rFonts w:ascii="Arial" w:hAnsi="Arial" w:cs="Arial"/>
                <w:b/>
                <w:sz w:val="22"/>
                <w:szCs w:val="22"/>
              </w:rPr>
              <w:t>Part C</w:t>
            </w:r>
          </w:p>
        </w:tc>
        <w:tc>
          <w:tcPr>
            <w:tcW w:w="3334" w:type="pct"/>
            <w:tcBorders>
              <w:top w:val="single" w:sz="4" w:space="0" w:color="auto"/>
              <w:left w:val="single" w:sz="4" w:space="0" w:color="auto"/>
              <w:bottom w:val="single" w:sz="4" w:space="0" w:color="auto"/>
              <w:right w:val="single" w:sz="4" w:space="0" w:color="auto"/>
            </w:tcBorders>
            <w:vAlign w:val="center"/>
            <w:hideMark/>
          </w:tcPr>
          <w:p w14:paraId="22F754B2" w14:textId="77777777" w:rsidR="00D911A0" w:rsidRDefault="00D911A0" w:rsidP="00782165">
            <w:pPr>
              <w:tabs>
                <w:tab w:val="left" w:pos="0"/>
              </w:tabs>
              <w:spacing w:after="0" w:line="276" w:lineRule="auto"/>
              <w:rPr>
                <w:rFonts w:ascii="Arial" w:hAnsi="Arial" w:cs="Arial"/>
                <w:sz w:val="22"/>
                <w:szCs w:val="22"/>
                <w:lang w:val="en-IN"/>
              </w:rPr>
            </w:pPr>
            <w:r>
              <w:rPr>
                <w:rFonts w:ascii="Arial" w:hAnsi="Arial" w:cs="Arial"/>
                <w:b/>
                <w:sz w:val="22"/>
                <w:szCs w:val="22"/>
              </w:rPr>
              <w:t>The Project</w:t>
            </w:r>
          </w:p>
        </w:tc>
        <w:tc>
          <w:tcPr>
            <w:tcW w:w="809" w:type="pct"/>
            <w:tcBorders>
              <w:top w:val="single" w:sz="4" w:space="0" w:color="auto"/>
              <w:left w:val="single" w:sz="4" w:space="0" w:color="auto"/>
              <w:bottom w:val="single" w:sz="4" w:space="0" w:color="auto"/>
              <w:right w:val="single" w:sz="4" w:space="0" w:color="auto"/>
            </w:tcBorders>
            <w:vAlign w:val="center"/>
          </w:tcPr>
          <w:p w14:paraId="0578FBE5" w14:textId="7AF37F25" w:rsidR="00D911A0" w:rsidRDefault="00D911A0" w:rsidP="00782165">
            <w:pPr>
              <w:spacing w:after="0" w:line="276" w:lineRule="auto"/>
              <w:jc w:val="center"/>
              <w:rPr>
                <w:rFonts w:ascii="Arial" w:hAnsi="Arial" w:cs="Arial"/>
                <w:b/>
                <w:sz w:val="22"/>
                <w:szCs w:val="22"/>
              </w:rPr>
            </w:pPr>
            <w:r>
              <w:rPr>
                <w:rFonts w:ascii="Arial" w:hAnsi="Arial" w:cs="Arial"/>
                <w:b/>
                <w:sz w:val="22"/>
                <w:szCs w:val="22"/>
              </w:rPr>
              <w:t>1</w:t>
            </w:r>
            <w:r w:rsidR="00612077">
              <w:rPr>
                <w:rFonts w:ascii="Arial" w:hAnsi="Arial" w:cs="Arial"/>
                <w:b/>
                <w:sz w:val="22"/>
                <w:szCs w:val="22"/>
              </w:rPr>
              <w:t>5</w:t>
            </w:r>
          </w:p>
        </w:tc>
      </w:tr>
      <w:tr w:rsidR="00D911A0" w14:paraId="10EA73AD"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hideMark/>
          </w:tcPr>
          <w:p w14:paraId="5A3B607A" w14:textId="77777777" w:rsidR="00D911A0" w:rsidRDefault="00D911A0"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32F12095" w14:textId="257B0E40" w:rsidR="00D911A0" w:rsidRDefault="00D911A0" w:rsidP="00B07001">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Brief Description of the Project </w:t>
            </w:r>
            <w:r w:rsidR="007D6460">
              <w:rPr>
                <w:rFonts w:ascii="Arial" w:hAnsi="Arial" w:cs="Arial"/>
                <w:sz w:val="22"/>
                <w:szCs w:val="22"/>
                <w:lang w:val="en-IN"/>
              </w:rPr>
              <w:t>Company</w:t>
            </w:r>
          </w:p>
        </w:tc>
        <w:tc>
          <w:tcPr>
            <w:tcW w:w="809" w:type="pct"/>
            <w:tcBorders>
              <w:top w:val="single" w:sz="4" w:space="0" w:color="auto"/>
              <w:left w:val="single" w:sz="4" w:space="0" w:color="auto"/>
              <w:bottom w:val="single" w:sz="4" w:space="0" w:color="auto"/>
              <w:right w:val="single" w:sz="4" w:space="0" w:color="auto"/>
            </w:tcBorders>
            <w:vAlign w:val="center"/>
          </w:tcPr>
          <w:p w14:paraId="677BBC0F" w14:textId="41F6F05C" w:rsidR="00D911A0" w:rsidRDefault="00D911A0" w:rsidP="00782165">
            <w:pPr>
              <w:spacing w:after="0" w:line="276" w:lineRule="auto"/>
              <w:jc w:val="center"/>
              <w:rPr>
                <w:rFonts w:ascii="Arial" w:hAnsi="Arial" w:cs="Arial"/>
                <w:sz w:val="22"/>
                <w:szCs w:val="22"/>
              </w:rPr>
            </w:pPr>
            <w:r>
              <w:rPr>
                <w:rFonts w:ascii="Arial" w:hAnsi="Arial" w:cs="Arial"/>
                <w:sz w:val="22"/>
                <w:szCs w:val="22"/>
              </w:rPr>
              <w:t>1</w:t>
            </w:r>
            <w:r w:rsidR="00612077">
              <w:rPr>
                <w:rFonts w:ascii="Arial" w:hAnsi="Arial" w:cs="Arial"/>
                <w:sz w:val="22"/>
                <w:szCs w:val="22"/>
              </w:rPr>
              <w:t>5</w:t>
            </w:r>
          </w:p>
        </w:tc>
      </w:tr>
      <w:tr w:rsidR="00D911A0" w14:paraId="2AEACEE6" w14:textId="77777777" w:rsidTr="004B1CA8">
        <w:trPr>
          <w:trHeight w:val="432"/>
        </w:trPr>
        <w:tc>
          <w:tcPr>
            <w:tcW w:w="857" w:type="pct"/>
            <w:vMerge/>
            <w:tcBorders>
              <w:left w:val="single" w:sz="4" w:space="0" w:color="auto"/>
              <w:right w:val="single" w:sz="4" w:space="0" w:color="auto"/>
            </w:tcBorders>
            <w:shd w:val="clear" w:color="auto" w:fill="DEEAF6" w:themeFill="accent1" w:themeFillTint="33"/>
            <w:vAlign w:val="center"/>
          </w:tcPr>
          <w:p w14:paraId="7789D06E" w14:textId="77777777" w:rsidR="00D911A0" w:rsidRDefault="00D911A0"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tcPr>
          <w:p w14:paraId="7D0E0318" w14:textId="6032FC45" w:rsidR="00D911A0" w:rsidRPr="00B70BD6" w:rsidRDefault="00B70BD6" w:rsidP="00B70BD6">
            <w:pPr>
              <w:pStyle w:val="ListParagraph"/>
              <w:numPr>
                <w:ilvl w:val="0"/>
                <w:numId w:val="5"/>
              </w:numPr>
              <w:tabs>
                <w:tab w:val="left" w:pos="0"/>
              </w:tabs>
              <w:spacing w:after="0" w:line="276" w:lineRule="auto"/>
              <w:ind w:left="459"/>
              <w:rPr>
                <w:rFonts w:ascii="Arial" w:hAnsi="Arial" w:cs="Arial"/>
                <w:sz w:val="22"/>
                <w:szCs w:val="22"/>
              </w:rPr>
            </w:pPr>
            <w:r w:rsidRPr="00B70BD6">
              <w:rPr>
                <w:rFonts w:ascii="Arial" w:hAnsi="Arial" w:cs="Arial"/>
                <w:sz w:val="22"/>
                <w:szCs w:val="22"/>
              </w:rPr>
              <w:t>Salient Features of the Passive Infrastructure Business Model</w:t>
            </w:r>
          </w:p>
        </w:tc>
        <w:tc>
          <w:tcPr>
            <w:tcW w:w="809" w:type="pct"/>
            <w:tcBorders>
              <w:top w:val="single" w:sz="4" w:space="0" w:color="auto"/>
              <w:left w:val="single" w:sz="4" w:space="0" w:color="auto"/>
              <w:bottom w:val="single" w:sz="4" w:space="0" w:color="auto"/>
              <w:right w:val="single" w:sz="4" w:space="0" w:color="auto"/>
            </w:tcBorders>
            <w:vAlign w:val="center"/>
          </w:tcPr>
          <w:p w14:paraId="1D99A8BB" w14:textId="49BD560A" w:rsidR="00D911A0" w:rsidRDefault="00D911A0"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6</w:t>
            </w:r>
          </w:p>
        </w:tc>
      </w:tr>
      <w:tr w:rsidR="00D579B3" w14:paraId="4D6C75C0" w14:textId="77777777" w:rsidTr="004B1CA8">
        <w:trPr>
          <w:trHeight w:val="432"/>
        </w:trPr>
        <w:tc>
          <w:tcPr>
            <w:tcW w:w="857"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74CF7D"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D</w:t>
            </w:r>
          </w:p>
        </w:tc>
        <w:tc>
          <w:tcPr>
            <w:tcW w:w="3334" w:type="pct"/>
            <w:tcBorders>
              <w:top w:val="single" w:sz="4" w:space="0" w:color="auto"/>
              <w:left w:val="single" w:sz="4" w:space="0" w:color="auto"/>
              <w:bottom w:val="single" w:sz="4" w:space="0" w:color="auto"/>
              <w:right w:val="single" w:sz="4" w:space="0" w:color="auto"/>
            </w:tcBorders>
            <w:vAlign w:val="center"/>
            <w:hideMark/>
          </w:tcPr>
          <w:p w14:paraId="6148AF26" w14:textId="72D96B3F"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 xml:space="preserve">Market Overview on </w:t>
            </w:r>
            <w:r w:rsidR="00B80828">
              <w:rPr>
                <w:rFonts w:ascii="Arial" w:hAnsi="Arial" w:cs="Arial"/>
                <w:b/>
                <w:sz w:val="22"/>
                <w:szCs w:val="22"/>
              </w:rPr>
              <w:t>Telecom</w:t>
            </w:r>
            <w:r w:rsidR="00B70BD6">
              <w:rPr>
                <w:rFonts w:ascii="Arial" w:hAnsi="Arial" w:cs="Arial"/>
                <w:b/>
                <w:sz w:val="22"/>
                <w:szCs w:val="22"/>
              </w:rPr>
              <w:t>munications</w:t>
            </w:r>
            <w:r w:rsidR="00B80828">
              <w:rPr>
                <w:rFonts w:ascii="Arial" w:hAnsi="Arial" w:cs="Arial"/>
                <w:b/>
                <w:sz w:val="22"/>
                <w:szCs w:val="22"/>
              </w:rPr>
              <w:t xml:space="preserve"> </w:t>
            </w:r>
            <w:r>
              <w:rPr>
                <w:rFonts w:ascii="Arial" w:hAnsi="Arial" w:cs="Arial"/>
                <w:b/>
                <w:sz w:val="22"/>
                <w:szCs w:val="22"/>
              </w:rPr>
              <w:t>Sector</w:t>
            </w:r>
          </w:p>
        </w:tc>
        <w:tc>
          <w:tcPr>
            <w:tcW w:w="809" w:type="pct"/>
            <w:tcBorders>
              <w:top w:val="single" w:sz="4" w:space="0" w:color="auto"/>
              <w:left w:val="single" w:sz="4" w:space="0" w:color="auto"/>
              <w:bottom w:val="single" w:sz="4" w:space="0" w:color="auto"/>
              <w:right w:val="single" w:sz="4" w:space="0" w:color="auto"/>
            </w:tcBorders>
            <w:vAlign w:val="center"/>
          </w:tcPr>
          <w:p w14:paraId="3C741C3F" w14:textId="6A135EB8" w:rsidR="00D579B3" w:rsidRDefault="00612077" w:rsidP="00782165">
            <w:pPr>
              <w:spacing w:after="0" w:line="276" w:lineRule="auto"/>
              <w:jc w:val="center"/>
              <w:rPr>
                <w:rFonts w:ascii="Arial" w:hAnsi="Arial" w:cs="Arial"/>
                <w:b/>
                <w:sz w:val="22"/>
                <w:szCs w:val="22"/>
              </w:rPr>
            </w:pPr>
            <w:r>
              <w:rPr>
                <w:rFonts w:ascii="Arial" w:hAnsi="Arial" w:cs="Arial"/>
                <w:b/>
                <w:sz w:val="22"/>
                <w:szCs w:val="22"/>
              </w:rPr>
              <w:t>1</w:t>
            </w:r>
            <w:r w:rsidR="00B70BD6">
              <w:rPr>
                <w:rFonts w:ascii="Arial" w:hAnsi="Arial" w:cs="Arial"/>
                <w:b/>
                <w:sz w:val="22"/>
                <w:szCs w:val="22"/>
              </w:rPr>
              <w:t>7</w:t>
            </w:r>
          </w:p>
        </w:tc>
      </w:tr>
      <w:tr w:rsidR="00D579B3" w14:paraId="47BB22C1"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EE30EC"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50D7B655" w14:textId="45F95710" w:rsidR="00D579B3" w:rsidRDefault="00493142" w:rsidP="00B07001">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809" w:type="pct"/>
            <w:tcBorders>
              <w:top w:val="single" w:sz="4" w:space="0" w:color="auto"/>
              <w:left w:val="single" w:sz="4" w:space="0" w:color="auto"/>
              <w:bottom w:val="single" w:sz="4" w:space="0" w:color="auto"/>
              <w:right w:val="single" w:sz="4" w:space="0" w:color="auto"/>
            </w:tcBorders>
            <w:vAlign w:val="center"/>
          </w:tcPr>
          <w:p w14:paraId="7E7ACA98" w14:textId="34F121C6" w:rsidR="00D579B3" w:rsidRDefault="00612077"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7</w:t>
            </w:r>
          </w:p>
        </w:tc>
      </w:tr>
      <w:tr w:rsidR="00D579B3" w14:paraId="39FF142E"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311190"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027BBE26" w14:textId="3A087558" w:rsidR="00D579B3" w:rsidRDefault="00493142" w:rsidP="00B07001">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Market Size</w:t>
            </w:r>
          </w:p>
        </w:tc>
        <w:tc>
          <w:tcPr>
            <w:tcW w:w="809" w:type="pct"/>
            <w:tcBorders>
              <w:top w:val="single" w:sz="4" w:space="0" w:color="auto"/>
              <w:left w:val="single" w:sz="4" w:space="0" w:color="auto"/>
              <w:bottom w:val="single" w:sz="4" w:space="0" w:color="auto"/>
              <w:right w:val="single" w:sz="4" w:space="0" w:color="auto"/>
            </w:tcBorders>
            <w:vAlign w:val="center"/>
            <w:hideMark/>
          </w:tcPr>
          <w:p w14:paraId="603A5C98" w14:textId="006381B9" w:rsidR="00D579B3" w:rsidRDefault="00612077"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7</w:t>
            </w:r>
          </w:p>
        </w:tc>
      </w:tr>
      <w:tr w:rsidR="00D579B3" w14:paraId="13631B40"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B5F4D7"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247EA490" w14:textId="34B95472" w:rsidR="00D579B3" w:rsidRDefault="00493142" w:rsidP="00B07001">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 Initiatives</w:t>
            </w:r>
          </w:p>
        </w:tc>
        <w:tc>
          <w:tcPr>
            <w:tcW w:w="809" w:type="pct"/>
            <w:tcBorders>
              <w:top w:val="single" w:sz="4" w:space="0" w:color="auto"/>
              <w:left w:val="single" w:sz="4" w:space="0" w:color="auto"/>
              <w:bottom w:val="single" w:sz="4" w:space="0" w:color="auto"/>
              <w:right w:val="single" w:sz="4" w:space="0" w:color="auto"/>
            </w:tcBorders>
            <w:vAlign w:val="center"/>
            <w:hideMark/>
          </w:tcPr>
          <w:p w14:paraId="297BF497" w14:textId="7CCB49C7" w:rsidR="00D579B3" w:rsidRDefault="00612077" w:rsidP="00782165">
            <w:pPr>
              <w:spacing w:after="0" w:line="276" w:lineRule="auto"/>
              <w:jc w:val="center"/>
              <w:rPr>
                <w:rFonts w:ascii="Arial" w:hAnsi="Arial" w:cs="Arial"/>
                <w:sz w:val="22"/>
                <w:szCs w:val="22"/>
              </w:rPr>
            </w:pPr>
            <w:r>
              <w:rPr>
                <w:rFonts w:ascii="Arial" w:hAnsi="Arial" w:cs="Arial"/>
                <w:sz w:val="22"/>
                <w:szCs w:val="22"/>
              </w:rPr>
              <w:t>1</w:t>
            </w:r>
            <w:r w:rsidR="00B70BD6">
              <w:rPr>
                <w:rFonts w:ascii="Arial" w:hAnsi="Arial" w:cs="Arial"/>
                <w:sz w:val="22"/>
                <w:szCs w:val="22"/>
              </w:rPr>
              <w:t>8</w:t>
            </w:r>
          </w:p>
        </w:tc>
      </w:tr>
      <w:tr w:rsidR="00D579B3" w14:paraId="03F3490C"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C192A49"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4C7809A9" w14:textId="4FA87B8A" w:rsidR="00D579B3" w:rsidRDefault="00493142" w:rsidP="00B07001">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Recent Investments</w:t>
            </w:r>
            <w:r w:rsidR="00D579B3">
              <w:rPr>
                <w:rFonts w:ascii="Arial" w:hAnsi="Arial" w:cs="Arial"/>
                <w:sz w:val="22"/>
                <w:szCs w:val="22"/>
                <w:lang w:val="en-IN"/>
              </w:rPr>
              <w:t xml:space="preserve"> </w:t>
            </w:r>
          </w:p>
        </w:tc>
        <w:tc>
          <w:tcPr>
            <w:tcW w:w="809" w:type="pct"/>
            <w:tcBorders>
              <w:top w:val="single" w:sz="4" w:space="0" w:color="auto"/>
              <w:left w:val="single" w:sz="4" w:space="0" w:color="auto"/>
              <w:bottom w:val="single" w:sz="4" w:space="0" w:color="auto"/>
              <w:right w:val="single" w:sz="4" w:space="0" w:color="auto"/>
            </w:tcBorders>
            <w:vAlign w:val="center"/>
            <w:hideMark/>
          </w:tcPr>
          <w:p w14:paraId="34177BC0" w14:textId="6DD7691D" w:rsidR="00D579B3" w:rsidRDefault="00B70BD6" w:rsidP="00782165">
            <w:pPr>
              <w:spacing w:after="0" w:line="276" w:lineRule="auto"/>
              <w:jc w:val="center"/>
              <w:rPr>
                <w:rFonts w:ascii="Arial" w:hAnsi="Arial" w:cs="Arial"/>
                <w:sz w:val="22"/>
                <w:szCs w:val="22"/>
              </w:rPr>
            </w:pPr>
            <w:r>
              <w:rPr>
                <w:rFonts w:ascii="Arial" w:hAnsi="Arial" w:cs="Arial"/>
                <w:sz w:val="22"/>
                <w:szCs w:val="22"/>
              </w:rPr>
              <w:t>18</w:t>
            </w:r>
          </w:p>
        </w:tc>
      </w:tr>
      <w:tr w:rsidR="00D579B3" w14:paraId="1A77F7AC"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461219"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46312086" w14:textId="5AAF6F84" w:rsidR="00D579B3" w:rsidRDefault="00493142" w:rsidP="00B07001">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Way Forward</w:t>
            </w:r>
          </w:p>
        </w:tc>
        <w:tc>
          <w:tcPr>
            <w:tcW w:w="809" w:type="pct"/>
            <w:tcBorders>
              <w:top w:val="single" w:sz="4" w:space="0" w:color="auto"/>
              <w:left w:val="single" w:sz="4" w:space="0" w:color="auto"/>
              <w:bottom w:val="single" w:sz="4" w:space="0" w:color="auto"/>
              <w:right w:val="single" w:sz="4" w:space="0" w:color="auto"/>
            </w:tcBorders>
            <w:vAlign w:val="center"/>
            <w:hideMark/>
          </w:tcPr>
          <w:p w14:paraId="65B98D8B" w14:textId="43CF3F94" w:rsidR="00D579B3" w:rsidRDefault="00B70BD6" w:rsidP="00782165">
            <w:pPr>
              <w:spacing w:after="0" w:line="276" w:lineRule="auto"/>
              <w:jc w:val="center"/>
              <w:rPr>
                <w:rFonts w:ascii="Arial" w:hAnsi="Arial" w:cs="Arial"/>
                <w:sz w:val="22"/>
                <w:szCs w:val="22"/>
              </w:rPr>
            </w:pPr>
            <w:r>
              <w:rPr>
                <w:rFonts w:ascii="Arial" w:hAnsi="Arial" w:cs="Arial"/>
                <w:sz w:val="22"/>
                <w:szCs w:val="22"/>
              </w:rPr>
              <w:t>19</w:t>
            </w:r>
          </w:p>
        </w:tc>
      </w:tr>
      <w:tr w:rsidR="00D579B3" w14:paraId="54A58170" w14:textId="77777777" w:rsidTr="004B1CA8">
        <w:trPr>
          <w:trHeight w:val="432"/>
        </w:trPr>
        <w:tc>
          <w:tcPr>
            <w:tcW w:w="857"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C9413A"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E</w:t>
            </w:r>
          </w:p>
        </w:tc>
        <w:tc>
          <w:tcPr>
            <w:tcW w:w="3334" w:type="pct"/>
            <w:tcBorders>
              <w:top w:val="single" w:sz="4" w:space="0" w:color="auto"/>
              <w:left w:val="single" w:sz="4" w:space="0" w:color="auto"/>
              <w:bottom w:val="single" w:sz="4" w:space="0" w:color="auto"/>
              <w:right w:val="single" w:sz="4" w:space="0" w:color="auto"/>
            </w:tcBorders>
            <w:vAlign w:val="center"/>
            <w:hideMark/>
          </w:tcPr>
          <w:p w14:paraId="34D82151" w14:textId="49D0BDB3"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Financial P</w:t>
            </w:r>
            <w:r w:rsidR="00493142">
              <w:rPr>
                <w:rFonts w:ascii="Arial" w:hAnsi="Arial" w:cs="Arial"/>
                <w:b/>
                <w:sz w:val="22"/>
                <w:szCs w:val="22"/>
              </w:rPr>
              <w:t>erformance</w:t>
            </w:r>
          </w:p>
        </w:tc>
        <w:tc>
          <w:tcPr>
            <w:tcW w:w="809" w:type="pct"/>
            <w:tcBorders>
              <w:top w:val="single" w:sz="4" w:space="0" w:color="auto"/>
              <w:left w:val="single" w:sz="4" w:space="0" w:color="auto"/>
              <w:bottom w:val="single" w:sz="4" w:space="0" w:color="auto"/>
              <w:right w:val="single" w:sz="4" w:space="0" w:color="auto"/>
            </w:tcBorders>
            <w:vAlign w:val="center"/>
            <w:hideMark/>
          </w:tcPr>
          <w:p w14:paraId="6282F2B2" w14:textId="1D14D4C6" w:rsidR="00D579B3" w:rsidRDefault="00493142" w:rsidP="00782165">
            <w:pPr>
              <w:spacing w:after="0" w:line="276" w:lineRule="auto"/>
              <w:jc w:val="center"/>
              <w:rPr>
                <w:rFonts w:ascii="Arial" w:hAnsi="Arial" w:cs="Arial"/>
                <w:b/>
                <w:sz w:val="22"/>
                <w:szCs w:val="22"/>
              </w:rPr>
            </w:pPr>
            <w:r>
              <w:rPr>
                <w:rFonts w:ascii="Arial" w:hAnsi="Arial" w:cs="Arial"/>
                <w:b/>
                <w:sz w:val="22"/>
                <w:szCs w:val="22"/>
              </w:rPr>
              <w:t>2</w:t>
            </w:r>
            <w:r w:rsidR="008B0CF5">
              <w:rPr>
                <w:rFonts w:ascii="Arial" w:hAnsi="Arial" w:cs="Arial"/>
                <w:b/>
                <w:sz w:val="22"/>
                <w:szCs w:val="22"/>
              </w:rPr>
              <w:t>1</w:t>
            </w:r>
          </w:p>
        </w:tc>
      </w:tr>
      <w:tr w:rsidR="00D579B3" w14:paraId="0E4A1048"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63794E" w14:textId="77777777" w:rsidR="00D579B3" w:rsidRDefault="00D579B3" w:rsidP="00782165">
            <w:pPr>
              <w:spacing w:after="0" w:line="256" w:lineRule="auto"/>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3F319A73" w14:textId="2431F93B" w:rsidR="00D579B3" w:rsidRDefault="00493142" w:rsidP="00B07001">
            <w:pPr>
              <w:pStyle w:val="ListParagraph"/>
              <w:numPr>
                <w:ilvl w:val="0"/>
                <w:numId w:val="7"/>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w:t>
            </w:r>
            <w:r w:rsidR="00D579B3">
              <w:rPr>
                <w:rFonts w:ascii="Arial" w:hAnsi="Arial" w:cs="Arial"/>
                <w:sz w:val="22"/>
                <w:szCs w:val="22"/>
                <w:lang w:val="en-IN"/>
              </w:rPr>
              <w:t xml:space="preserve"> Profit &amp; Loss Statement</w:t>
            </w:r>
          </w:p>
        </w:tc>
        <w:tc>
          <w:tcPr>
            <w:tcW w:w="809" w:type="pct"/>
            <w:tcBorders>
              <w:top w:val="single" w:sz="4" w:space="0" w:color="auto"/>
              <w:left w:val="single" w:sz="4" w:space="0" w:color="auto"/>
              <w:bottom w:val="single" w:sz="4" w:space="0" w:color="auto"/>
              <w:right w:val="single" w:sz="4" w:space="0" w:color="auto"/>
            </w:tcBorders>
            <w:vAlign w:val="center"/>
            <w:hideMark/>
          </w:tcPr>
          <w:p w14:paraId="6CFF0404" w14:textId="29B50DB3" w:rsidR="00612077" w:rsidRDefault="00493142" w:rsidP="00612077">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1</w:t>
            </w:r>
          </w:p>
        </w:tc>
      </w:tr>
      <w:tr w:rsidR="00D579B3" w14:paraId="4DDE1F2D"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5F5354" w14:textId="77777777" w:rsidR="00D579B3" w:rsidRDefault="00D579B3" w:rsidP="00782165">
            <w:pPr>
              <w:spacing w:after="0" w:line="256" w:lineRule="auto"/>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460C87B2" w14:textId="4688171F" w:rsidR="00D579B3" w:rsidRDefault="00DD7FD2" w:rsidP="00B07001">
            <w:pPr>
              <w:pStyle w:val="ListParagraph"/>
              <w:numPr>
                <w:ilvl w:val="0"/>
                <w:numId w:val="7"/>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 xml:space="preserve">Key Financial </w:t>
            </w:r>
            <w:r w:rsidR="00493142">
              <w:rPr>
                <w:rFonts w:ascii="Arial" w:hAnsi="Arial" w:cs="Arial"/>
                <w:sz w:val="22"/>
                <w:szCs w:val="22"/>
                <w:lang w:val="en-IN"/>
              </w:rPr>
              <w:t>Ratios</w:t>
            </w:r>
          </w:p>
        </w:tc>
        <w:tc>
          <w:tcPr>
            <w:tcW w:w="809" w:type="pct"/>
            <w:tcBorders>
              <w:top w:val="single" w:sz="4" w:space="0" w:color="auto"/>
              <w:left w:val="single" w:sz="4" w:space="0" w:color="auto"/>
              <w:bottom w:val="single" w:sz="4" w:space="0" w:color="auto"/>
              <w:right w:val="single" w:sz="4" w:space="0" w:color="auto"/>
            </w:tcBorders>
            <w:vAlign w:val="center"/>
            <w:hideMark/>
          </w:tcPr>
          <w:p w14:paraId="69BE8AC2" w14:textId="75F18912" w:rsidR="00D579B3" w:rsidRDefault="00493142" w:rsidP="00782165">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1</w:t>
            </w:r>
          </w:p>
        </w:tc>
      </w:tr>
      <w:tr w:rsidR="00D579B3" w14:paraId="685DDFD9"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5ECDFF" w14:textId="77777777" w:rsidR="00D579B3" w:rsidRDefault="00D579B3" w:rsidP="00782165">
            <w:pPr>
              <w:spacing w:after="0" w:line="256" w:lineRule="auto"/>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1911A8E0" w14:textId="78144300" w:rsidR="00D579B3" w:rsidRDefault="00493142" w:rsidP="00B07001">
            <w:pPr>
              <w:pStyle w:val="ListParagraph"/>
              <w:numPr>
                <w:ilvl w:val="0"/>
                <w:numId w:val="7"/>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the Key Financials of the Company</w:t>
            </w:r>
          </w:p>
        </w:tc>
        <w:tc>
          <w:tcPr>
            <w:tcW w:w="809" w:type="pct"/>
            <w:tcBorders>
              <w:top w:val="single" w:sz="4" w:space="0" w:color="auto"/>
              <w:left w:val="single" w:sz="4" w:space="0" w:color="auto"/>
              <w:bottom w:val="single" w:sz="4" w:space="0" w:color="auto"/>
              <w:right w:val="single" w:sz="4" w:space="0" w:color="auto"/>
            </w:tcBorders>
            <w:vAlign w:val="center"/>
            <w:hideMark/>
          </w:tcPr>
          <w:p w14:paraId="558848CE" w14:textId="6837E403" w:rsidR="00D579B3" w:rsidRDefault="00493142" w:rsidP="00782165">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2</w:t>
            </w:r>
          </w:p>
        </w:tc>
      </w:tr>
      <w:tr w:rsidR="00D579B3" w14:paraId="759AD59E" w14:textId="77777777" w:rsidTr="004B1CA8">
        <w:trPr>
          <w:trHeight w:val="432"/>
        </w:trPr>
        <w:tc>
          <w:tcPr>
            <w:tcW w:w="857"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617FF0"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F</w:t>
            </w:r>
          </w:p>
        </w:tc>
        <w:tc>
          <w:tcPr>
            <w:tcW w:w="3334" w:type="pct"/>
            <w:tcBorders>
              <w:top w:val="single" w:sz="4" w:space="0" w:color="auto"/>
              <w:left w:val="single" w:sz="4" w:space="0" w:color="auto"/>
              <w:bottom w:val="single" w:sz="4" w:space="0" w:color="auto"/>
              <w:right w:val="single" w:sz="4" w:space="0" w:color="auto"/>
            </w:tcBorders>
            <w:vAlign w:val="center"/>
            <w:hideMark/>
          </w:tcPr>
          <w:p w14:paraId="5B7620E8" w14:textId="77777777" w:rsidR="00D579B3" w:rsidRDefault="00D579B3" w:rsidP="00782165">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809" w:type="pct"/>
            <w:tcBorders>
              <w:top w:val="single" w:sz="4" w:space="0" w:color="auto"/>
              <w:left w:val="single" w:sz="4" w:space="0" w:color="auto"/>
              <w:bottom w:val="single" w:sz="4" w:space="0" w:color="auto"/>
              <w:right w:val="single" w:sz="4" w:space="0" w:color="auto"/>
            </w:tcBorders>
            <w:vAlign w:val="center"/>
          </w:tcPr>
          <w:p w14:paraId="5DD954E6" w14:textId="1EEA14F3" w:rsidR="00D579B3" w:rsidRDefault="00612077" w:rsidP="00782165">
            <w:pPr>
              <w:spacing w:after="0" w:line="276" w:lineRule="auto"/>
              <w:jc w:val="center"/>
              <w:rPr>
                <w:rFonts w:ascii="Arial" w:hAnsi="Arial" w:cs="Arial"/>
                <w:b/>
                <w:sz w:val="22"/>
                <w:szCs w:val="22"/>
              </w:rPr>
            </w:pPr>
            <w:r>
              <w:rPr>
                <w:rFonts w:ascii="Arial" w:hAnsi="Arial" w:cs="Arial"/>
                <w:b/>
                <w:sz w:val="22"/>
                <w:szCs w:val="22"/>
              </w:rPr>
              <w:t>2</w:t>
            </w:r>
            <w:r w:rsidR="008B0CF5">
              <w:rPr>
                <w:rFonts w:ascii="Arial" w:hAnsi="Arial" w:cs="Arial"/>
                <w:b/>
                <w:sz w:val="22"/>
                <w:szCs w:val="22"/>
              </w:rPr>
              <w:t>3</w:t>
            </w:r>
          </w:p>
        </w:tc>
      </w:tr>
      <w:tr w:rsidR="00D579B3" w14:paraId="48E11927"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01F4FA"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761FE7EB" w14:textId="77777777" w:rsidR="00D579B3" w:rsidRDefault="00D579B3" w:rsidP="00B07001">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809" w:type="pct"/>
            <w:tcBorders>
              <w:top w:val="single" w:sz="4" w:space="0" w:color="auto"/>
              <w:left w:val="single" w:sz="4" w:space="0" w:color="auto"/>
              <w:bottom w:val="single" w:sz="4" w:space="0" w:color="auto"/>
              <w:right w:val="single" w:sz="4" w:space="0" w:color="auto"/>
            </w:tcBorders>
            <w:vAlign w:val="center"/>
          </w:tcPr>
          <w:p w14:paraId="41111F0D" w14:textId="4B63BDB0" w:rsidR="00D579B3" w:rsidRDefault="0014047B" w:rsidP="00782165">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3</w:t>
            </w:r>
          </w:p>
        </w:tc>
      </w:tr>
      <w:tr w:rsidR="00D579B3" w14:paraId="37C3825D"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EC86D"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46AC06F1" w14:textId="77777777" w:rsidR="00D579B3" w:rsidRDefault="00D579B3" w:rsidP="00B07001">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 xml:space="preserve">Calculation of Free Cash Flow to Firm </w:t>
            </w:r>
          </w:p>
        </w:tc>
        <w:tc>
          <w:tcPr>
            <w:tcW w:w="809" w:type="pct"/>
            <w:tcBorders>
              <w:top w:val="single" w:sz="4" w:space="0" w:color="auto"/>
              <w:left w:val="single" w:sz="4" w:space="0" w:color="auto"/>
              <w:bottom w:val="single" w:sz="4" w:space="0" w:color="auto"/>
              <w:right w:val="single" w:sz="4" w:space="0" w:color="auto"/>
            </w:tcBorders>
            <w:vAlign w:val="center"/>
            <w:hideMark/>
          </w:tcPr>
          <w:p w14:paraId="50932371" w14:textId="20AD69FF" w:rsidR="00D579B3" w:rsidRDefault="003D47C7" w:rsidP="00782165">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4</w:t>
            </w:r>
          </w:p>
        </w:tc>
      </w:tr>
      <w:tr w:rsidR="00D579B3" w14:paraId="78A03703"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6CFB3B"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09EEF149" w14:textId="77777777" w:rsidR="00D579B3" w:rsidRDefault="00D579B3" w:rsidP="00B07001">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Key Inputs used to discount Cash Flows during the Projection Period</w:t>
            </w:r>
          </w:p>
        </w:tc>
        <w:tc>
          <w:tcPr>
            <w:tcW w:w="809" w:type="pct"/>
            <w:tcBorders>
              <w:top w:val="single" w:sz="4" w:space="0" w:color="auto"/>
              <w:left w:val="single" w:sz="4" w:space="0" w:color="auto"/>
              <w:bottom w:val="single" w:sz="4" w:space="0" w:color="auto"/>
              <w:right w:val="single" w:sz="4" w:space="0" w:color="auto"/>
            </w:tcBorders>
            <w:vAlign w:val="center"/>
            <w:hideMark/>
          </w:tcPr>
          <w:p w14:paraId="2EAB31BF" w14:textId="3C702C56" w:rsidR="00D579B3" w:rsidRDefault="003D47C7" w:rsidP="00782165">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6</w:t>
            </w:r>
          </w:p>
        </w:tc>
      </w:tr>
      <w:tr w:rsidR="008B0CF5" w14:paraId="276E4206"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233FE9" w14:textId="77777777" w:rsidR="008B0CF5" w:rsidRDefault="008B0CF5"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tcPr>
          <w:p w14:paraId="0E579521" w14:textId="34622CC5" w:rsidR="008B0CF5" w:rsidRDefault="008B0CF5" w:rsidP="00B07001">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Valuation of Non-Core Assets</w:t>
            </w:r>
          </w:p>
        </w:tc>
        <w:tc>
          <w:tcPr>
            <w:tcW w:w="809" w:type="pct"/>
            <w:tcBorders>
              <w:top w:val="single" w:sz="4" w:space="0" w:color="auto"/>
              <w:left w:val="single" w:sz="4" w:space="0" w:color="auto"/>
              <w:bottom w:val="single" w:sz="4" w:space="0" w:color="auto"/>
              <w:right w:val="single" w:sz="4" w:space="0" w:color="auto"/>
            </w:tcBorders>
            <w:vAlign w:val="center"/>
          </w:tcPr>
          <w:p w14:paraId="5100D167" w14:textId="3398B18A" w:rsidR="008B0CF5" w:rsidRDefault="008B0CF5" w:rsidP="00782165">
            <w:pPr>
              <w:spacing w:after="0" w:line="276" w:lineRule="auto"/>
              <w:jc w:val="center"/>
              <w:rPr>
                <w:rFonts w:ascii="Arial" w:hAnsi="Arial" w:cs="Arial"/>
                <w:sz w:val="22"/>
                <w:szCs w:val="22"/>
              </w:rPr>
            </w:pPr>
            <w:r>
              <w:rPr>
                <w:rFonts w:ascii="Arial" w:hAnsi="Arial" w:cs="Arial"/>
                <w:sz w:val="22"/>
                <w:szCs w:val="22"/>
              </w:rPr>
              <w:t>26</w:t>
            </w:r>
          </w:p>
        </w:tc>
      </w:tr>
      <w:tr w:rsidR="00D579B3" w14:paraId="186A9C30"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6B6AFF"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74F48AAE" w14:textId="6012A82E" w:rsidR="00D579B3" w:rsidRDefault="00D579B3" w:rsidP="00B07001">
            <w:pPr>
              <w:pStyle w:val="ListParagraph"/>
              <w:numPr>
                <w:ilvl w:val="0"/>
                <w:numId w:val="8"/>
              </w:numPr>
              <w:tabs>
                <w:tab w:val="left" w:pos="0"/>
              </w:tabs>
              <w:spacing w:after="0" w:line="276" w:lineRule="auto"/>
              <w:ind w:left="465"/>
              <w:rPr>
                <w:rFonts w:ascii="Arial" w:hAnsi="Arial" w:cs="Arial"/>
                <w:sz w:val="22"/>
                <w:szCs w:val="22"/>
              </w:rPr>
            </w:pPr>
            <w:r w:rsidRPr="00A86DE6">
              <w:rPr>
                <w:rFonts w:ascii="Arial" w:hAnsi="Arial" w:cs="Arial"/>
                <w:sz w:val="22"/>
                <w:szCs w:val="22"/>
              </w:rPr>
              <w:t xml:space="preserve">Calculation </w:t>
            </w:r>
            <w:r w:rsidR="003D47C7">
              <w:rPr>
                <w:rFonts w:ascii="Arial" w:hAnsi="Arial" w:cs="Arial"/>
                <w:sz w:val="22"/>
                <w:szCs w:val="22"/>
              </w:rPr>
              <w:t>o</w:t>
            </w:r>
            <w:r w:rsidRPr="00A86DE6">
              <w:rPr>
                <w:rFonts w:ascii="Arial" w:hAnsi="Arial" w:cs="Arial"/>
                <w:sz w:val="22"/>
                <w:szCs w:val="22"/>
              </w:rPr>
              <w:t>f Enterprise Value</w:t>
            </w:r>
          </w:p>
        </w:tc>
        <w:tc>
          <w:tcPr>
            <w:tcW w:w="809" w:type="pct"/>
            <w:tcBorders>
              <w:top w:val="single" w:sz="4" w:space="0" w:color="auto"/>
              <w:left w:val="single" w:sz="4" w:space="0" w:color="auto"/>
              <w:bottom w:val="single" w:sz="4" w:space="0" w:color="auto"/>
              <w:right w:val="single" w:sz="4" w:space="0" w:color="auto"/>
            </w:tcBorders>
            <w:vAlign w:val="center"/>
            <w:hideMark/>
          </w:tcPr>
          <w:p w14:paraId="64793171" w14:textId="5EDAE2BB" w:rsidR="00D579B3" w:rsidRDefault="00612077" w:rsidP="00782165">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6</w:t>
            </w:r>
          </w:p>
        </w:tc>
      </w:tr>
      <w:tr w:rsidR="00493142" w14:paraId="3AEB6A9B"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E4314C" w14:textId="77777777" w:rsidR="00493142" w:rsidRDefault="00493142"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tcPr>
          <w:p w14:paraId="5543E941" w14:textId="35D209B5" w:rsidR="00493142" w:rsidRPr="00A86DE6" w:rsidRDefault="00493142" w:rsidP="00B07001">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Sensitivity Analysis</w:t>
            </w:r>
          </w:p>
        </w:tc>
        <w:tc>
          <w:tcPr>
            <w:tcW w:w="809" w:type="pct"/>
            <w:tcBorders>
              <w:top w:val="single" w:sz="4" w:space="0" w:color="auto"/>
              <w:left w:val="single" w:sz="4" w:space="0" w:color="auto"/>
              <w:bottom w:val="single" w:sz="4" w:space="0" w:color="auto"/>
              <w:right w:val="single" w:sz="4" w:space="0" w:color="auto"/>
            </w:tcBorders>
            <w:vAlign w:val="center"/>
          </w:tcPr>
          <w:p w14:paraId="295848BE" w14:textId="08951087" w:rsidR="00493142" w:rsidRDefault="00612077" w:rsidP="00782165">
            <w:pPr>
              <w:spacing w:after="0" w:line="276" w:lineRule="auto"/>
              <w:jc w:val="center"/>
              <w:rPr>
                <w:rFonts w:ascii="Arial" w:hAnsi="Arial" w:cs="Arial"/>
                <w:sz w:val="22"/>
                <w:szCs w:val="22"/>
              </w:rPr>
            </w:pPr>
            <w:r>
              <w:rPr>
                <w:rFonts w:ascii="Arial" w:hAnsi="Arial" w:cs="Arial"/>
                <w:sz w:val="22"/>
                <w:szCs w:val="22"/>
              </w:rPr>
              <w:t>2</w:t>
            </w:r>
            <w:r w:rsidR="008B0CF5">
              <w:rPr>
                <w:rFonts w:ascii="Arial" w:hAnsi="Arial" w:cs="Arial"/>
                <w:sz w:val="22"/>
                <w:szCs w:val="22"/>
              </w:rPr>
              <w:t>7</w:t>
            </w:r>
          </w:p>
        </w:tc>
      </w:tr>
      <w:tr w:rsidR="00D579B3" w14:paraId="2CEE14D6" w14:textId="77777777" w:rsidTr="004B1CA8">
        <w:trPr>
          <w:trHeight w:val="432"/>
        </w:trPr>
        <w:tc>
          <w:tcPr>
            <w:tcW w:w="857"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F692A3" w14:textId="77777777" w:rsidR="00D579B3" w:rsidRDefault="00D579B3" w:rsidP="0087294A">
            <w:pPr>
              <w:spacing w:after="0" w:line="256" w:lineRule="auto"/>
              <w:jc w:val="center"/>
              <w:rPr>
                <w:rFonts w:ascii="Arial" w:hAnsi="Arial" w:cs="Arial"/>
                <w:b/>
                <w:sz w:val="22"/>
                <w:szCs w:val="22"/>
                <w:u w:val="single"/>
              </w:rPr>
            </w:pPr>
          </w:p>
        </w:tc>
        <w:tc>
          <w:tcPr>
            <w:tcW w:w="3334" w:type="pct"/>
            <w:tcBorders>
              <w:top w:val="single" w:sz="4" w:space="0" w:color="auto"/>
              <w:left w:val="single" w:sz="4" w:space="0" w:color="auto"/>
              <w:bottom w:val="single" w:sz="4" w:space="0" w:color="auto"/>
              <w:right w:val="single" w:sz="4" w:space="0" w:color="auto"/>
            </w:tcBorders>
            <w:vAlign w:val="center"/>
            <w:hideMark/>
          </w:tcPr>
          <w:p w14:paraId="2A644FB5" w14:textId="77777777" w:rsidR="00D579B3" w:rsidRDefault="00D579B3" w:rsidP="00B07001">
            <w:pPr>
              <w:pStyle w:val="ListParagraph"/>
              <w:numPr>
                <w:ilvl w:val="0"/>
                <w:numId w:val="8"/>
              </w:numPr>
              <w:tabs>
                <w:tab w:val="left" w:pos="0"/>
              </w:tabs>
              <w:spacing w:after="0" w:line="276" w:lineRule="auto"/>
              <w:ind w:left="465"/>
              <w:rPr>
                <w:rFonts w:ascii="Arial" w:hAnsi="Arial" w:cs="Arial"/>
                <w:sz w:val="22"/>
                <w:szCs w:val="22"/>
              </w:rPr>
            </w:pPr>
            <w:r w:rsidRPr="00A86DE6">
              <w:rPr>
                <w:rFonts w:ascii="Arial" w:hAnsi="Arial" w:cs="Arial"/>
                <w:sz w:val="22"/>
                <w:szCs w:val="22"/>
              </w:rPr>
              <w:t>Key Assumptions and Workings</w:t>
            </w:r>
          </w:p>
        </w:tc>
        <w:tc>
          <w:tcPr>
            <w:tcW w:w="809" w:type="pct"/>
            <w:tcBorders>
              <w:top w:val="single" w:sz="4" w:space="0" w:color="auto"/>
              <w:left w:val="single" w:sz="4" w:space="0" w:color="auto"/>
              <w:bottom w:val="single" w:sz="4" w:space="0" w:color="auto"/>
              <w:right w:val="single" w:sz="4" w:space="0" w:color="auto"/>
            </w:tcBorders>
            <w:vAlign w:val="center"/>
            <w:hideMark/>
          </w:tcPr>
          <w:p w14:paraId="65529A15" w14:textId="03D14FAD" w:rsidR="00D579B3" w:rsidRDefault="008B0CF5" w:rsidP="00782165">
            <w:pPr>
              <w:spacing w:after="0" w:line="276" w:lineRule="auto"/>
              <w:jc w:val="center"/>
              <w:rPr>
                <w:rFonts w:ascii="Arial" w:hAnsi="Arial" w:cs="Arial"/>
                <w:sz w:val="22"/>
                <w:szCs w:val="22"/>
              </w:rPr>
            </w:pPr>
            <w:r>
              <w:rPr>
                <w:rFonts w:ascii="Arial" w:hAnsi="Arial" w:cs="Arial"/>
                <w:sz w:val="22"/>
                <w:szCs w:val="22"/>
              </w:rPr>
              <w:t>28</w:t>
            </w:r>
          </w:p>
        </w:tc>
      </w:tr>
      <w:tr w:rsidR="00D579B3" w14:paraId="6E4ACFD4" w14:textId="77777777" w:rsidTr="004B1CA8">
        <w:trPr>
          <w:trHeight w:val="432"/>
        </w:trPr>
        <w:tc>
          <w:tcPr>
            <w:tcW w:w="8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A21D39" w14:textId="77777777" w:rsidR="00D579B3" w:rsidRDefault="00D579B3" w:rsidP="0087294A">
            <w:pPr>
              <w:spacing w:after="0" w:line="276" w:lineRule="auto"/>
              <w:jc w:val="center"/>
              <w:rPr>
                <w:rFonts w:ascii="Arial" w:hAnsi="Arial" w:cs="Arial"/>
                <w:b/>
                <w:sz w:val="22"/>
                <w:szCs w:val="22"/>
              </w:rPr>
            </w:pPr>
            <w:r>
              <w:rPr>
                <w:rFonts w:ascii="Arial" w:hAnsi="Arial" w:cs="Arial"/>
                <w:b/>
                <w:sz w:val="22"/>
                <w:szCs w:val="22"/>
              </w:rPr>
              <w:t>Part G</w:t>
            </w:r>
          </w:p>
        </w:tc>
        <w:tc>
          <w:tcPr>
            <w:tcW w:w="3334" w:type="pct"/>
            <w:tcBorders>
              <w:top w:val="single" w:sz="4" w:space="0" w:color="auto"/>
              <w:left w:val="single" w:sz="4" w:space="0" w:color="auto"/>
              <w:bottom w:val="single" w:sz="4" w:space="0" w:color="auto"/>
              <w:right w:val="single" w:sz="4" w:space="0" w:color="auto"/>
            </w:tcBorders>
            <w:vAlign w:val="center"/>
            <w:hideMark/>
          </w:tcPr>
          <w:p w14:paraId="1A47F87D" w14:textId="79B5A6B6" w:rsidR="00D579B3" w:rsidRDefault="00493142"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809" w:type="pct"/>
            <w:tcBorders>
              <w:top w:val="single" w:sz="4" w:space="0" w:color="auto"/>
              <w:left w:val="single" w:sz="4" w:space="0" w:color="auto"/>
              <w:bottom w:val="single" w:sz="4" w:space="0" w:color="auto"/>
              <w:right w:val="single" w:sz="4" w:space="0" w:color="auto"/>
            </w:tcBorders>
            <w:vAlign w:val="center"/>
            <w:hideMark/>
          </w:tcPr>
          <w:p w14:paraId="561492A6" w14:textId="01960CD9" w:rsidR="00D579B3" w:rsidRPr="00FD2032" w:rsidRDefault="00493142" w:rsidP="0008176D">
            <w:pPr>
              <w:spacing w:after="0" w:line="276" w:lineRule="auto"/>
              <w:jc w:val="center"/>
              <w:rPr>
                <w:rFonts w:ascii="Arial" w:hAnsi="Arial" w:cs="Arial"/>
                <w:b/>
                <w:bCs/>
                <w:sz w:val="22"/>
                <w:szCs w:val="22"/>
              </w:rPr>
            </w:pPr>
            <w:r w:rsidRPr="00FD2032">
              <w:rPr>
                <w:rFonts w:ascii="Arial" w:hAnsi="Arial" w:cs="Arial"/>
                <w:b/>
                <w:bCs/>
                <w:sz w:val="22"/>
                <w:szCs w:val="22"/>
              </w:rPr>
              <w:t>3</w:t>
            </w:r>
            <w:r w:rsidR="0008176D">
              <w:rPr>
                <w:rFonts w:ascii="Arial" w:hAnsi="Arial" w:cs="Arial"/>
                <w:b/>
                <w:bCs/>
                <w:sz w:val="22"/>
                <w:szCs w:val="22"/>
              </w:rPr>
              <w:t>4</w:t>
            </w:r>
          </w:p>
        </w:tc>
      </w:tr>
      <w:tr w:rsidR="00D579B3" w14:paraId="35F96540" w14:textId="77777777" w:rsidTr="004B1CA8">
        <w:trPr>
          <w:trHeight w:val="432"/>
        </w:trPr>
        <w:tc>
          <w:tcPr>
            <w:tcW w:w="8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13FCF0" w14:textId="4B4E56F9" w:rsidR="00D579B3" w:rsidRDefault="00D579B3" w:rsidP="0087294A">
            <w:pPr>
              <w:spacing w:after="0" w:line="276" w:lineRule="auto"/>
              <w:jc w:val="center"/>
              <w:rPr>
                <w:rFonts w:ascii="Arial" w:hAnsi="Arial" w:cs="Arial"/>
                <w:b/>
                <w:sz w:val="22"/>
                <w:szCs w:val="22"/>
              </w:rPr>
            </w:pPr>
            <w:r>
              <w:rPr>
                <w:rFonts w:ascii="Arial" w:hAnsi="Arial" w:cs="Arial"/>
                <w:b/>
                <w:sz w:val="22"/>
                <w:szCs w:val="22"/>
              </w:rPr>
              <w:t>Part H</w:t>
            </w:r>
          </w:p>
        </w:tc>
        <w:tc>
          <w:tcPr>
            <w:tcW w:w="3334" w:type="pct"/>
            <w:tcBorders>
              <w:top w:val="single" w:sz="4" w:space="0" w:color="auto"/>
              <w:left w:val="single" w:sz="4" w:space="0" w:color="auto"/>
              <w:bottom w:val="single" w:sz="4" w:space="0" w:color="auto"/>
              <w:right w:val="single" w:sz="4" w:space="0" w:color="auto"/>
            </w:tcBorders>
            <w:vAlign w:val="center"/>
            <w:hideMark/>
          </w:tcPr>
          <w:p w14:paraId="64DB6604" w14:textId="1FAA4FFD" w:rsidR="00D579B3" w:rsidRDefault="00493142"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 Remarks</w:t>
            </w:r>
          </w:p>
        </w:tc>
        <w:tc>
          <w:tcPr>
            <w:tcW w:w="809" w:type="pct"/>
            <w:tcBorders>
              <w:top w:val="single" w:sz="4" w:space="0" w:color="auto"/>
              <w:left w:val="single" w:sz="4" w:space="0" w:color="auto"/>
              <w:bottom w:val="single" w:sz="4" w:space="0" w:color="auto"/>
              <w:right w:val="single" w:sz="4" w:space="0" w:color="auto"/>
            </w:tcBorders>
            <w:vAlign w:val="center"/>
            <w:hideMark/>
          </w:tcPr>
          <w:p w14:paraId="4FE597B2" w14:textId="2AF46733" w:rsidR="00D579B3" w:rsidRPr="00FD2032" w:rsidRDefault="0014047B" w:rsidP="0008176D">
            <w:pPr>
              <w:spacing w:after="0" w:line="276" w:lineRule="auto"/>
              <w:jc w:val="center"/>
              <w:rPr>
                <w:rFonts w:ascii="Arial" w:hAnsi="Arial" w:cs="Arial"/>
                <w:b/>
                <w:bCs/>
                <w:sz w:val="22"/>
                <w:szCs w:val="22"/>
              </w:rPr>
            </w:pPr>
            <w:r w:rsidRPr="00FD2032">
              <w:rPr>
                <w:rFonts w:ascii="Arial" w:hAnsi="Arial" w:cs="Arial"/>
                <w:b/>
                <w:bCs/>
                <w:sz w:val="22"/>
                <w:szCs w:val="22"/>
              </w:rPr>
              <w:t>3</w:t>
            </w:r>
            <w:r w:rsidR="0008176D">
              <w:rPr>
                <w:rFonts w:ascii="Arial" w:hAnsi="Arial" w:cs="Arial"/>
                <w:b/>
                <w:bCs/>
                <w:sz w:val="22"/>
                <w:szCs w:val="22"/>
              </w:rPr>
              <w:t>6</w:t>
            </w:r>
          </w:p>
        </w:tc>
      </w:tr>
    </w:tbl>
    <w:p w14:paraId="3BAE1D12" w14:textId="77777777" w:rsidR="009E1297" w:rsidRPr="005C6FC8" w:rsidRDefault="009E1297" w:rsidP="00E11206">
      <w:pPr>
        <w:spacing w:line="360" w:lineRule="auto"/>
        <w:rPr>
          <w:rFonts w:ascii="Arial" w:hAnsi="Arial" w:cs="Arial"/>
          <w:sz w:val="22"/>
          <w:szCs w:val="22"/>
          <w:highlight w:val="yellow"/>
        </w:rPr>
      </w:pPr>
    </w:p>
    <w:p w14:paraId="219E06B2" w14:textId="77777777" w:rsidR="00BF4438" w:rsidRPr="005C6FC8" w:rsidRDefault="00BF4438" w:rsidP="00E11206">
      <w:pPr>
        <w:spacing w:line="360" w:lineRule="auto"/>
        <w:rPr>
          <w:rFonts w:ascii="Arial" w:hAnsi="Arial" w:cs="Arial"/>
          <w:sz w:val="22"/>
          <w:szCs w:val="22"/>
          <w:highlight w:val="yellow"/>
        </w:rPr>
      </w:pPr>
    </w:p>
    <w:p w14:paraId="46739542" w14:textId="77777777" w:rsidR="0055190B" w:rsidRPr="005C6FC8" w:rsidRDefault="0055190B" w:rsidP="00E11206">
      <w:pPr>
        <w:spacing w:line="360" w:lineRule="auto"/>
        <w:rPr>
          <w:rFonts w:ascii="Arial" w:hAnsi="Arial" w:cs="Arial"/>
          <w:sz w:val="22"/>
          <w:szCs w:val="22"/>
          <w:highlight w:val="yellow"/>
        </w:rPr>
      </w:pPr>
    </w:p>
    <w:p w14:paraId="5B31E076" w14:textId="77777777" w:rsidR="0055190B" w:rsidRPr="005C6FC8" w:rsidRDefault="0055190B" w:rsidP="00E11206">
      <w:pPr>
        <w:spacing w:line="360" w:lineRule="auto"/>
        <w:rPr>
          <w:rFonts w:ascii="Arial" w:hAnsi="Arial" w:cs="Arial"/>
          <w:sz w:val="22"/>
          <w:szCs w:val="22"/>
          <w:highlight w:val="yellow"/>
        </w:rPr>
      </w:pPr>
    </w:p>
    <w:p w14:paraId="237D06C1" w14:textId="77777777" w:rsidR="0055190B" w:rsidRPr="005C6FC8" w:rsidRDefault="0055190B" w:rsidP="00E11206">
      <w:pPr>
        <w:spacing w:line="360" w:lineRule="auto"/>
        <w:rPr>
          <w:rFonts w:ascii="Arial" w:hAnsi="Arial" w:cs="Arial"/>
          <w:sz w:val="22"/>
          <w:szCs w:val="22"/>
          <w:highlight w:val="yellow"/>
        </w:rPr>
      </w:pPr>
    </w:p>
    <w:p w14:paraId="0E78E592" w14:textId="77777777" w:rsidR="0055190B" w:rsidRPr="005C6FC8" w:rsidRDefault="0055190B" w:rsidP="00E11206">
      <w:pPr>
        <w:spacing w:line="360" w:lineRule="auto"/>
        <w:rPr>
          <w:rFonts w:ascii="Arial" w:hAnsi="Arial" w:cs="Arial"/>
          <w:sz w:val="22"/>
          <w:szCs w:val="22"/>
          <w:highlight w:val="yellow"/>
        </w:rPr>
      </w:pPr>
    </w:p>
    <w:p w14:paraId="4F0BC224" w14:textId="77777777" w:rsidR="0055190B" w:rsidRPr="005C6FC8" w:rsidRDefault="0055190B" w:rsidP="00E11206">
      <w:pPr>
        <w:spacing w:line="360" w:lineRule="auto"/>
        <w:rPr>
          <w:rFonts w:ascii="Arial" w:hAnsi="Arial" w:cs="Arial"/>
          <w:sz w:val="22"/>
          <w:szCs w:val="22"/>
          <w:highlight w:val="yellow"/>
        </w:rPr>
      </w:pPr>
    </w:p>
    <w:p w14:paraId="1123D073" w14:textId="77777777" w:rsidR="0055190B" w:rsidRPr="005C6FC8" w:rsidRDefault="0055190B" w:rsidP="00E11206">
      <w:pPr>
        <w:spacing w:line="360" w:lineRule="auto"/>
        <w:rPr>
          <w:rFonts w:ascii="Arial" w:hAnsi="Arial" w:cs="Arial"/>
          <w:sz w:val="22"/>
          <w:szCs w:val="22"/>
          <w:highlight w:val="yellow"/>
        </w:rPr>
      </w:pPr>
    </w:p>
    <w:p w14:paraId="3A0CFD92" w14:textId="724D9D08" w:rsidR="00D414F4" w:rsidRPr="001C6174" w:rsidRDefault="001C6174" w:rsidP="001C6174">
      <w:pPr>
        <w:tabs>
          <w:tab w:val="left" w:pos="3345"/>
        </w:tabs>
        <w:spacing w:line="360" w:lineRule="auto"/>
        <w:rPr>
          <w:rFonts w:ascii="Arial" w:hAnsi="Arial" w:cs="Arial"/>
          <w:sz w:val="22"/>
          <w:szCs w:val="22"/>
        </w:rPr>
      </w:pPr>
      <w:r w:rsidRPr="001C6174">
        <w:rPr>
          <w:rFonts w:ascii="Arial" w:hAnsi="Arial" w:cs="Arial"/>
          <w:sz w:val="22"/>
          <w:szCs w:val="22"/>
        </w:rPr>
        <w:tab/>
      </w:r>
    </w:p>
    <w:p w14:paraId="10D7E9E0" w14:textId="77777777" w:rsidR="00996E29" w:rsidRDefault="00996E29">
      <w:r>
        <w:br w:type="page"/>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A25BAC" w:rsidRPr="003B6472" w14:paraId="591B1A22" w14:textId="77777777" w:rsidTr="004B1CA8">
        <w:trPr>
          <w:trHeight w:val="558"/>
        </w:trPr>
        <w:tc>
          <w:tcPr>
            <w:tcW w:w="1534" w:type="dxa"/>
            <w:shd w:val="clear" w:color="auto" w:fill="002060"/>
            <w:vAlign w:val="center"/>
          </w:tcPr>
          <w:p w14:paraId="7EFDF716" w14:textId="69D44E97" w:rsidR="00A25BAC" w:rsidRPr="00851108" w:rsidRDefault="00A25BAC" w:rsidP="0067033C">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br w:type="page"/>
              <w:t xml:space="preserve"> PART A</w:t>
            </w:r>
          </w:p>
        </w:tc>
        <w:tc>
          <w:tcPr>
            <w:tcW w:w="8248" w:type="dxa"/>
            <w:shd w:val="clear" w:color="auto" w:fill="DEEAF6" w:themeFill="accent1" w:themeFillTint="33"/>
            <w:vAlign w:val="center"/>
          </w:tcPr>
          <w:p w14:paraId="6FFD07A4" w14:textId="2E330F61" w:rsidR="00A25BAC" w:rsidRPr="00851108" w:rsidRDefault="00A25BAC" w:rsidP="0067033C">
            <w:pPr>
              <w:tabs>
                <w:tab w:val="left" w:pos="360"/>
              </w:tabs>
              <w:spacing w:after="0" w:line="240" w:lineRule="auto"/>
              <w:jc w:val="center"/>
              <w:rPr>
                <w:rFonts w:ascii="Arial" w:eastAsia="Arial" w:hAnsi="Arial" w:cs="Arial"/>
                <w:b/>
                <w:sz w:val="22"/>
                <w:szCs w:val="22"/>
              </w:rPr>
            </w:pPr>
            <w:r w:rsidRPr="00851108">
              <w:rPr>
                <w:rFonts w:ascii="Arial" w:eastAsia="Arial" w:hAnsi="Arial" w:cs="Arial"/>
                <w:b/>
                <w:sz w:val="22"/>
                <w:szCs w:val="22"/>
              </w:rPr>
              <w:t>INTRODUCTION</w:t>
            </w:r>
          </w:p>
        </w:tc>
      </w:tr>
    </w:tbl>
    <w:p w14:paraId="0D18799B" w14:textId="77777777" w:rsidR="00A25BAC" w:rsidRPr="005C6FC8" w:rsidRDefault="00A25BAC" w:rsidP="00FD4762">
      <w:pPr>
        <w:spacing w:line="276" w:lineRule="auto"/>
        <w:jc w:val="both"/>
        <w:rPr>
          <w:rFonts w:ascii="Arial" w:hAnsi="Arial" w:cs="Arial"/>
          <w:b/>
          <w:sz w:val="22"/>
          <w:szCs w:val="22"/>
          <w:lang w:val="en-IN"/>
        </w:rPr>
      </w:pPr>
    </w:p>
    <w:p w14:paraId="455FD93B" w14:textId="77777777" w:rsidR="007F48CC" w:rsidRPr="007F48CC" w:rsidRDefault="00E11206" w:rsidP="004C1C3E">
      <w:pPr>
        <w:pStyle w:val="ListParagraph"/>
        <w:numPr>
          <w:ilvl w:val="0"/>
          <w:numId w:val="2"/>
        </w:numPr>
        <w:spacing w:after="0" w:line="360" w:lineRule="auto"/>
        <w:ind w:left="142" w:right="-23" w:hanging="426"/>
        <w:jc w:val="both"/>
        <w:rPr>
          <w:rFonts w:ascii="Arial" w:hAnsi="Arial" w:cs="Arial"/>
          <w:sz w:val="22"/>
          <w:szCs w:val="22"/>
        </w:rPr>
      </w:pPr>
      <w:r w:rsidRPr="005430BF">
        <w:rPr>
          <w:rFonts w:ascii="Arial" w:hAnsi="Arial" w:cs="Arial"/>
          <w:b/>
          <w:sz w:val="22"/>
          <w:szCs w:val="22"/>
          <w:lang w:val="en-IN"/>
        </w:rPr>
        <w:t>ABOUT THE REPORT:</w:t>
      </w:r>
      <w:r w:rsidR="00C92988" w:rsidRPr="005430BF">
        <w:rPr>
          <w:rFonts w:ascii="Arial" w:hAnsi="Arial" w:cs="Arial"/>
          <w:b/>
          <w:sz w:val="22"/>
          <w:szCs w:val="22"/>
          <w:lang w:val="en-IN"/>
        </w:rPr>
        <w:t xml:space="preserve"> </w:t>
      </w:r>
    </w:p>
    <w:p w14:paraId="7D90B078" w14:textId="13A58821" w:rsidR="002D6B20" w:rsidRPr="005430BF" w:rsidRDefault="00E11206" w:rsidP="007F48CC">
      <w:pPr>
        <w:pStyle w:val="ListParagraph"/>
        <w:spacing w:before="240" w:after="0" w:line="360" w:lineRule="auto"/>
        <w:ind w:left="142" w:right="-23"/>
        <w:jc w:val="both"/>
        <w:rPr>
          <w:rFonts w:ascii="Arial" w:hAnsi="Arial" w:cs="Arial"/>
          <w:sz w:val="22"/>
          <w:szCs w:val="22"/>
        </w:rPr>
      </w:pPr>
      <w:r w:rsidRPr="005430BF">
        <w:rPr>
          <w:rFonts w:ascii="Arial" w:hAnsi="Arial" w:cs="Arial"/>
          <w:sz w:val="22"/>
          <w:szCs w:val="22"/>
        </w:rPr>
        <w:t xml:space="preserve">Enterprise </w:t>
      </w:r>
      <w:r w:rsidR="00CB2876" w:rsidRPr="005430BF">
        <w:rPr>
          <w:rFonts w:ascii="Arial" w:hAnsi="Arial" w:cs="Arial"/>
          <w:sz w:val="22"/>
          <w:szCs w:val="22"/>
        </w:rPr>
        <w:t xml:space="preserve">Valuation </w:t>
      </w:r>
      <w:r w:rsidR="004F7609" w:rsidRPr="005430BF">
        <w:rPr>
          <w:rFonts w:ascii="Arial" w:hAnsi="Arial" w:cs="Arial"/>
          <w:sz w:val="22"/>
          <w:szCs w:val="22"/>
        </w:rPr>
        <w:t xml:space="preserve">Report </w:t>
      </w:r>
      <w:r w:rsidR="00CB2876" w:rsidRPr="005430BF">
        <w:rPr>
          <w:rFonts w:ascii="Arial" w:hAnsi="Arial" w:cs="Arial"/>
          <w:sz w:val="22"/>
          <w:szCs w:val="22"/>
        </w:rPr>
        <w:t xml:space="preserve">of M/s. </w:t>
      </w:r>
      <w:r w:rsidR="007F48CC">
        <w:rPr>
          <w:rFonts w:ascii="Arial" w:hAnsi="Arial" w:cs="Arial"/>
          <w:sz w:val="22"/>
          <w:szCs w:val="22"/>
          <w:shd w:val="clear" w:color="auto" w:fill="FFFFFF"/>
        </w:rPr>
        <w:t>GTL Infrastructure</w:t>
      </w:r>
      <w:r w:rsidR="005430BF" w:rsidRPr="005430BF">
        <w:rPr>
          <w:rFonts w:ascii="Arial" w:hAnsi="Arial" w:cs="Arial"/>
          <w:sz w:val="22"/>
          <w:szCs w:val="22"/>
          <w:shd w:val="clear" w:color="auto" w:fill="FFFFFF"/>
        </w:rPr>
        <w:t xml:space="preserve"> Limited (“</w:t>
      </w:r>
      <w:r w:rsidR="007F48CC">
        <w:rPr>
          <w:rFonts w:ascii="Arial" w:hAnsi="Arial" w:cs="Arial"/>
          <w:sz w:val="22"/>
          <w:szCs w:val="22"/>
          <w:shd w:val="clear" w:color="auto" w:fill="FFFFFF"/>
        </w:rPr>
        <w:t>GIL</w:t>
      </w:r>
      <w:r w:rsidR="005430BF" w:rsidRPr="005430BF">
        <w:rPr>
          <w:rFonts w:ascii="Arial" w:hAnsi="Arial" w:cs="Arial"/>
          <w:sz w:val="22"/>
          <w:szCs w:val="22"/>
          <w:shd w:val="clear" w:color="auto" w:fill="FFFFFF"/>
        </w:rPr>
        <w:t>”)</w:t>
      </w:r>
      <w:r w:rsidR="005430BF">
        <w:rPr>
          <w:rFonts w:ascii="Arial" w:hAnsi="Arial" w:cs="Arial"/>
          <w:sz w:val="22"/>
          <w:szCs w:val="22"/>
          <w:shd w:val="clear" w:color="auto" w:fill="FFFFFF"/>
        </w:rPr>
        <w:t>.</w:t>
      </w:r>
      <w:r w:rsidR="005430BF" w:rsidRPr="005430BF">
        <w:rPr>
          <w:rFonts w:ascii="Arial" w:hAnsi="Arial" w:cs="Arial"/>
          <w:sz w:val="22"/>
          <w:szCs w:val="22"/>
          <w:shd w:val="clear" w:color="auto" w:fill="FFFFFF"/>
        </w:rPr>
        <w:t xml:space="preserve"> </w:t>
      </w:r>
      <w:proofErr w:type="spellStart"/>
      <w:r w:rsidR="005430BF" w:rsidRPr="005430BF">
        <w:rPr>
          <w:rFonts w:ascii="Arial" w:hAnsi="Arial" w:cs="Arial"/>
          <w:sz w:val="22"/>
          <w:szCs w:val="22"/>
          <w:shd w:val="clear" w:color="auto" w:fill="FFFFFF"/>
        </w:rPr>
        <w:t>Aadhaar</w:t>
      </w:r>
      <w:proofErr w:type="spellEnd"/>
      <w:r w:rsidR="005430BF" w:rsidRPr="005430BF">
        <w:rPr>
          <w:rFonts w:ascii="Arial" w:hAnsi="Arial" w:cs="Arial"/>
          <w:sz w:val="22"/>
          <w:szCs w:val="22"/>
          <w:shd w:val="clear" w:color="auto" w:fill="FFFFFF"/>
        </w:rPr>
        <w:t xml:space="preserve">, a wholly owned subsidiary of the </w:t>
      </w:r>
      <w:r w:rsidR="005430BF">
        <w:rPr>
          <w:rFonts w:ascii="Arial" w:hAnsi="Arial" w:cs="Arial"/>
          <w:sz w:val="22"/>
          <w:szCs w:val="22"/>
          <w:shd w:val="clear" w:color="auto" w:fill="FFFFFF"/>
        </w:rPr>
        <w:t>M/s Future Consumer Limited (FCL)</w:t>
      </w:r>
      <w:r w:rsidR="005430BF" w:rsidRPr="005430BF">
        <w:rPr>
          <w:rFonts w:ascii="Arial" w:hAnsi="Arial" w:cs="Arial"/>
          <w:sz w:val="22"/>
          <w:szCs w:val="22"/>
          <w:shd w:val="clear" w:color="auto" w:fill="FFFFFF"/>
        </w:rPr>
        <w:t xml:space="preserve">, is in the business of rural and semi-urban wholesale and distribution primarily of fast-moving consumer products of the </w:t>
      </w:r>
      <w:r w:rsidR="005430BF">
        <w:rPr>
          <w:rFonts w:ascii="Arial" w:hAnsi="Arial" w:cs="Arial"/>
          <w:sz w:val="22"/>
          <w:szCs w:val="22"/>
          <w:shd w:val="clear" w:color="auto" w:fill="FFFFFF"/>
        </w:rPr>
        <w:t>c</w:t>
      </w:r>
      <w:r w:rsidR="005430BF" w:rsidRPr="005430BF">
        <w:rPr>
          <w:rFonts w:ascii="Arial" w:hAnsi="Arial" w:cs="Arial"/>
          <w:sz w:val="22"/>
          <w:szCs w:val="22"/>
          <w:shd w:val="clear" w:color="auto" w:fill="FFFFFF"/>
        </w:rPr>
        <w:t>ompany.</w:t>
      </w:r>
    </w:p>
    <w:p w14:paraId="44625DBE" w14:textId="77777777" w:rsidR="005430BF" w:rsidRPr="005430BF" w:rsidRDefault="005430BF" w:rsidP="005430BF">
      <w:pPr>
        <w:pStyle w:val="ListParagraph"/>
        <w:spacing w:after="0" w:line="360" w:lineRule="auto"/>
        <w:ind w:left="142" w:right="-23"/>
        <w:jc w:val="both"/>
        <w:rPr>
          <w:rFonts w:ascii="Arial" w:hAnsi="Arial" w:cs="Arial"/>
          <w:sz w:val="22"/>
          <w:szCs w:val="22"/>
        </w:rPr>
      </w:pPr>
    </w:p>
    <w:p w14:paraId="03F4C14E" w14:textId="77777777" w:rsidR="007852A6" w:rsidRPr="007852A6" w:rsidRDefault="00E11206" w:rsidP="004C1C3E">
      <w:pPr>
        <w:pStyle w:val="ListParagraph"/>
        <w:numPr>
          <w:ilvl w:val="0"/>
          <w:numId w:val="2"/>
        </w:numPr>
        <w:spacing w:line="360" w:lineRule="auto"/>
        <w:ind w:left="142" w:right="-23" w:hanging="426"/>
        <w:jc w:val="both"/>
        <w:rPr>
          <w:rFonts w:ascii="Arial" w:hAnsi="Arial" w:cs="Arial"/>
          <w:sz w:val="22"/>
          <w:szCs w:val="22"/>
          <w:lang w:val="en-IN"/>
        </w:rPr>
      </w:pPr>
      <w:r w:rsidRPr="007852A6">
        <w:rPr>
          <w:rFonts w:ascii="Arial" w:hAnsi="Arial" w:cs="Arial"/>
          <w:b/>
          <w:sz w:val="22"/>
          <w:szCs w:val="22"/>
          <w:lang w:val="en-IN"/>
        </w:rPr>
        <w:t xml:space="preserve">BACKGROUND OF THE PROJECT: </w:t>
      </w:r>
    </w:p>
    <w:p w14:paraId="766AAB2E" w14:textId="77777777" w:rsidR="007852A6" w:rsidRDefault="003E0737" w:rsidP="007852A6">
      <w:pPr>
        <w:pStyle w:val="ListParagraph"/>
        <w:spacing w:line="360" w:lineRule="auto"/>
        <w:ind w:left="142" w:right="-23"/>
        <w:jc w:val="both"/>
        <w:rPr>
          <w:rFonts w:ascii="Arial" w:hAnsi="Arial" w:cs="Arial"/>
          <w:sz w:val="22"/>
          <w:szCs w:val="22"/>
        </w:rPr>
      </w:pPr>
      <w:r w:rsidRPr="007852A6">
        <w:rPr>
          <w:rFonts w:ascii="Arial" w:hAnsi="Arial" w:cs="Arial"/>
          <w:sz w:val="22"/>
          <w:szCs w:val="22"/>
        </w:rPr>
        <w:t xml:space="preserve">M/s GTL Infrastructure Limited was incorporated on 4th February, 2004 </w:t>
      </w:r>
      <w:r w:rsidR="007852A6">
        <w:rPr>
          <w:rFonts w:ascii="Arial" w:hAnsi="Arial" w:cs="Arial"/>
          <w:sz w:val="22"/>
          <w:szCs w:val="22"/>
        </w:rPr>
        <w:t xml:space="preserve">is domiciled and incorporated in India </w:t>
      </w:r>
      <w:r w:rsidR="007852A6" w:rsidRPr="007852A6">
        <w:rPr>
          <w:rFonts w:ascii="Arial" w:hAnsi="Arial" w:cs="Arial"/>
          <w:sz w:val="22"/>
          <w:szCs w:val="22"/>
        </w:rPr>
        <w:t xml:space="preserve">under the </w:t>
      </w:r>
      <w:r w:rsidR="007852A6">
        <w:rPr>
          <w:rFonts w:ascii="Arial" w:hAnsi="Arial" w:cs="Arial"/>
          <w:sz w:val="22"/>
          <w:szCs w:val="22"/>
        </w:rPr>
        <w:t xml:space="preserve">provisions of the </w:t>
      </w:r>
      <w:r w:rsidR="007852A6" w:rsidRPr="007852A6">
        <w:rPr>
          <w:rFonts w:ascii="Arial" w:hAnsi="Arial" w:cs="Arial"/>
          <w:sz w:val="22"/>
          <w:szCs w:val="22"/>
        </w:rPr>
        <w:t>Companies Act, 1956</w:t>
      </w:r>
      <w:r w:rsidR="007852A6">
        <w:rPr>
          <w:rFonts w:ascii="Arial" w:hAnsi="Arial" w:cs="Arial"/>
          <w:sz w:val="22"/>
          <w:szCs w:val="22"/>
        </w:rPr>
        <w:t xml:space="preserve">. </w:t>
      </w:r>
      <w:r w:rsidR="007852A6" w:rsidRPr="007852A6">
        <w:rPr>
          <w:rFonts w:ascii="Arial" w:hAnsi="Arial" w:cs="Arial"/>
          <w:sz w:val="22"/>
          <w:szCs w:val="22"/>
        </w:rPr>
        <w:t xml:space="preserve"> </w:t>
      </w:r>
      <w:r w:rsidR="007852A6">
        <w:rPr>
          <w:rFonts w:ascii="Arial" w:hAnsi="Arial" w:cs="Arial"/>
          <w:sz w:val="22"/>
          <w:szCs w:val="22"/>
        </w:rPr>
        <w:t>The company is in the business of passive infrastructure sharing which is based on building, owning, operating and maintaining passive telecom infrastructure sites capable of hosting active network components of various</w:t>
      </w:r>
      <w:r w:rsidRPr="007852A6">
        <w:rPr>
          <w:rFonts w:ascii="Arial" w:hAnsi="Arial" w:cs="Arial"/>
          <w:sz w:val="22"/>
          <w:szCs w:val="22"/>
        </w:rPr>
        <w:t xml:space="preserve"> </w:t>
      </w:r>
      <w:r w:rsidR="007852A6">
        <w:rPr>
          <w:rFonts w:ascii="Arial" w:hAnsi="Arial" w:cs="Arial"/>
          <w:sz w:val="22"/>
          <w:szCs w:val="22"/>
        </w:rPr>
        <w:t>technologies of multiple telecom operators as well providing energy management solutions.</w:t>
      </w:r>
    </w:p>
    <w:p w14:paraId="4AD94DCD" w14:textId="371D3442" w:rsidR="003E0737" w:rsidRPr="007852A6" w:rsidRDefault="003E0737" w:rsidP="007852A6">
      <w:pPr>
        <w:pStyle w:val="ListParagraph"/>
        <w:spacing w:line="360" w:lineRule="auto"/>
        <w:ind w:left="142" w:right="-23"/>
        <w:jc w:val="both"/>
        <w:rPr>
          <w:rFonts w:ascii="Arial" w:hAnsi="Arial" w:cs="Arial"/>
          <w:sz w:val="22"/>
          <w:szCs w:val="22"/>
          <w:lang w:val="en-IN"/>
        </w:rPr>
      </w:pPr>
      <w:r w:rsidRPr="007852A6">
        <w:rPr>
          <w:rFonts w:ascii="Arial" w:hAnsi="Arial" w:cs="Arial"/>
          <w:sz w:val="22"/>
          <w:szCs w:val="22"/>
        </w:rPr>
        <w:t xml:space="preserve">The company is established as a public (non-govt.) company limited by shares with Registration no. 144367 and Corporate Identification Number </w:t>
      </w:r>
      <w:r w:rsidRPr="007852A6">
        <w:rPr>
          <w:rFonts w:ascii="Arial" w:hAnsi="Arial" w:cs="Arial"/>
          <w:bCs/>
          <w:sz w:val="22"/>
          <w:szCs w:val="22"/>
        </w:rPr>
        <w:t>L74210MH2004PLC144367</w:t>
      </w:r>
      <w:r w:rsidRPr="007852A6">
        <w:rPr>
          <w:rFonts w:ascii="Arial" w:hAnsi="Arial" w:cs="Arial"/>
          <w:sz w:val="22"/>
          <w:szCs w:val="22"/>
        </w:rPr>
        <w:t xml:space="preserve"> and has directors on board who appears to be well experience in</w:t>
      </w:r>
      <w:r w:rsidRPr="007852A6">
        <w:rPr>
          <w:rFonts w:ascii="Cambria" w:eastAsiaTheme="minorHAnsi" w:hAnsi="Cambria" w:cstheme="minorBidi"/>
          <w:lang w:val="en-IN"/>
        </w:rPr>
        <w:t xml:space="preserve"> </w:t>
      </w:r>
      <w:r w:rsidRPr="007852A6">
        <w:rPr>
          <w:rFonts w:ascii="Arial" w:hAnsi="Arial" w:cs="Arial"/>
          <w:sz w:val="22"/>
          <w:szCs w:val="22"/>
          <w:lang w:val="en-IN"/>
        </w:rPr>
        <w:t>Telecom Infrastructure and Enterprise Networks space</w:t>
      </w:r>
      <w:r w:rsidRPr="007852A6">
        <w:rPr>
          <w:rFonts w:ascii="Arial" w:hAnsi="Arial" w:cs="Arial"/>
          <w:sz w:val="22"/>
          <w:szCs w:val="22"/>
        </w:rPr>
        <w:t xml:space="preserve"> as per the profile shared to us by the client/company and information available in the public domain.</w:t>
      </w:r>
    </w:p>
    <w:p w14:paraId="68EEE9FF" w14:textId="6A78FC82" w:rsidR="003E0737" w:rsidRDefault="003E0737" w:rsidP="00091345">
      <w:pPr>
        <w:spacing w:before="240" w:line="360" w:lineRule="auto"/>
        <w:ind w:left="142" w:right="-23"/>
        <w:jc w:val="both"/>
        <w:rPr>
          <w:rFonts w:ascii="Arial" w:hAnsi="Arial" w:cs="Arial"/>
          <w:bCs/>
          <w:sz w:val="22"/>
          <w:szCs w:val="22"/>
          <w:lang w:val="en-IN"/>
        </w:rPr>
      </w:pPr>
      <w:r w:rsidRPr="003E0737">
        <w:rPr>
          <w:rFonts w:ascii="Arial" w:hAnsi="Arial" w:cs="Arial"/>
          <w:bCs/>
          <w:sz w:val="22"/>
          <w:szCs w:val="22"/>
          <w:lang w:val="en-IN"/>
        </w:rPr>
        <w:t xml:space="preserve">The company is registered at Registrar of companies, </w:t>
      </w:r>
      <w:r>
        <w:rPr>
          <w:rFonts w:ascii="Arial" w:hAnsi="Arial" w:cs="Arial"/>
          <w:bCs/>
          <w:sz w:val="22"/>
          <w:szCs w:val="22"/>
          <w:lang w:val="en-IN"/>
        </w:rPr>
        <w:t>Mumbai</w:t>
      </w:r>
      <w:r w:rsidRPr="003E0737">
        <w:rPr>
          <w:rFonts w:ascii="Arial" w:hAnsi="Arial" w:cs="Arial"/>
          <w:bCs/>
          <w:sz w:val="22"/>
          <w:szCs w:val="22"/>
          <w:lang w:val="en-IN"/>
        </w:rPr>
        <w:t xml:space="preserve"> having registered office at </w:t>
      </w:r>
      <w:r w:rsidRPr="003E0737">
        <w:rPr>
          <w:rFonts w:ascii="Arial" w:hAnsi="Arial" w:cs="Arial"/>
          <w:bCs/>
          <w:sz w:val="22"/>
          <w:szCs w:val="22"/>
        </w:rPr>
        <w:t xml:space="preserve">7th Floor, Building No. A, Plot No. EL - 207, MIDC, TTC Industrial Area, </w:t>
      </w:r>
      <w:proofErr w:type="spellStart"/>
      <w:r w:rsidRPr="003E0737">
        <w:rPr>
          <w:rFonts w:ascii="Arial" w:hAnsi="Arial" w:cs="Arial"/>
          <w:bCs/>
          <w:sz w:val="22"/>
          <w:szCs w:val="22"/>
        </w:rPr>
        <w:t>Mahape</w:t>
      </w:r>
      <w:proofErr w:type="spellEnd"/>
      <w:r w:rsidRPr="003E0737">
        <w:rPr>
          <w:rFonts w:ascii="Arial" w:hAnsi="Arial" w:cs="Arial"/>
          <w:bCs/>
          <w:sz w:val="22"/>
          <w:szCs w:val="22"/>
        </w:rPr>
        <w:t xml:space="preserve">, </w:t>
      </w:r>
      <w:proofErr w:type="spellStart"/>
      <w:r w:rsidRPr="003E0737">
        <w:rPr>
          <w:rFonts w:ascii="Arial" w:hAnsi="Arial" w:cs="Arial"/>
          <w:bCs/>
          <w:sz w:val="22"/>
          <w:szCs w:val="22"/>
        </w:rPr>
        <w:t>Navi</w:t>
      </w:r>
      <w:proofErr w:type="spellEnd"/>
      <w:r w:rsidRPr="003E0737">
        <w:rPr>
          <w:rFonts w:ascii="Arial" w:hAnsi="Arial" w:cs="Arial"/>
          <w:bCs/>
          <w:sz w:val="22"/>
          <w:szCs w:val="22"/>
        </w:rPr>
        <w:t xml:space="preserve"> Mumbai, Thane, Thane, Thane, Maharashtra- 400710</w:t>
      </w:r>
      <w:r w:rsidRPr="003E0737">
        <w:rPr>
          <w:rFonts w:ascii="Arial" w:hAnsi="Arial" w:cs="Arial"/>
          <w:bCs/>
          <w:sz w:val="22"/>
          <w:szCs w:val="22"/>
          <w:lang w:val="en-IN"/>
        </w:rPr>
        <w:t xml:space="preserve"> under the directorship of Mr. </w:t>
      </w:r>
      <w:proofErr w:type="spellStart"/>
      <w:r>
        <w:rPr>
          <w:rFonts w:ascii="Arial" w:hAnsi="Arial" w:cs="Arial"/>
          <w:bCs/>
          <w:sz w:val="22"/>
          <w:szCs w:val="22"/>
          <w:lang w:val="en-IN"/>
        </w:rPr>
        <w:t>Vikas</w:t>
      </w:r>
      <w:proofErr w:type="spellEnd"/>
      <w:r w:rsidRPr="003E0737">
        <w:rPr>
          <w:rFonts w:ascii="Arial" w:hAnsi="Arial" w:cs="Arial"/>
          <w:bCs/>
          <w:sz w:val="22"/>
          <w:szCs w:val="22"/>
          <w:lang w:val="en-IN"/>
        </w:rPr>
        <w:t xml:space="preserve"> Arora, Mr. </w:t>
      </w:r>
      <w:proofErr w:type="spellStart"/>
      <w:r>
        <w:rPr>
          <w:rFonts w:ascii="Arial" w:hAnsi="Arial" w:cs="Arial"/>
          <w:bCs/>
          <w:sz w:val="22"/>
          <w:szCs w:val="22"/>
          <w:lang w:val="en-IN"/>
        </w:rPr>
        <w:t>Charudatta</w:t>
      </w:r>
      <w:proofErr w:type="spellEnd"/>
      <w:r>
        <w:rPr>
          <w:rFonts w:ascii="Arial" w:hAnsi="Arial" w:cs="Arial"/>
          <w:bCs/>
          <w:sz w:val="22"/>
          <w:szCs w:val="22"/>
          <w:lang w:val="en-IN"/>
        </w:rPr>
        <w:t xml:space="preserve"> </w:t>
      </w:r>
      <w:proofErr w:type="spellStart"/>
      <w:r>
        <w:rPr>
          <w:rFonts w:ascii="Arial" w:hAnsi="Arial" w:cs="Arial"/>
          <w:bCs/>
          <w:sz w:val="22"/>
          <w:szCs w:val="22"/>
          <w:lang w:val="en-IN"/>
        </w:rPr>
        <w:t>Naik</w:t>
      </w:r>
      <w:proofErr w:type="spellEnd"/>
      <w:r w:rsidRPr="003E0737">
        <w:rPr>
          <w:rFonts w:ascii="Arial" w:hAnsi="Arial" w:cs="Arial"/>
          <w:bCs/>
          <w:sz w:val="22"/>
          <w:szCs w:val="22"/>
          <w:lang w:val="en-IN"/>
        </w:rPr>
        <w:t>, Mr</w:t>
      </w:r>
      <w:r>
        <w:rPr>
          <w:rFonts w:ascii="Arial" w:hAnsi="Arial" w:cs="Arial"/>
          <w:bCs/>
          <w:sz w:val="22"/>
          <w:szCs w:val="22"/>
          <w:lang w:val="en-IN"/>
        </w:rPr>
        <w:t>s</w:t>
      </w:r>
      <w:r w:rsidRPr="003E0737">
        <w:rPr>
          <w:rFonts w:ascii="Arial" w:hAnsi="Arial" w:cs="Arial"/>
          <w:bCs/>
          <w:sz w:val="22"/>
          <w:szCs w:val="22"/>
          <w:lang w:val="en-IN"/>
        </w:rPr>
        <w:t xml:space="preserve">. </w:t>
      </w:r>
      <w:proofErr w:type="spellStart"/>
      <w:r>
        <w:rPr>
          <w:rFonts w:ascii="Arial" w:hAnsi="Arial" w:cs="Arial"/>
          <w:bCs/>
          <w:sz w:val="22"/>
          <w:szCs w:val="22"/>
          <w:lang w:val="en-IN"/>
        </w:rPr>
        <w:t>Sunali</w:t>
      </w:r>
      <w:proofErr w:type="spellEnd"/>
      <w:r>
        <w:rPr>
          <w:rFonts w:ascii="Arial" w:hAnsi="Arial" w:cs="Arial"/>
          <w:bCs/>
          <w:sz w:val="22"/>
          <w:szCs w:val="22"/>
          <w:lang w:val="en-IN"/>
        </w:rPr>
        <w:t xml:space="preserve"> Chaudhry</w:t>
      </w:r>
      <w:r w:rsidRPr="003E0737">
        <w:rPr>
          <w:rFonts w:ascii="Arial" w:hAnsi="Arial" w:cs="Arial"/>
          <w:bCs/>
          <w:sz w:val="22"/>
          <w:szCs w:val="22"/>
          <w:lang w:val="en-IN"/>
        </w:rPr>
        <w:t xml:space="preserve">, Mr. </w:t>
      </w:r>
      <w:r>
        <w:rPr>
          <w:rFonts w:ascii="Arial" w:hAnsi="Arial" w:cs="Arial"/>
          <w:bCs/>
          <w:sz w:val="22"/>
          <w:szCs w:val="22"/>
          <w:lang w:val="en-IN"/>
        </w:rPr>
        <w:t>Jeevan Rai</w:t>
      </w:r>
      <w:r w:rsidRPr="003E0737">
        <w:rPr>
          <w:rFonts w:ascii="Arial" w:hAnsi="Arial" w:cs="Arial"/>
          <w:bCs/>
          <w:sz w:val="22"/>
          <w:szCs w:val="22"/>
          <w:lang w:val="en-IN"/>
        </w:rPr>
        <w:t xml:space="preserve">, Mr. </w:t>
      </w:r>
      <w:r>
        <w:rPr>
          <w:rFonts w:ascii="Arial" w:hAnsi="Arial" w:cs="Arial"/>
          <w:bCs/>
          <w:sz w:val="22"/>
          <w:szCs w:val="22"/>
          <w:lang w:val="en-IN"/>
        </w:rPr>
        <w:t xml:space="preserve">Ramesh </w:t>
      </w:r>
      <w:proofErr w:type="spellStart"/>
      <w:r>
        <w:rPr>
          <w:rFonts w:ascii="Arial" w:hAnsi="Arial" w:cs="Arial"/>
          <w:bCs/>
          <w:sz w:val="22"/>
          <w:szCs w:val="22"/>
          <w:lang w:val="en-IN"/>
        </w:rPr>
        <w:t>Bhosale</w:t>
      </w:r>
      <w:proofErr w:type="spellEnd"/>
      <w:r w:rsidR="007852A6">
        <w:rPr>
          <w:rFonts w:ascii="Arial" w:hAnsi="Arial" w:cs="Arial"/>
          <w:bCs/>
          <w:sz w:val="22"/>
          <w:szCs w:val="22"/>
          <w:lang w:val="en-IN"/>
        </w:rPr>
        <w:t xml:space="preserve">, Mr. </w:t>
      </w:r>
      <w:proofErr w:type="spellStart"/>
      <w:r w:rsidR="007852A6">
        <w:rPr>
          <w:rFonts w:ascii="Arial" w:hAnsi="Arial" w:cs="Arial"/>
          <w:bCs/>
          <w:sz w:val="22"/>
          <w:szCs w:val="22"/>
          <w:lang w:val="en-IN"/>
        </w:rPr>
        <w:t>Dhananjay</w:t>
      </w:r>
      <w:proofErr w:type="spellEnd"/>
      <w:r w:rsidR="007852A6">
        <w:rPr>
          <w:rFonts w:ascii="Arial" w:hAnsi="Arial" w:cs="Arial"/>
          <w:bCs/>
          <w:sz w:val="22"/>
          <w:szCs w:val="22"/>
          <w:lang w:val="en-IN"/>
        </w:rPr>
        <w:t xml:space="preserve"> </w:t>
      </w:r>
      <w:proofErr w:type="spellStart"/>
      <w:r w:rsidR="007852A6">
        <w:rPr>
          <w:rFonts w:ascii="Arial" w:hAnsi="Arial" w:cs="Arial"/>
          <w:bCs/>
          <w:sz w:val="22"/>
          <w:szCs w:val="22"/>
          <w:lang w:val="en-IN"/>
        </w:rPr>
        <w:t>Barve</w:t>
      </w:r>
      <w:proofErr w:type="spellEnd"/>
      <w:r w:rsidRPr="003E0737">
        <w:rPr>
          <w:rFonts w:ascii="Arial" w:hAnsi="Arial" w:cs="Arial"/>
          <w:bCs/>
          <w:sz w:val="22"/>
          <w:szCs w:val="22"/>
          <w:lang w:val="en-IN"/>
        </w:rPr>
        <w:t xml:space="preserve"> and Ms. </w:t>
      </w:r>
      <w:r w:rsidR="007852A6">
        <w:rPr>
          <w:rFonts w:ascii="Arial" w:hAnsi="Arial" w:cs="Arial"/>
          <w:bCs/>
          <w:sz w:val="22"/>
          <w:szCs w:val="22"/>
          <w:lang w:val="en-IN"/>
        </w:rPr>
        <w:t xml:space="preserve">Dina </w:t>
      </w:r>
      <w:proofErr w:type="spellStart"/>
      <w:r w:rsidR="007852A6">
        <w:rPr>
          <w:rFonts w:ascii="Arial" w:hAnsi="Arial" w:cs="Arial"/>
          <w:bCs/>
          <w:sz w:val="22"/>
          <w:szCs w:val="22"/>
          <w:lang w:val="en-IN"/>
        </w:rPr>
        <w:t>Hatekar</w:t>
      </w:r>
      <w:proofErr w:type="spellEnd"/>
      <w:r w:rsidRPr="003E0737">
        <w:rPr>
          <w:rFonts w:ascii="Arial" w:hAnsi="Arial" w:cs="Arial"/>
          <w:bCs/>
          <w:sz w:val="22"/>
          <w:szCs w:val="22"/>
          <w:lang w:val="en-IN"/>
        </w:rPr>
        <w:t xml:space="preserve">. As per the audited financials shared by the client, the company is having the authorised share capital of INR </w:t>
      </w:r>
      <w:r w:rsidR="007852A6">
        <w:rPr>
          <w:rFonts w:ascii="Arial" w:hAnsi="Arial" w:cs="Arial"/>
          <w:bCs/>
          <w:sz w:val="22"/>
          <w:szCs w:val="22"/>
          <w:lang w:val="en-IN"/>
        </w:rPr>
        <w:t>18,000</w:t>
      </w:r>
      <w:r w:rsidRPr="003E0737">
        <w:rPr>
          <w:rFonts w:ascii="Arial" w:hAnsi="Arial" w:cs="Arial"/>
          <w:bCs/>
          <w:sz w:val="22"/>
          <w:szCs w:val="22"/>
          <w:lang w:val="en-IN"/>
        </w:rPr>
        <w:t xml:space="preserve">.00 Crores, and paid-up capital of INR </w:t>
      </w:r>
      <w:r w:rsidR="007852A6">
        <w:rPr>
          <w:rFonts w:ascii="Arial" w:hAnsi="Arial" w:cs="Arial"/>
          <w:bCs/>
          <w:sz w:val="22"/>
          <w:szCs w:val="22"/>
          <w:lang w:val="en-IN"/>
        </w:rPr>
        <w:t>12,807.02</w:t>
      </w:r>
      <w:r w:rsidRPr="003E0737">
        <w:rPr>
          <w:rFonts w:ascii="Arial" w:hAnsi="Arial" w:cs="Arial"/>
          <w:bCs/>
          <w:sz w:val="22"/>
          <w:szCs w:val="22"/>
          <w:lang w:val="en-IN"/>
        </w:rPr>
        <w:t xml:space="preserve"> Crores as on 31st March 2023.</w:t>
      </w:r>
    </w:p>
    <w:p w14:paraId="2751165A" w14:textId="4CF0E457" w:rsidR="00D23016" w:rsidRDefault="00D23016" w:rsidP="00091345">
      <w:pPr>
        <w:spacing w:before="240" w:line="360" w:lineRule="auto"/>
        <w:ind w:left="142" w:right="-23"/>
        <w:jc w:val="both"/>
        <w:rPr>
          <w:rFonts w:ascii="Arial" w:hAnsi="Arial" w:cs="Arial"/>
          <w:bCs/>
          <w:sz w:val="22"/>
          <w:szCs w:val="22"/>
          <w:lang w:val="en-IN"/>
        </w:rPr>
      </w:pPr>
      <w:r w:rsidRPr="00D23016">
        <w:rPr>
          <w:rFonts w:ascii="Arial" w:hAnsi="Arial" w:cs="Arial"/>
          <w:bCs/>
          <w:sz w:val="22"/>
          <w:szCs w:val="22"/>
          <w:lang w:val="en-IN"/>
        </w:rPr>
        <w:t>The key milestones of the Company are listed in the below table:</w:t>
      </w:r>
    </w:p>
    <w:tbl>
      <w:tblPr>
        <w:tblStyle w:val="TableGrid"/>
        <w:tblW w:w="0" w:type="auto"/>
        <w:tblInd w:w="142" w:type="dxa"/>
        <w:tblLook w:val="04A0" w:firstRow="1" w:lastRow="0" w:firstColumn="1" w:lastColumn="0" w:noHBand="0" w:noVBand="1"/>
      </w:tblPr>
      <w:tblGrid>
        <w:gridCol w:w="1554"/>
        <w:gridCol w:w="7769"/>
      </w:tblGrid>
      <w:tr w:rsidR="00D23016" w:rsidRPr="00B374B0" w14:paraId="187FC0F9" w14:textId="77777777" w:rsidTr="00B374B0">
        <w:tc>
          <w:tcPr>
            <w:tcW w:w="1554" w:type="dxa"/>
            <w:shd w:val="clear" w:color="auto" w:fill="002060"/>
          </w:tcPr>
          <w:p w14:paraId="4BE0CFD4" w14:textId="15E4C17B" w:rsidR="00D23016" w:rsidRPr="00B374B0" w:rsidRDefault="00D23016" w:rsidP="00D23016">
            <w:pPr>
              <w:spacing w:line="360" w:lineRule="auto"/>
              <w:ind w:right="-23"/>
              <w:jc w:val="both"/>
              <w:rPr>
                <w:rFonts w:asciiTheme="minorHAnsi" w:hAnsiTheme="minorHAnsi" w:cstheme="minorHAnsi"/>
                <w:b/>
                <w:sz w:val="22"/>
                <w:szCs w:val="22"/>
                <w:lang w:val="en-IN"/>
              </w:rPr>
            </w:pPr>
            <w:r w:rsidRPr="00B374B0">
              <w:rPr>
                <w:rFonts w:asciiTheme="minorHAnsi" w:hAnsiTheme="minorHAnsi" w:cstheme="minorHAnsi"/>
                <w:b/>
                <w:sz w:val="22"/>
                <w:szCs w:val="22"/>
                <w:lang w:val="en-IN"/>
              </w:rPr>
              <w:t>Year</w:t>
            </w:r>
          </w:p>
        </w:tc>
        <w:tc>
          <w:tcPr>
            <w:tcW w:w="7769" w:type="dxa"/>
            <w:shd w:val="clear" w:color="auto" w:fill="002060"/>
          </w:tcPr>
          <w:p w14:paraId="0A91DAB3" w14:textId="1C8A5CC6" w:rsidR="00D23016" w:rsidRPr="00B374B0" w:rsidRDefault="00D23016" w:rsidP="00D23016">
            <w:pPr>
              <w:spacing w:line="360" w:lineRule="auto"/>
              <w:ind w:right="-23"/>
              <w:jc w:val="both"/>
              <w:rPr>
                <w:rFonts w:asciiTheme="minorHAnsi" w:hAnsiTheme="minorHAnsi" w:cstheme="minorHAnsi"/>
                <w:b/>
                <w:sz w:val="22"/>
                <w:szCs w:val="22"/>
                <w:lang w:val="en-IN"/>
              </w:rPr>
            </w:pPr>
            <w:r w:rsidRPr="00B374B0">
              <w:rPr>
                <w:rFonts w:asciiTheme="minorHAnsi" w:hAnsiTheme="minorHAnsi" w:cstheme="minorHAnsi"/>
                <w:b/>
                <w:sz w:val="22"/>
                <w:szCs w:val="22"/>
                <w:lang w:val="en-IN"/>
              </w:rPr>
              <w:t>Milestones</w:t>
            </w:r>
          </w:p>
        </w:tc>
      </w:tr>
      <w:tr w:rsidR="00D23016" w:rsidRPr="00B374B0" w14:paraId="2BD3052F" w14:textId="77777777" w:rsidTr="00D23016">
        <w:tc>
          <w:tcPr>
            <w:tcW w:w="1554" w:type="dxa"/>
          </w:tcPr>
          <w:p w14:paraId="781ACFEB" w14:textId="2CBF5D9D" w:rsidR="00D23016" w:rsidRPr="00B374B0" w:rsidRDefault="00D23016"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Cs/>
                <w:sz w:val="22"/>
                <w:szCs w:val="22"/>
                <w:lang w:val="en-IN"/>
              </w:rPr>
              <w:t>2004</w:t>
            </w:r>
          </w:p>
        </w:tc>
        <w:tc>
          <w:tcPr>
            <w:tcW w:w="7769" w:type="dxa"/>
          </w:tcPr>
          <w:p w14:paraId="37A764CE" w14:textId="65097C57" w:rsidR="00D23016" w:rsidRPr="00B374B0" w:rsidRDefault="00D23016" w:rsidP="00B374B0">
            <w:pPr>
              <w:spacing w:line="360" w:lineRule="auto"/>
              <w:ind w:right="-23"/>
              <w:rPr>
                <w:rFonts w:asciiTheme="minorHAnsi" w:hAnsiTheme="minorHAnsi" w:cstheme="minorHAnsi"/>
                <w:bCs/>
                <w:sz w:val="22"/>
                <w:szCs w:val="22"/>
              </w:rPr>
            </w:pPr>
            <w:r w:rsidRPr="00B374B0">
              <w:rPr>
                <w:rFonts w:asciiTheme="minorHAnsi" w:hAnsiTheme="minorHAnsi" w:cstheme="minorHAnsi"/>
                <w:b/>
                <w:sz w:val="22"/>
                <w:szCs w:val="22"/>
                <w:u w:val="single"/>
                <w:lang w:val="en-IN"/>
              </w:rPr>
              <w:t>Formation:</w:t>
            </w:r>
            <w:r w:rsidRPr="00B374B0">
              <w:rPr>
                <w:rFonts w:asciiTheme="minorHAnsi" w:hAnsiTheme="minorHAnsi" w:cstheme="minorHAnsi"/>
                <w:bCs/>
                <w:sz w:val="22"/>
                <w:szCs w:val="22"/>
                <w:lang w:val="en-IN"/>
              </w:rPr>
              <w:t xml:space="preserve"> </w:t>
            </w:r>
            <w:r w:rsidR="00B374B0" w:rsidRPr="00B374B0">
              <w:rPr>
                <w:rFonts w:asciiTheme="minorHAnsi" w:hAnsiTheme="minorHAnsi" w:cstheme="minorHAnsi"/>
                <w:bCs/>
                <w:sz w:val="22"/>
                <w:szCs w:val="22"/>
              </w:rPr>
              <w:t>GTL Infrastructure Limited was incorporated on February 4th, 2004.</w:t>
            </w:r>
          </w:p>
        </w:tc>
      </w:tr>
      <w:tr w:rsidR="00D23016" w:rsidRPr="00B374B0" w14:paraId="57FB4EB4" w14:textId="77777777" w:rsidTr="00D23016">
        <w:tc>
          <w:tcPr>
            <w:tcW w:w="1554" w:type="dxa"/>
          </w:tcPr>
          <w:p w14:paraId="597AA773" w14:textId="412939A3" w:rsidR="00D23016" w:rsidRPr="00B374B0" w:rsidRDefault="00B374B0"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Cs/>
                <w:sz w:val="22"/>
                <w:szCs w:val="22"/>
                <w:lang w:val="en-IN"/>
              </w:rPr>
              <w:t>2006</w:t>
            </w:r>
          </w:p>
        </w:tc>
        <w:tc>
          <w:tcPr>
            <w:tcW w:w="7769" w:type="dxa"/>
          </w:tcPr>
          <w:p w14:paraId="5176DCA4" w14:textId="24596D4E" w:rsidR="00D23016" w:rsidRPr="00B374B0" w:rsidRDefault="00B374B0" w:rsidP="00D23016">
            <w:pPr>
              <w:spacing w:line="360" w:lineRule="auto"/>
              <w:ind w:right="-23"/>
              <w:jc w:val="both"/>
              <w:rPr>
                <w:rFonts w:asciiTheme="minorHAnsi" w:hAnsiTheme="minorHAnsi" w:cstheme="minorHAnsi"/>
                <w:b/>
                <w:bCs/>
                <w:sz w:val="22"/>
                <w:szCs w:val="22"/>
                <w:lang w:val="en-IN"/>
              </w:rPr>
            </w:pPr>
            <w:r w:rsidRPr="00B374B0">
              <w:rPr>
                <w:rFonts w:asciiTheme="minorHAnsi" w:hAnsiTheme="minorHAnsi" w:cstheme="minorHAnsi"/>
                <w:b/>
                <w:bCs/>
                <w:sz w:val="22"/>
                <w:szCs w:val="22"/>
                <w:u w:val="single"/>
                <w:lang w:val="en-IN"/>
              </w:rPr>
              <w:t>Listing on BSE &amp; NSE:</w:t>
            </w:r>
            <w:r w:rsidRPr="00B374B0">
              <w:rPr>
                <w:rFonts w:asciiTheme="minorHAnsi" w:hAnsiTheme="minorHAnsi" w:cstheme="minorHAnsi"/>
                <w:b/>
                <w:bCs/>
                <w:sz w:val="22"/>
                <w:szCs w:val="22"/>
                <w:lang w:val="en-IN"/>
              </w:rPr>
              <w:t xml:space="preserve"> </w:t>
            </w:r>
            <w:r w:rsidRPr="00B374B0">
              <w:rPr>
                <w:rFonts w:asciiTheme="minorHAnsi" w:hAnsiTheme="minorHAnsi" w:cstheme="minorHAnsi"/>
                <w:bCs/>
                <w:sz w:val="22"/>
                <w:szCs w:val="22"/>
              </w:rPr>
              <w:t>November 9th 2006, GTL Infra Ltd. became the 1st company in Asia Pacific to get listed in the Shared Telecom Infrastructure space.</w:t>
            </w:r>
          </w:p>
        </w:tc>
      </w:tr>
      <w:tr w:rsidR="00D23016" w:rsidRPr="00B374B0" w14:paraId="4B81C5B2" w14:textId="77777777" w:rsidTr="00D23016">
        <w:tc>
          <w:tcPr>
            <w:tcW w:w="1554" w:type="dxa"/>
          </w:tcPr>
          <w:p w14:paraId="5F072209" w14:textId="65C49D3F" w:rsidR="00D23016" w:rsidRPr="00B374B0" w:rsidRDefault="00B374B0"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Cs/>
                <w:sz w:val="22"/>
                <w:szCs w:val="22"/>
                <w:lang w:val="en-IN"/>
              </w:rPr>
              <w:t>2007</w:t>
            </w:r>
          </w:p>
        </w:tc>
        <w:tc>
          <w:tcPr>
            <w:tcW w:w="7769" w:type="dxa"/>
          </w:tcPr>
          <w:p w14:paraId="37214EE0" w14:textId="4B7D8644" w:rsidR="00D23016" w:rsidRPr="00B374B0" w:rsidRDefault="00B374B0"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
                <w:bCs/>
                <w:sz w:val="22"/>
                <w:szCs w:val="22"/>
                <w:u w:val="single"/>
                <w:lang w:val="en-IN"/>
              </w:rPr>
              <w:t>Rights Issue:</w:t>
            </w:r>
            <w:r w:rsidRPr="00B374B0">
              <w:rPr>
                <w:rFonts w:asciiTheme="minorHAnsi" w:hAnsiTheme="minorHAnsi" w:cstheme="minorHAnsi"/>
                <w:b/>
                <w:bCs/>
                <w:sz w:val="22"/>
                <w:szCs w:val="22"/>
                <w:lang w:val="en-IN"/>
              </w:rPr>
              <w:t xml:space="preserve"> </w:t>
            </w:r>
            <w:r w:rsidRPr="00B374B0">
              <w:rPr>
                <w:rFonts w:asciiTheme="minorHAnsi" w:hAnsiTheme="minorHAnsi" w:cstheme="minorHAnsi"/>
                <w:bCs/>
                <w:sz w:val="22"/>
                <w:szCs w:val="22"/>
                <w:lang w:val="en-IN"/>
              </w:rPr>
              <w:t xml:space="preserve">In October 2007, the Company raised its Equity Share Capital from </w:t>
            </w:r>
            <w:proofErr w:type="spellStart"/>
            <w:r w:rsidRPr="00B374B0">
              <w:rPr>
                <w:rFonts w:asciiTheme="minorHAnsi" w:hAnsiTheme="minorHAnsi" w:cstheme="minorHAnsi"/>
                <w:bCs/>
                <w:sz w:val="22"/>
                <w:szCs w:val="22"/>
                <w:lang w:val="en-IN"/>
              </w:rPr>
              <w:t>Rs</w:t>
            </w:r>
            <w:proofErr w:type="spellEnd"/>
            <w:r w:rsidRPr="00B374B0">
              <w:rPr>
                <w:rFonts w:asciiTheme="minorHAnsi" w:hAnsiTheme="minorHAnsi" w:cstheme="minorHAnsi"/>
                <w:bCs/>
                <w:sz w:val="22"/>
                <w:szCs w:val="22"/>
                <w:lang w:val="en-IN"/>
              </w:rPr>
              <w:t xml:space="preserve">. 336.40 Crores to </w:t>
            </w:r>
            <w:r w:rsidR="0008176D">
              <w:rPr>
                <w:rFonts w:asciiTheme="minorHAnsi" w:hAnsiTheme="minorHAnsi" w:cstheme="minorHAnsi"/>
                <w:bCs/>
                <w:sz w:val="22"/>
                <w:szCs w:val="22"/>
                <w:lang w:val="en-IN"/>
              </w:rPr>
              <w:t>INR</w:t>
            </w:r>
            <w:r w:rsidRPr="00B374B0">
              <w:rPr>
                <w:rFonts w:asciiTheme="minorHAnsi" w:hAnsiTheme="minorHAnsi" w:cstheme="minorHAnsi"/>
                <w:bCs/>
                <w:sz w:val="22"/>
                <w:szCs w:val="22"/>
                <w:lang w:val="en-IN"/>
              </w:rPr>
              <w:t xml:space="preserve"> 672.80 Crores.</w:t>
            </w:r>
          </w:p>
          <w:p w14:paraId="7042C393" w14:textId="59DA07B2" w:rsidR="00B374B0" w:rsidRPr="00B374B0" w:rsidRDefault="00B374B0" w:rsidP="00B374B0">
            <w:pPr>
              <w:spacing w:line="360" w:lineRule="auto"/>
              <w:ind w:right="-23"/>
              <w:jc w:val="both"/>
              <w:rPr>
                <w:rFonts w:asciiTheme="minorHAnsi" w:hAnsiTheme="minorHAnsi" w:cstheme="minorHAnsi"/>
                <w:sz w:val="22"/>
                <w:szCs w:val="22"/>
                <w:lang w:val="en-IN"/>
              </w:rPr>
            </w:pPr>
            <w:r w:rsidRPr="00B374B0">
              <w:rPr>
                <w:rFonts w:asciiTheme="minorHAnsi" w:hAnsiTheme="minorHAnsi" w:cstheme="minorHAnsi"/>
                <w:b/>
                <w:bCs/>
                <w:sz w:val="22"/>
                <w:szCs w:val="22"/>
                <w:u w:val="single"/>
                <w:lang w:val="en-IN"/>
              </w:rPr>
              <w:t>Warrants Issue:</w:t>
            </w:r>
            <w:r w:rsidRPr="00B374B0">
              <w:rPr>
                <w:rFonts w:asciiTheme="minorHAnsi" w:hAnsiTheme="minorHAnsi" w:cstheme="minorHAnsi"/>
                <w:b/>
                <w:bCs/>
                <w:sz w:val="22"/>
                <w:szCs w:val="22"/>
                <w:lang w:val="en-IN"/>
              </w:rPr>
              <w:t xml:space="preserve"> </w:t>
            </w:r>
            <w:r w:rsidRPr="00B374B0">
              <w:rPr>
                <w:rFonts w:asciiTheme="minorHAnsi" w:hAnsiTheme="minorHAnsi" w:cstheme="minorHAnsi"/>
                <w:sz w:val="22"/>
                <w:szCs w:val="22"/>
                <w:lang w:val="en-IN"/>
              </w:rPr>
              <w:t xml:space="preserve">The promoters and investors committed fresh investments to the tune of </w:t>
            </w:r>
            <w:r w:rsidR="0008176D">
              <w:rPr>
                <w:rFonts w:asciiTheme="minorHAnsi" w:hAnsiTheme="minorHAnsi" w:cstheme="minorHAnsi"/>
                <w:sz w:val="22"/>
                <w:szCs w:val="22"/>
                <w:lang w:val="en-IN"/>
              </w:rPr>
              <w:t>INR</w:t>
            </w:r>
            <w:r w:rsidRPr="00B374B0">
              <w:rPr>
                <w:rFonts w:asciiTheme="minorHAnsi" w:hAnsiTheme="minorHAnsi" w:cstheme="minorHAnsi"/>
                <w:sz w:val="22"/>
                <w:szCs w:val="22"/>
                <w:lang w:val="en-IN"/>
              </w:rPr>
              <w:t xml:space="preserve"> 1,100 Crores by investment into warrants.</w:t>
            </w:r>
          </w:p>
          <w:p w14:paraId="2FB19A86" w14:textId="4D2BF03F" w:rsidR="00B374B0" w:rsidRPr="00B374B0" w:rsidRDefault="00B374B0" w:rsidP="0008176D">
            <w:pPr>
              <w:spacing w:line="360" w:lineRule="auto"/>
              <w:ind w:right="-23"/>
              <w:jc w:val="both"/>
              <w:rPr>
                <w:rFonts w:asciiTheme="minorHAnsi" w:hAnsiTheme="minorHAnsi" w:cstheme="minorHAnsi"/>
                <w:b/>
                <w:bCs/>
                <w:sz w:val="22"/>
                <w:szCs w:val="22"/>
                <w:lang w:val="en-IN"/>
              </w:rPr>
            </w:pPr>
            <w:r w:rsidRPr="00B374B0">
              <w:rPr>
                <w:rFonts w:asciiTheme="minorHAnsi" w:hAnsiTheme="minorHAnsi" w:cstheme="minorHAnsi"/>
                <w:b/>
                <w:bCs/>
                <w:sz w:val="22"/>
                <w:szCs w:val="22"/>
                <w:u w:val="single"/>
                <w:lang w:val="en-IN"/>
              </w:rPr>
              <w:t>FCCB Issue:</w:t>
            </w:r>
            <w:r w:rsidRPr="00B374B0">
              <w:rPr>
                <w:rFonts w:asciiTheme="minorHAnsi" w:hAnsiTheme="minorHAnsi" w:cstheme="minorHAnsi"/>
                <w:b/>
                <w:bCs/>
                <w:sz w:val="22"/>
                <w:szCs w:val="22"/>
                <w:lang w:val="en-IN"/>
              </w:rPr>
              <w:t xml:space="preserve"> </w:t>
            </w:r>
            <w:r w:rsidRPr="00B374B0">
              <w:rPr>
                <w:rFonts w:asciiTheme="minorHAnsi" w:hAnsiTheme="minorHAnsi" w:cstheme="minorHAnsi"/>
                <w:sz w:val="22"/>
                <w:szCs w:val="22"/>
                <w:lang w:val="en-IN"/>
              </w:rPr>
              <w:t xml:space="preserve">The company has successfully closed on Unsecured Zero Coupon FCCB issue of </w:t>
            </w:r>
            <w:r w:rsidR="0008176D">
              <w:rPr>
                <w:rFonts w:asciiTheme="minorHAnsi" w:hAnsiTheme="minorHAnsi" w:cstheme="minorHAnsi"/>
                <w:sz w:val="22"/>
                <w:szCs w:val="22"/>
                <w:lang w:val="en-IN"/>
              </w:rPr>
              <w:t>INR</w:t>
            </w:r>
            <w:r w:rsidRPr="00B374B0">
              <w:rPr>
                <w:rFonts w:asciiTheme="minorHAnsi" w:hAnsiTheme="minorHAnsi" w:cstheme="minorHAnsi"/>
                <w:sz w:val="22"/>
                <w:szCs w:val="22"/>
                <w:lang w:val="en-IN"/>
              </w:rPr>
              <w:t xml:space="preserve"> 1,000 Cr (US$ 250 </w:t>
            </w:r>
            <w:proofErr w:type="spellStart"/>
            <w:r w:rsidRPr="00B374B0">
              <w:rPr>
                <w:rFonts w:asciiTheme="minorHAnsi" w:hAnsiTheme="minorHAnsi" w:cstheme="minorHAnsi"/>
                <w:sz w:val="22"/>
                <w:szCs w:val="22"/>
                <w:lang w:val="en-IN"/>
              </w:rPr>
              <w:t>Mn</w:t>
            </w:r>
            <w:proofErr w:type="spellEnd"/>
            <w:r w:rsidRPr="00B374B0">
              <w:rPr>
                <w:rFonts w:asciiTheme="minorHAnsi" w:hAnsiTheme="minorHAnsi" w:cstheme="minorHAnsi"/>
                <w:sz w:val="22"/>
                <w:szCs w:val="22"/>
                <w:lang w:val="en-IN"/>
              </w:rPr>
              <w:t xml:space="preserve">.) combined with a green shoe option of </w:t>
            </w:r>
            <w:r w:rsidR="0008176D">
              <w:rPr>
                <w:rFonts w:asciiTheme="minorHAnsi" w:hAnsiTheme="minorHAnsi" w:cstheme="minorHAnsi"/>
                <w:sz w:val="22"/>
                <w:szCs w:val="22"/>
                <w:lang w:val="en-IN"/>
              </w:rPr>
              <w:t>INR</w:t>
            </w:r>
            <w:r w:rsidRPr="00B374B0">
              <w:rPr>
                <w:rFonts w:asciiTheme="minorHAnsi" w:hAnsiTheme="minorHAnsi" w:cstheme="minorHAnsi"/>
                <w:sz w:val="22"/>
                <w:szCs w:val="22"/>
                <w:lang w:val="en-IN"/>
              </w:rPr>
              <w:t xml:space="preserve"> 200 Cr (US$ 50 </w:t>
            </w:r>
            <w:proofErr w:type="spellStart"/>
            <w:r w:rsidRPr="00B374B0">
              <w:rPr>
                <w:rFonts w:asciiTheme="minorHAnsi" w:hAnsiTheme="minorHAnsi" w:cstheme="minorHAnsi"/>
                <w:sz w:val="22"/>
                <w:szCs w:val="22"/>
                <w:lang w:val="en-IN"/>
              </w:rPr>
              <w:t>Mn</w:t>
            </w:r>
            <w:proofErr w:type="spellEnd"/>
            <w:r w:rsidRPr="00B374B0">
              <w:rPr>
                <w:rFonts w:asciiTheme="minorHAnsi" w:hAnsiTheme="minorHAnsi" w:cstheme="minorHAnsi"/>
                <w:sz w:val="22"/>
                <w:szCs w:val="22"/>
                <w:lang w:val="en-IN"/>
              </w:rPr>
              <w:t xml:space="preserve">.) at Yield to Maturity (Y-T-M) of 6.9%. The issue received an extraordinary response from about 90 global investors with offerings worth more than </w:t>
            </w:r>
            <w:r w:rsidR="0008176D">
              <w:rPr>
                <w:rFonts w:asciiTheme="minorHAnsi" w:hAnsiTheme="minorHAnsi" w:cstheme="minorHAnsi"/>
                <w:sz w:val="22"/>
                <w:szCs w:val="22"/>
                <w:lang w:val="en-IN"/>
              </w:rPr>
              <w:t>INR</w:t>
            </w:r>
            <w:r w:rsidRPr="00B374B0">
              <w:rPr>
                <w:rFonts w:asciiTheme="minorHAnsi" w:hAnsiTheme="minorHAnsi" w:cstheme="minorHAnsi"/>
                <w:sz w:val="22"/>
                <w:szCs w:val="22"/>
                <w:lang w:val="en-IN"/>
              </w:rPr>
              <w:t xml:space="preserve"> 40 Bn. (US$ 1 Bn.)</w:t>
            </w:r>
          </w:p>
        </w:tc>
      </w:tr>
      <w:tr w:rsidR="00D23016" w:rsidRPr="00B374B0" w14:paraId="74055D9B" w14:textId="77777777" w:rsidTr="00D23016">
        <w:tc>
          <w:tcPr>
            <w:tcW w:w="1554" w:type="dxa"/>
          </w:tcPr>
          <w:p w14:paraId="4C8A0E49" w14:textId="090D3773" w:rsidR="00D23016" w:rsidRPr="00B374B0" w:rsidRDefault="00B374B0"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Cs/>
                <w:sz w:val="22"/>
                <w:szCs w:val="22"/>
                <w:lang w:val="en-IN"/>
              </w:rPr>
              <w:t>2008</w:t>
            </w:r>
          </w:p>
        </w:tc>
        <w:tc>
          <w:tcPr>
            <w:tcW w:w="7769" w:type="dxa"/>
          </w:tcPr>
          <w:p w14:paraId="6752F171" w14:textId="5B2D4CAB" w:rsidR="00D23016" w:rsidRPr="00B374B0" w:rsidRDefault="00B374B0" w:rsidP="00B374B0">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
                <w:bCs/>
                <w:sz w:val="22"/>
                <w:szCs w:val="22"/>
                <w:u w:val="single"/>
                <w:lang w:val="en-IN"/>
              </w:rPr>
              <w:t>Financial Closure:</w:t>
            </w:r>
            <w:r w:rsidRPr="00B374B0">
              <w:rPr>
                <w:rFonts w:asciiTheme="minorHAnsi" w:hAnsiTheme="minorHAnsi" w:cstheme="minorHAnsi"/>
                <w:b/>
                <w:bCs/>
                <w:sz w:val="22"/>
                <w:szCs w:val="22"/>
                <w:lang w:val="en-IN"/>
              </w:rPr>
              <w:t xml:space="preserve"> </w:t>
            </w:r>
            <w:r w:rsidRPr="00B374B0">
              <w:rPr>
                <w:rFonts w:asciiTheme="minorHAnsi" w:hAnsiTheme="minorHAnsi" w:cstheme="minorHAnsi"/>
                <w:bCs/>
                <w:sz w:val="22"/>
                <w:szCs w:val="22"/>
                <w:lang w:val="en-IN"/>
              </w:rPr>
              <w:t>GTL Infra successfully achieved the financial closure for the rollout of 23,700 towers across India.</w:t>
            </w:r>
          </w:p>
        </w:tc>
      </w:tr>
      <w:tr w:rsidR="00D23016" w:rsidRPr="00B374B0" w14:paraId="14052DD0" w14:textId="77777777" w:rsidTr="00D23016">
        <w:tc>
          <w:tcPr>
            <w:tcW w:w="1554" w:type="dxa"/>
          </w:tcPr>
          <w:p w14:paraId="0CE4F02F" w14:textId="4AC991B8" w:rsidR="00D23016" w:rsidRPr="00B374B0" w:rsidRDefault="00B374B0"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Cs/>
                <w:sz w:val="22"/>
                <w:szCs w:val="22"/>
                <w:lang w:val="en-IN"/>
              </w:rPr>
              <w:t>2010</w:t>
            </w:r>
          </w:p>
        </w:tc>
        <w:tc>
          <w:tcPr>
            <w:tcW w:w="7769" w:type="dxa"/>
          </w:tcPr>
          <w:p w14:paraId="45DEEBB4" w14:textId="2B7DCB2A" w:rsidR="00D23016" w:rsidRPr="00B374B0" w:rsidRDefault="00B374B0" w:rsidP="00B374B0">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
                <w:bCs/>
                <w:sz w:val="22"/>
                <w:szCs w:val="22"/>
                <w:u w:val="single"/>
                <w:lang w:val="en-IN"/>
              </w:rPr>
              <w:t xml:space="preserve">Acquisition of </w:t>
            </w:r>
            <w:proofErr w:type="spellStart"/>
            <w:r w:rsidRPr="00B374B0">
              <w:rPr>
                <w:rFonts w:asciiTheme="minorHAnsi" w:hAnsiTheme="minorHAnsi" w:cstheme="minorHAnsi"/>
                <w:b/>
                <w:bCs/>
                <w:sz w:val="22"/>
                <w:szCs w:val="22"/>
                <w:u w:val="single"/>
                <w:lang w:val="en-IN"/>
              </w:rPr>
              <w:t>Aircel</w:t>
            </w:r>
            <w:proofErr w:type="spellEnd"/>
            <w:r w:rsidRPr="00B374B0">
              <w:rPr>
                <w:rFonts w:asciiTheme="minorHAnsi" w:hAnsiTheme="minorHAnsi" w:cstheme="minorHAnsi"/>
                <w:b/>
                <w:bCs/>
                <w:sz w:val="22"/>
                <w:szCs w:val="22"/>
                <w:u w:val="single"/>
                <w:lang w:val="en-IN"/>
              </w:rPr>
              <w:t xml:space="preserve"> Towers:</w:t>
            </w:r>
            <w:r w:rsidRPr="00B374B0">
              <w:rPr>
                <w:rFonts w:asciiTheme="minorHAnsi" w:hAnsiTheme="minorHAnsi" w:cstheme="minorHAnsi"/>
                <w:b/>
                <w:bCs/>
                <w:sz w:val="22"/>
                <w:szCs w:val="22"/>
                <w:lang w:val="en-IN"/>
              </w:rPr>
              <w:t xml:space="preserve"> </w:t>
            </w:r>
            <w:r w:rsidRPr="00B374B0">
              <w:rPr>
                <w:rFonts w:asciiTheme="minorHAnsi" w:hAnsiTheme="minorHAnsi" w:cstheme="minorHAnsi"/>
                <w:bCs/>
                <w:sz w:val="22"/>
                <w:szCs w:val="22"/>
                <w:lang w:val="en-IN"/>
              </w:rPr>
              <w:t xml:space="preserve">GTL Infra acquires 17,500 </w:t>
            </w:r>
            <w:proofErr w:type="spellStart"/>
            <w:r w:rsidRPr="00B374B0">
              <w:rPr>
                <w:rFonts w:asciiTheme="minorHAnsi" w:hAnsiTheme="minorHAnsi" w:cstheme="minorHAnsi"/>
                <w:bCs/>
                <w:sz w:val="22"/>
                <w:szCs w:val="22"/>
                <w:lang w:val="en-IN"/>
              </w:rPr>
              <w:t>Aircel</w:t>
            </w:r>
            <w:proofErr w:type="spellEnd"/>
            <w:r w:rsidRPr="00B374B0">
              <w:rPr>
                <w:rFonts w:asciiTheme="minorHAnsi" w:hAnsiTheme="minorHAnsi" w:cstheme="minorHAnsi"/>
                <w:bCs/>
                <w:sz w:val="22"/>
                <w:szCs w:val="22"/>
                <w:lang w:val="en-IN"/>
              </w:rPr>
              <w:t xml:space="preserve"> towers with 21,000 tenants at a transaction value of US$ 1.8 </w:t>
            </w:r>
            <w:proofErr w:type="spellStart"/>
            <w:r w:rsidRPr="00B374B0">
              <w:rPr>
                <w:rFonts w:asciiTheme="minorHAnsi" w:hAnsiTheme="minorHAnsi" w:cstheme="minorHAnsi"/>
                <w:bCs/>
                <w:sz w:val="22"/>
                <w:szCs w:val="22"/>
                <w:lang w:val="en-IN"/>
              </w:rPr>
              <w:t>Bn</w:t>
            </w:r>
            <w:proofErr w:type="spellEnd"/>
            <w:r w:rsidRPr="00B374B0">
              <w:rPr>
                <w:rFonts w:asciiTheme="minorHAnsi" w:hAnsiTheme="minorHAnsi" w:cstheme="minorHAnsi"/>
                <w:bCs/>
                <w:sz w:val="22"/>
                <w:szCs w:val="22"/>
                <w:lang w:val="en-IN"/>
              </w:rPr>
              <w:t xml:space="preserve"> making GTL Infra the largest Independent and Neutral Telecom Tower Company in the world.</w:t>
            </w:r>
          </w:p>
        </w:tc>
      </w:tr>
      <w:tr w:rsidR="00B374B0" w:rsidRPr="00B374B0" w14:paraId="66E4158A" w14:textId="77777777" w:rsidTr="00D23016">
        <w:tc>
          <w:tcPr>
            <w:tcW w:w="1554" w:type="dxa"/>
          </w:tcPr>
          <w:p w14:paraId="31884252" w14:textId="30F63A17" w:rsidR="00B374B0" w:rsidRPr="00B374B0" w:rsidRDefault="00B374B0"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Cs/>
                <w:sz w:val="22"/>
                <w:szCs w:val="22"/>
                <w:lang w:val="en-IN"/>
              </w:rPr>
              <w:t>2016</w:t>
            </w:r>
          </w:p>
        </w:tc>
        <w:tc>
          <w:tcPr>
            <w:tcW w:w="7769" w:type="dxa"/>
          </w:tcPr>
          <w:p w14:paraId="53650E58" w14:textId="68C7D312" w:rsidR="00B374B0" w:rsidRPr="00B374B0" w:rsidRDefault="00B374B0" w:rsidP="00B374B0">
            <w:pPr>
              <w:spacing w:line="360" w:lineRule="auto"/>
              <w:ind w:right="-23"/>
              <w:jc w:val="both"/>
              <w:rPr>
                <w:rFonts w:asciiTheme="minorHAnsi" w:hAnsiTheme="minorHAnsi" w:cstheme="minorHAnsi"/>
                <w:b/>
                <w:bCs/>
                <w:sz w:val="22"/>
                <w:szCs w:val="22"/>
                <w:u w:val="single"/>
                <w:lang w:val="en-IN"/>
              </w:rPr>
            </w:pPr>
            <w:r w:rsidRPr="00B374B0">
              <w:rPr>
                <w:rFonts w:asciiTheme="minorHAnsi" w:hAnsiTheme="minorHAnsi" w:cstheme="minorHAnsi"/>
                <w:b/>
                <w:bCs/>
                <w:sz w:val="22"/>
                <w:szCs w:val="22"/>
                <w:u w:val="single"/>
                <w:lang w:val="en-IN"/>
              </w:rPr>
              <w:t>ET Telecom Awards:</w:t>
            </w:r>
            <w:r w:rsidRPr="00B374B0">
              <w:rPr>
                <w:rFonts w:asciiTheme="minorHAnsi" w:hAnsiTheme="minorHAnsi" w:cstheme="minorHAnsi"/>
                <w:b/>
                <w:bCs/>
                <w:sz w:val="22"/>
                <w:szCs w:val="22"/>
                <w:lang w:val="en-IN"/>
              </w:rPr>
              <w:t xml:space="preserve"> </w:t>
            </w:r>
            <w:r w:rsidRPr="00B374B0">
              <w:rPr>
                <w:rFonts w:asciiTheme="minorHAnsi" w:hAnsiTheme="minorHAnsi" w:cstheme="minorHAnsi"/>
                <w:sz w:val="22"/>
                <w:szCs w:val="22"/>
                <w:lang w:val="en-IN"/>
              </w:rPr>
              <w:t>GTL Infra along with The Economic Times, India’s leading business daily, has created a credible platform that truly honours the primary stakeholders in the Telecom sector. The ET Telecom Awards seeks to recognise performance and felicitate the innovators and movers &amp; shakers of the Telecom Industry.</w:t>
            </w:r>
          </w:p>
        </w:tc>
      </w:tr>
      <w:tr w:rsidR="00B374B0" w:rsidRPr="00B374B0" w14:paraId="4EDF3331" w14:textId="77777777" w:rsidTr="00D23016">
        <w:tc>
          <w:tcPr>
            <w:tcW w:w="1554" w:type="dxa"/>
          </w:tcPr>
          <w:p w14:paraId="745CCE11" w14:textId="175F4488" w:rsidR="00B374B0" w:rsidRPr="00B374B0" w:rsidRDefault="00B374B0" w:rsidP="00D23016">
            <w:pPr>
              <w:spacing w:line="360" w:lineRule="auto"/>
              <w:ind w:right="-23"/>
              <w:jc w:val="both"/>
              <w:rPr>
                <w:rFonts w:asciiTheme="minorHAnsi" w:hAnsiTheme="minorHAnsi" w:cstheme="minorHAnsi"/>
                <w:bCs/>
                <w:sz w:val="22"/>
                <w:szCs w:val="22"/>
                <w:lang w:val="en-IN"/>
              </w:rPr>
            </w:pPr>
            <w:r w:rsidRPr="00B374B0">
              <w:rPr>
                <w:rFonts w:asciiTheme="minorHAnsi" w:hAnsiTheme="minorHAnsi" w:cstheme="minorHAnsi"/>
                <w:bCs/>
                <w:sz w:val="22"/>
                <w:szCs w:val="22"/>
                <w:lang w:val="en-IN"/>
              </w:rPr>
              <w:t>2017</w:t>
            </w:r>
          </w:p>
        </w:tc>
        <w:tc>
          <w:tcPr>
            <w:tcW w:w="7769" w:type="dxa"/>
          </w:tcPr>
          <w:p w14:paraId="275A50EC" w14:textId="47E76974" w:rsidR="00B374B0" w:rsidRPr="00B374B0" w:rsidRDefault="00B374B0" w:rsidP="00B374B0">
            <w:pPr>
              <w:spacing w:line="360" w:lineRule="auto"/>
              <w:ind w:right="-23"/>
              <w:jc w:val="both"/>
              <w:rPr>
                <w:rFonts w:asciiTheme="minorHAnsi" w:hAnsiTheme="minorHAnsi" w:cstheme="minorHAnsi"/>
                <w:b/>
                <w:bCs/>
                <w:sz w:val="22"/>
                <w:szCs w:val="22"/>
                <w:u w:val="single"/>
                <w:lang w:val="en-IN"/>
              </w:rPr>
            </w:pPr>
            <w:r w:rsidRPr="00B374B0">
              <w:rPr>
                <w:rFonts w:asciiTheme="minorHAnsi" w:hAnsiTheme="minorHAnsi" w:cstheme="minorHAnsi"/>
                <w:b/>
                <w:bCs/>
                <w:sz w:val="22"/>
                <w:szCs w:val="22"/>
                <w:u w:val="single"/>
                <w:lang w:val="en-IN"/>
              </w:rPr>
              <w:t>Lead Sponsors of Digital India Summit:</w:t>
            </w:r>
            <w:r w:rsidRPr="00B374B0">
              <w:rPr>
                <w:rFonts w:asciiTheme="minorHAnsi" w:hAnsiTheme="minorHAnsi" w:cstheme="minorHAnsi"/>
                <w:sz w:val="22"/>
                <w:szCs w:val="22"/>
                <w:lang w:val="en-IN"/>
              </w:rPr>
              <w:t xml:space="preserve"> GTL Infra has become a lead partner of Digital India Summit by Times Network. Remonetisation has helped propel India’s Digital Economy to new heights. Digital India Summit 3.0 is where expert policy makers and game changers map out the future of Digital India. The summit concludes with Digital India Awards 2017.</w:t>
            </w:r>
          </w:p>
        </w:tc>
      </w:tr>
    </w:tbl>
    <w:p w14:paraId="7432A7DC" w14:textId="77777777" w:rsidR="003E0737" w:rsidRPr="003E0737" w:rsidRDefault="003E0737" w:rsidP="003E0737">
      <w:pPr>
        <w:spacing w:before="240" w:line="360" w:lineRule="auto"/>
        <w:ind w:left="142" w:right="-23"/>
        <w:jc w:val="both"/>
        <w:rPr>
          <w:rFonts w:ascii="Arial" w:hAnsi="Arial" w:cs="Arial"/>
          <w:bCs/>
          <w:sz w:val="22"/>
          <w:szCs w:val="22"/>
          <w:lang w:val="en-IN"/>
        </w:rPr>
      </w:pPr>
      <w:r w:rsidRPr="003E0737">
        <w:rPr>
          <w:rFonts w:ascii="Arial" w:hAnsi="Arial" w:cs="Arial"/>
          <w:bCs/>
          <w:sz w:val="22"/>
          <w:szCs w:val="22"/>
          <w:lang w:val="en-IN"/>
        </w:rPr>
        <w:t>GTL Infrastructure Ltd. (GTL Infra) is an independent provider of shared passive telecom infrastructure in India. The company owns, operates, and manages a network of approximately 26,000 telecom towers across all 22 telecom circles in the country. These towers are leased to wireless telecom operators, allowing them to share infrastructure rather than invest in standalone assets.</w:t>
      </w:r>
    </w:p>
    <w:p w14:paraId="565E9988" w14:textId="77777777" w:rsidR="003E0737" w:rsidRPr="003E0737" w:rsidRDefault="003E0737" w:rsidP="003E0737">
      <w:pPr>
        <w:spacing w:before="240" w:line="360" w:lineRule="auto"/>
        <w:ind w:left="142" w:right="-23"/>
        <w:jc w:val="both"/>
        <w:rPr>
          <w:rFonts w:ascii="Arial" w:hAnsi="Arial" w:cs="Arial"/>
          <w:bCs/>
          <w:sz w:val="22"/>
          <w:szCs w:val="22"/>
          <w:lang w:val="en-IN"/>
        </w:rPr>
      </w:pPr>
      <w:r w:rsidRPr="003E0737">
        <w:rPr>
          <w:rFonts w:ascii="Arial" w:hAnsi="Arial" w:cs="Arial"/>
          <w:bCs/>
          <w:sz w:val="22"/>
          <w:szCs w:val="22"/>
          <w:lang w:val="en-IN"/>
        </w:rPr>
        <w:t>By offering shared infrastructure, GTL Infra enables telecom operators to reduce capital expenditure and shift to a fixed operational cost model. Revenue is generated through long-term agreements with telecom operators, typically ranging from 5 to 15 years, with renewal options available upon contract expiration.</w:t>
      </w:r>
    </w:p>
    <w:p w14:paraId="0634E4EE" w14:textId="77777777" w:rsidR="003E0737" w:rsidRPr="003E0737" w:rsidRDefault="003E0737" w:rsidP="003E0737">
      <w:pPr>
        <w:spacing w:before="240" w:line="360" w:lineRule="auto"/>
        <w:ind w:left="142" w:right="-23"/>
        <w:jc w:val="both"/>
        <w:rPr>
          <w:rFonts w:ascii="Arial" w:hAnsi="Arial" w:cs="Arial"/>
          <w:bCs/>
          <w:sz w:val="22"/>
          <w:szCs w:val="22"/>
          <w:lang w:val="en-IN"/>
        </w:rPr>
      </w:pPr>
      <w:r w:rsidRPr="003E0737">
        <w:rPr>
          <w:rFonts w:ascii="Arial" w:hAnsi="Arial" w:cs="Arial"/>
          <w:bCs/>
          <w:sz w:val="22"/>
          <w:szCs w:val="22"/>
          <w:lang w:val="en-IN"/>
        </w:rPr>
        <w:t>GTL Infra participates in various government and industry-led initiatives, including projects supported by the Department of Telecommunications (DoT) and the Cellular Operators Association of India (COAI). The company is involved in the Universal Services Obligation Fund (USO) for rural telecom expansion and the Mobile Operator Shared Tower (MOST) initiative.</w:t>
      </w:r>
    </w:p>
    <w:p w14:paraId="1A10FE2F" w14:textId="4BF5ED76" w:rsidR="003E0737" w:rsidRDefault="003E0737" w:rsidP="003E0737">
      <w:pPr>
        <w:spacing w:before="240" w:line="360" w:lineRule="auto"/>
        <w:ind w:left="142" w:right="-23"/>
        <w:jc w:val="both"/>
        <w:rPr>
          <w:rFonts w:ascii="Arial" w:hAnsi="Arial" w:cs="Arial"/>
          <w:bCs/>
          <w:sz w:val="22"/>
          <w:szCs w:val="22"/>
          <w:lang w:val="en-IN"/>
        </w:rPr>
      </w:pPr>
      <w:r w:rsidRPr="003E0737">
        <w:rPr>
          <w:rFonts w:ascii="Arial" w:hAnsi="Arial" w:cs="Arial"/>
          <w:bCs/>
          <w:sz w:val="22"/>
          <w:szCs w:val="22"/>
          <w:lang w:val="en-IN"/>
        </w:rPr>
        <w:t>GTL Infra is publicly traded on the Bombay Stock Exchange (BSE: 532775) and the National Stock Exchange (NSE: GTL Infra). It is registered as an Infrastructure Provider Category 1 (IP-1) with the Department of Telecommunications, Government of India.</w:t>
      </w:r>
    </w:p>
    <w:p w14:paraId="2C127B08" w14:textId="7A25E00B" w:rsidR="00D23016" w:rsidRDefault="00B374B0" w:rsidP="00091345">
      <w:pPr>
        <w:spacing w:before="240" w:line="360" w:lineRule="auto"/>
        <w:ind w:left="142" w:right="-23"/>
        <w:jc w:val="both"/>
        <w:rPr>
          <w:rFonts w:ascii="Arial" w:hAnsi="Arial" w:cs="Arial"/>
          <w:bCs/>
          <w:sz w:val="22"/>
          <w:szCs w:val="22"/>
          <w:lang w:val="en-IN"/>
        </w:rPr>
      </w:pPr>
      <w:r w:rsidRPr="00B374B0">
        <w:rPr>
          <w:rFonts w:ascii="Arial" w:hAnsi="Arial" w:cs="Arial"/>
          <w:bCs/>
          <w:sz w:val="22"/>
          <w:szCs w:val="22"/>
          <w:lang w:val="en-IN"/>
        </w:rPr>
        <w:t xml:space="preserve">The Company is listed on Bombay Stock Exchange (BSE) and National Stock Exchange (NSE) with the following listing details as on </w:t>
      </w:r>
      <w:r>
        <w:rPr>
          <w:rFonts w:ascii="Arial" w:hAnsi="Arial" w:cs="Arial"/>
          <w:bCs/>
          <w:sz w:val="22"/>
          <w:szCs w:val="22"/>
          <w:lang w:val="en-IN"/>
        </w:rPr>
        <w:t>8</w:t>
      </w:r>
      <w:r w:rsidRPr="00B374B0">
        <w:rPr>
          <w:rFonts w:ascii="Arial" w:hAnsi="Arial" w:cs="Arial"/>
          <w:bCs/>
          <w:sz w:val="22"/>
          <w:szCs w:val="22"/>
          <w:lang w:val="en-IN"/>
        </w:rPr>
        <w:t xml:space="preserve">th </w:t>
      </w:r>
      <w:r>
        <w:rPr>
          <w:rFonts w:ascii="Arial" w:hAnsi="Arial" w:cs="Arial"/>
          <w:bCs/>
          <w:sz w:val="22"/>
          <w:szCs w:val="22"/>
          <w:lang w:val="en-IN"/>
        </w:rPr>
        <w:t>February</w:t>
      </w:r>
      <w:r w:rsidRPr="00B374B0">
        <w:rPr>
          <w:rFonts w:ascii="Arial" w:hAnsi="Arial" w:cs="Arial"/>
          <w:bCs/>
          <w:sz w:val="22"/>
          <w:szCs w:val="22"/>
          <w:lang w:val="en-IN"/>
        </w:rPr>
        <w:t xml:space="preserve"> 202</w:t>
      </w:r>
      <w:r>
        <w:rPr>
          <w:rFonts w:ascii="Arial" w:hAnsi="Arial" w:cs="Arial"/>
          <w:bCs/>
          <w:sz w:val="22"/>
          <w:szCs w:val="22"/>
          <w:lang w:val="en-IN"/>
        </w:rPr>
        <w:t>5</w:t>
      </w:r>
      <w:r w:rsidRPr="00B374B0">
        <w:rPr>
          <w:rFonts w:ascii="Arial" w:hAnsi="Arial" w:cs="Arial"/>
          <w:bCs/>
          <w:sz w:val="22"/>
          <w:szCs w:val="22"/>
          <w:lang w:val="en-IN"/>
        </w:rPr>
        <w:t>:</w:t>
      </w:r>
    </w:p>
    <w:tbl>
      <w:tblPr>
        <w:tblStyle w:val="TableGrid"/>
        <w:tblW w:w="9323" w:type="dxa"/>
        <w:tblInd w:w="142" w:type="dxa"/>
        <w:tblLook w:val="04A0" w:firstRow="1" w:lastRow="0" w:firstColumn="1" w:lastColumn="0" w:noHBand="0" w:noVBand="1"/>
      </w:tblPr>
      <w:tblGrid>
        <w:gridCol w:w="3953"/>
        <w:gridCol w:w="2686"/>
        <w:gridCol w:w="2684"/>
      </w:tblGrid>
      <w:tr w:rsidR="00DF1C11" w:rsidRPr="007852A6" w14:paraId="6829A47F" w14:textId="08ECB76A" w:rsidTr="007852A6">
        <w:tc>
          <w:tcPr>
            <w:tcW w:w="3953" w:type="dxa"/>
            <w:shd w:val="clear" w:color="auto" w:fill="002060"/>
          </w:tcPr>
          <w:p w14:paraId="66CE7705" w14:textId="36A431FF" w:rsidR="00DF1C11" w:rsidRPr="007852A6" w:rsidRDefault="00DF1C11" w:rsidP="00DF1C11">
            <w:pPr>
              <w:spacing w:line="360" w:lineRule="auto"/>
              <w:ind w:right="-23"/>
              <w:jc w:val="both"/>
              <w:rPr>
                <w:rFonts w:asciiTheme="minorHAnsi" w:hAnsiTheme="minorHAnsi" w:cstheme="minorHAnsi"/>
                <w:b/>
                <w:sz w:val="22"/>
                <w:szCs w:val="22"/>
                <w:lang w:val="en-IN"/>
              </w:rPr>
            </w:pPr>
            <w:r w:rsidRPr="007852A6">
              <w:rPr>
                <w:rFonts w:asciiTheme="minorHAnsi" w:hAnsiTheme="minorHAnsi" w:cstheme="minorHAnsi"/>
                <w:b/>
                <w:sz w:val="22"/>
                <w:szCs w:val="22"/>
                <w:lang w:val="en-IN"/>
              </w:rPr>
              <w:t>Particulars</w:t>
            </w:r>
          </w:p>
        </w:tc>
        <w:tc>
          <w:tcPr>
            <w:tcW w:w="2686" w:type="dxa"/>
            <w:shd w:val="clear" w:color="auto" w:fill="002060"/>
          </w:tcPr>
          <w:p w14:paraId="19B8F8B3" w14:textId="76730F70" w:rsidR="00DF1C11" w:rsidRPr="007852A6" w:rsidRDefault="00DF1C11" w:rsidP="007852A6">
            <w:pPr>
              <w:spacing w:line="360" w:lineRule="auto"/>
              <w:ind w:right="-23"/>
              <w:jc w:val="center"/>
              <w:rPr>
                <w:rFonts w:asciiTheme="minorHAnsi" w:hAnsiTheme="minorHAnsi" w:cstheme="minorHAnsi"/>
                <w:b/>
                <w:sz w:val="22"/>
                <w:szCs w:val="22"/>
                <w:lang w:val="en-IN"/>
              </w:rPr>
            </w:pPr>
            <w:r w:rsidRPr="007852A6">
              <w:rPr>
                <w:rFonts w:asciiTheme="minorHAnsi" w:hAnsiTheme="minorHAnsi" w:cstheme="minorHAnsi"/>
                <w:b/>
                <w:sz w:val="22"/>
                <w:szCs w:val="22"/>
                <w:lang w:val="en-IN"/>
              </w:rPr>
              <w:t>NSE (Value)</w:t>
            </w:r>
          </w:p>
        </w:tc>
        <w:tc>
          <w:tcPr>
            <w:tcW w:w="2684" w:type="dxa"/>
            <w:shd w:val="clear" w:color="auto" w:fill="002060"/>
          </w:tcPr>
          <w:p w14:paraId="09431E9A" w14:textId="240F0E3E" w:rsidR="00DF1C11" w:rsidRPr="007852A6" w:rsidRDefault="00DF1C11" w:rsidP="007852A6">
            <w:pPr>
              <w:spacing w:line="360" w:lineRule="auto"/>
              <w:ind w:right="-23"/>
              <w:jc w:val="center"/>
              <w:rPr>
                <w:rFonts w:asciiTheme="minorHAnsi" w:hAnsiTheme="minorHAnsi" w:cstheme="minorHAnsi"/>
                <w:b/>
                <w:sz w:val="22"/>
                <w:szCs w:val="22"/>
                <w:lang w:val="en-IN"/>
              </w:rPr>
            </w:pPr>
            <w:r w:rsidRPr="007852A6">
              <w:rPr>
                <w:rFonts w:asciiTheme="minorHAnsi" w:hAnsiTheme="minorHAnsi" w:cstheme="minorHAnsi"/>
                <w:b/>
                <w:sz w:val="22"/>
                <w:szCs w:val="22"/>
                <w:lang w:val="en-IN"/>
              </w:rPr>
              <w:t>BSE (Value)</w:t>
            </w:r>
          </w:p>
        </w:tc>
      </w:tr>
      <w:tr w:rsidR="007852A6" w:rsidRPr="007852A6" w14:paraId="4FCD7C37" w14:textId="77777777" w:rsidTr="00DF1C11">
        <w:tc>
          <w:tcPr>
            <w:tcW w:w="3953" w:type="dxa"/>
          </w:tcPr>
          <w:p w14:paraId="19EFF437" w14:textId="7869655B" w:rsidR="007852A6" w:rsidRPr="007852A6" w:rsidRDefault="007852A6" w:rsidP="00DF1C11">
            <w:pPr>
              <w:spacing w:line="360" w:lineRule="auto"/>
              <w:ind w:right="-23"/>
              <w:jc w:val="both"/>
              <w:rPr>
                <w:rFonts w:asciiTheme="minorHAnsi" w:hAnsiTheme="minorHAnsi" w:cstheme="minorHAnsi"/>
                <w:bCs/>
                <w:sz w:val="22"/>
                <w:szCs w:val="22"/>
                <w:lang w:val="en-IN"/>
              </w:rPr>
            </w:pPr>
            <w:r w:rsidRPr="007852A6">
              <w:rPr>
                <w:rFonts w:asciiTheme="minorHAnsi" w:hAnsiTheme="minorHAnsi" w:cstheme="minorHAnsi"/>
                <w:bCs/>
                <w:sz w:val="22"/>
                <w:szCs w:val="22"/>
                <w:lang w:val="en-IN"/>
              </w:rPr>
              <w:t>Ticker</w:t>
            </w:r>
          </w:p>
        </w:tc>
        <w:tc>
          <w:tcPr>
            <w:tcW w:w="2686" w:type="dxa"/>
          </w:tcPr>
          <w:p w14:paraId="2578A4E5" w14:textId="24F374A4" w:rsidR="007852A6" w:rsidRPr="007852A6" w:rsidRDefault="007852A6"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GTLINFRA</w:t>
            </w:r>
          </w:p>
        </w:tc>
        <w:tc>
          <w:tcPr>
            <w:tcW w:w="2684" w:type="dxa"/>
          </w:tcPr>
          <w:p w14:paraId="205AA089" w14:textId="781FC170" w:rsidR="007852A6" w:rsidRPr="007852A6" w:rsidRDefault="007852A6"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532775</w:t>
            </w:r>
          </w:p>
        </w:tc>
      </w:tr>
      <w:tr w:rsidR="00DF1C11" w:rsidRPr="007852A6" w14:paraId="1AFE2C58" w14:textId="01477E1C" w:rsidTr="00DF1C11">
        <w:tc>
          <w:tcPr>
            <w:tcW w:w="3953" w:type="dxa"/>
          </w:tcPr>
          <w:p w14:paraId="20988231" w14:textId="3D7D101E" w:rsidR="00DF1C11" w:rsidRPr="007852A6" w:rsidRDefault="00DF1C11" w:rsidP="00DF1C11">
            <w:pPr>
              <w:spacing w:line="360" w:lineRule="auto"/>
              <w:ind w:right="-23"/>
              <w:jc w:val="both"/>
              <w:rPr>
                <w:rFonts w:asciiTheme="minorHAnsi" w:hAnsiTheme="minorHAnsi" w:cstheme="minorHAnsi"/>
                <w:bCs/>
                <w:sz w:val="22"/>
                <w:szCs w:val="22"/>
                <w:lang w:val="en-IN"/>
              </w:rPr>
            </w:pPr>
            <w:r w:rsidRPr="007852A6">
              <w:rPr>
                <w:rFonts w:asciiTheme="minorHAnsi" w:hAnsiTheme="minorHAnsi" w:cstheme="minorHAnsi"/>
                <w:bCs/>
                <w:sz w:val="22"/>
                <w:szCs w:val="22"/>
                <w:lang w:val="en-IN"/>
              </w:rPr>
              <w:t>Current Market Price</w:t>
            </w:r>
          </w:p>
        </w:tc>
        <w:tc>
          <w:tcPr>
            <w:tcW w:w="2686" w:type="dxa"/>
          </w:tcPr>
          <w:p w14:paraId="15C7546A" w14:textId="2A5A6DE4" w:rsidR="00DF1C11" w:rsidRPr="007852A6" w:rsidRDefault="00DF1C11"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INR 1.83</w:t>
            </w:r>
          </w:p>
        </w:tc>
        <w:tc>
          <w:tcPr>
            <w:tcW w:w="2684" w:type="dxa"/>
          </w:tcPr>
          <w:p w14:paraId="7CD20AA4" w14:textId="1630A6CD" w:rsidR="00DF1C11" w:rsidRPr="007852A6" w:rsidRDefault="00DF1C11"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INR 1.84</w:t>
            </w:r>
          </w:p>
        </w:tc>
      </w:tr>
      <w:tr w:rsidR="00DF1C11" w:rsidRPr="007852A6" w14:paraId="442D5F33" w14:textId="3DE78B8C" w:rsidTr="00DF1C11">
        <w:tc>
          <w:tcPr>
            <w:tcW w:w="3953" w:type="dxa"/>
          </w:tcPr>
          <w:p w14:paraId="23F7EA89" w14:textId="12E97877" w:rsidR="00DF1C11" w:rsidRPr="007852A6" w:rsidRDefault="00DF1C11" w:rsidP="00DF1C11">
            <w:pPr>
              <w:spacing w:line="360" w:lineRule="auto"/>
              <w:ind w:right="-23"/>
              <w:jc w:val="both"/>
              <w:rPr>
                <w:rFonts w:asciiTheme="minorHAnsi" w:hAnsiTheme="minorHAnsi" w:cstheme="minorHAnsi"/>
                <w:bCs/>
                <w:sz w:val="22"/>
                <w:szCs w:val="22"/>
                <w:lang w:val="en-IN"/>
              </w:rPr>
            </w:pPr>
            <w:r w:rsidRPr="007852A6">
              <w:rPr>
                <w:rFonts w:asciiTheme="minorHAnsi" w:hAnsiTheme="minorHAnsi" w:cstheme="minorHAnsi"/>
                <w:bCs/>
                <w:sz w:val="22"/>
                <w:szCs w:val="22"/>
                <w:lang w:val="en-IN"/>
              </w:rPr>
              <w:t>52 Weeks High/Low</w:t>
            </w:r>
          </w:p>
        </w:tc>
        <w:tc>
          <w:tcPr>
            <w:tcW w:w="2686" w:type="dxa"/>
          </w:tcPr>
          <w:p w14:paraId="78ED56F1" w14:textId="352242FD" w:rsidR="00DF1C11" w:rsidRPr="007852A6" w:rsidRDefault="00DF1C11"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INR 1.45 – INR 4.33</w:t>
            </w:r>
          </w:p>
        </w:tc>
        <w:tc>
          <w:tcPr>
            <w:tcW w:w="2684" w:type="dxa"/>
          </w:tcPr>
          <w:p w14:paraId="15BAF6B7" w14:textId="204286CB" w:rsidR="00DF1C11" w:rsidRPr="007852A6" w:rsidRDefault="00DF1C11"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INR 1.45 – INR 4.35</w:t>
            </w:r>
          </w:p>
        </w:tc>
      </w:tr>
      <w:tr w:rsidR="00DF1C11" w:rsidRPr="007852A6" w14:paraId="4CCEA196" w14:textId="3C0BAA8C" w:rsidTr="00DF1C11">
        <w:tc>
          <w:tcPr>
            <w:tcW w:w="3953" w:type="dxa"/>
          </w:tcPr>
          <w:p w14:paraId="1BAA06EA" w14:textId="2AEAFCE4" w:rsidR="00DF1C11" w:rsidRPr="007852A6" w:rsidRDefault="00DF1C11" w:rsidP="00DF1C11">
            <w:pPr>
              <w:spacing w:line="360" w:lineRule="auto"/>
              <w:ind w:right="-23"/>
              <w:jc w:val="both"/>
              <w:rPr>
                <w:rFonts w:asciiTheme="minorHAnsi" w:hAnsiTheme="minorHAnsi" w:cstheme="minorHAnsi"/>
                <w:bCs/>
                <w:sz w:val="22"/>
                <w:szCs w:val="22"/>
                <w:lang w:val="en-IN"/>
              </w:rPr>
            </w:pPr>
            <w:r w:rsidRPr="007852A6">
              <w:rPr>
                <w:rFonts w:asciiTheme="minorHAnsi" w:hAnsiTheme="minorHAnsi" w:cstheme="minorHAnsi"/>
                <w:bCs/>
                <w:sz w:val="22"/>
                <w:szCs w:val="22"/>
                <w:lang w:val="en-IN"/>
              </w:rPr>
              <w:t>Market Capital</w:t>
            </w:r>
          </w:p>
        </w:tc>
        <w:tc>
          <w:tcPr>
            <w:tcW w:w="2686" w:type="dxa"/>
          </w:tcPr>
          <w:p w14:paraId="64D7FB40" w14:textId="2D743FF4" w:rsidR="00DF1C11" w:rsidRPr="007852A6" w:rsidRDefault="00DF1C11"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 xml:space="preserve">INR 23.18 </w:t>
            </w:r>
            <w:r w:rsidR="003E0737" w:rsidRPr="007852A6">
              <w:rPr>
                <w:rFonts w:asciiTheme="minorHAnsi" w:hAnsiTheme="minorHAnsi" w:cstheme="minorHAnsi"/>
                <w:bCs/>
                <w:sz w:val="22"/>
                <w:szCs w:val="22"/>
                <w:lang w:val="en-IN"/>
              </w:rPr>
              <w:t>billion</w:t>
            </w:r>
          </w:p>
        </w:tc>
        <w:tc>
          <w:tcPr>
            <w:tcW w:w="2684" w:type="dxa"/>
          </w:tcPr>
          <w:p w14:paraId="0EAE12D8" w14:textId="34C49631" w:rsidR="00DF1C11" w:rsidRPr="007852A6" w:rsidRDefault="00DF1C11" w:rsidP="007852A6">
            <w:pPr>
              <w:spacing w:line="360" w:lineRule="auto"/>
              <w:ind w:right="-23"/>
              <w:jc w:val="center"/>
              <w:rPr>
                <w:rFonts w:asciiTheme="minorHAnsi" w:hAnsiTheme="minorHAnsi" w:cstheme="minorHAnsi"/>
                <w:bCs/>
                <w:sz w:val="22"/>
                <w:szCs w:val="22"/>
                <w:lang w:val="en-IN"/>
              </w:rPr>
            </w:pPr>
            <w:r w:rsidRPr="007852A6">
              <w:rPr>
                <w:rFonts w:asciiTheme="minorHAnsi" w:hAnsiTheme="minorHAnsi" w:cstheme="minorHAnsi"/>
                <w:bCs/>
                <w:sz w:val="22"/>
                <w:szCs w:val="22"/>
                <w:lang w:val="en-IN"/>
              </w:rPr>
              <w:t xml:space="preserve">INR 23.18 </w:t>
            </w:r>
            <w:r w:rsidR="003E0737" w:rsidRPr="007852A6">
              <w:rPr>
                <w:rFonts w:asciiTheme="minorHAnsi" w:hAnsiTheme="minorHAnsi" w:cstheme="minorHAnsi"/>
                <w:bCs/>
                <w:sz w:val="22"/>
                <w:szCs w:val="22"/>
                <w:lang w:val="en-IN"/>
              </w:rPr>
              <w:t>billion</w:t>
            </w:r>
          </w:p>
        </w:tc>
      </w:tr>
    </w:tbl>
    <w:p w14:paraId="1EAA5EBE" w14:textId="34F7C0DD" w:rsidR="00884DF8" w:rsidRDefault="00884DF8" w:rsidP="00A84DA0">
      <w:pPr>
        <w:pStyle w:val="ListParagraph"/>
        <w:spacing w:before="240" w:line="360" w:lineRule="auto"/>
        <w:ind w:left="142" w:right="-23"/>
        <w:jc w:val="both"/>
        <w:rPr>
          <w:rFonts w:ascii="Arial" w:hAnsi="Arial" w:cs="Arial"/>
          <w:sz w:val="22"/>
          <w:szCs w:val="22"/>
          <w:highlight w:val="yellow"/>
        </w:rPr>
      </w:pPr>
      <w:r w:rsidRPr="00884DF8">
        <w:rPr>
          <w:rFonts w:ascii="Arial" w:hAnsi="Arial" w:cs="Arial"/>
          <w:sz w:val="22"/>
          <w:szCs w:val="22"/>
        </w:rPr>
        <w:t xml:space="preserve">As per the data/information shared by the client and the information available on the public domain, GTL Infrastructure serves all the major Wireless Telecom Operators in India. They have entered into long-term contracts with our customers typically for 10 to 15 years. The clients of the company include the major telecom operators like Reliance </w:t>
      </w:r>
      <w:proofErr w:type="spellStart"/>
      <w:r w:rsidRPr="00884DF8">
        <w:rPr>
          <w:rFonts w:ascii="Arial" w:hAnsi="Arial" w:cs="Arial"/>
          <w:sz w:val="22"/>
          <w:szCs w:val="22"/>
        </w:rPr>
        <w:t>Jio</w:t>
      </w:r>
      <w:proofErr w:type="spellEnd"/>
      <w:r w:rsidRPr="00884DF8">
        <w:rPr>
          <w:rFonts w:ascii="Arial" w:hAnsi="Arial" w:cs="Arial"/>
          <w:sz w:val="22"/>
          <w:szCs w:val="22"/>
        </w:rPr>
        <w:t>, Airtel, BSNL and VI.</w:t>
      </w:r>
      <w:r>
        <w:rPr>
          <w:rFonts w:ascii="Arial" w:hAnsi="Arial" w:cs="Arial"/>
          <w:sz w:val="22"/>
          <w:szCs w:val="22"/>
          <w:highlight w:val="yellow"/>
        </w:rPr>
        <w:t xml:space="preserve"> </w:t>
      </w:r>
    </w:p>
    <w:p w14:paraId="343AF096" w14:textId="77777777" w:rsidR="002A2972" w:rsidRDefault="00884DF8" w:rsidP="002A2972">
      <w:pPr>
        <w:pStyle w:val="ListParagraph"/>
        <w:spacing w:before="240" w:line="360" w:lineRule="auto"/>
        <w:ind w:left="142" w:right="-23"/>
        <w:jc w:val="both"/>
        <w:rPr>
          <w:rFonts w:ascii="Arial" w:hAnsi="Arial" w:cs="Arial"/>
          <w:sz w:val="22"/>
          <w:szCs w:val="22"/>
          <w:lang w:val="en-IN"/>
        </w:rPr>
      </w:pPr>
      <w:r w:rsidRPr="00884DF8">
        <w:rPr>
          <w:rFonts w:ascii="Arial" w:hAnsi="Arial" w:cs="Arial"/>
          <w:sz w:val="22"/>
          <w:szCs w:val="22"/>
          <w:lang w:val="en-IN"/>
        </w:rPr>
        <w:t xml:space="preserve">GTL Infrastructure Limited has experienced a significant decline in tenancies due to the exit of 14 telecom operators, including </w:t>
      </w:r>
      <w:proofErr w:type="spellStart"/>
      <w:r w:rsidRPr="00884DF8">
        <w:rPr>
          <w:rFonts w:ascii="Arial" w:hAnsi="Arial" w:cs="Arial"/>
          <w:sz w:val="22"/>
          <w:szCs w:val="22"/>
          <w:lang w:val="en-IN"/>
        </w:rPr>
        <w:t>Aircel</w:t>
      </w:r>
      <w:proofErr w:type="spellEnd"/>
      <w:r w:rsidRPr="00884DF8">
        <w:rPr>
          <w:rFonts w:ascii="Arial" w:hAnsi="Arial" w:cs="Arial"/>
          <w:sz w:val="22"/>
          <w:szCs w:val="22"/>
          <w:lang w:val="en-IN"/>
        </w:rPr>
        <w:t xml:space="preserve"> Group, Reliance Communications, </w:t>
      </w:r>
      <w:proofErr w:type="spellStart"/>
      <w:r w:rsidRPr="00884DF8">
        <w:rPr>
          <w:rFonts w:ascii="Arial" w:hAnsi="Arial" w:cs="Arial"/>
          <w:sz w:val="22"/>
          <w:szCs w:val="22"/>
          <w:lang w:val="en-IN"/>
        </w:rPr>
        <w:t>Shyam</w:t>
      </w:r>
      <w:proofErr w:type="spellEnd"/>
      <w:r w:rsidRPr="00884DF8">
        <w:rPr>
          <w:rFonts w:ascii="Arial" w:hAnsi="Arial" w:cs="Arial"/>
          <w:sz w:val="22"/>
          <w:szCs w:val="22"/>
          <w:lang w:val="en-IN"/>
        </w:rPr>
        <w:t xml:space="preserve"> Sistema, and Tata Tele, as well as industry consolidations like the Vodafone-Idea merger and the Telenor-Airtel combination. These factors have led to a drop in revenue, cash losses, and impairment provisions on property, plant, and equipment. The company has been unable to pay rents for unoccupied sites, along with other dues, and has sought approval from Edelweiss Asset Reconstruction Company Limited (EARC) to address these payments, but approval remains pending</w:t>
      </w:r>
      <w:r w:rsidR="002A2972">
        <w:rPr>
          <w:rFonts w:ascii="Arial" w:hAnsi="Arial" w:cs="Arial"/>
          <w:sz w:val="22"/>
          <w:szCs w:val="22"/>
          <w:lang w:val="en-IN"/>
        </w:rPr>
        <w:t>.</w:t>
      </w:r>
    </w:p>
    <w:p w14:paraId="193AAB38" w14:textId="2FF71059" w:rsidR="002A2972" w:rsidRPr="002A2972" w:rsidRDefault="00884DF8" w:rsidP="002A2972">
      <w:pPr>
        <w:pStyle w:val="ListParagraph"/>
        <w:spacing w:before="240" w:line="360" w:lineRule="auto"/>
        <w:ind w:left="142" w:right="-23"/>
        <w:jc w:val="both"/>
        <w:rPr>
          <w:rFonts w:ascii="Arial" w:hAnsi="Arial" w:cs="Arial"/>
          <w:sz w:val="22"/>
          <w:szCs w:val="22"/>
          <w:lang w:val="en-IN"/>
        </w:rPr>
      </w:pPr>
      <w:r w:rsidRPr="002A2972">
        <w:rPr>
          <w:rFonts w:ascii="Arial" w:hAnsi="Arial" w:cs="Arial"/>
          <w:sz w:val="22"/>
          <w:szCs w:val="22"/>
          <w:lang w:val="en-IN"/>
        </w:rPr>
        <w:t>As a result of unpaid rents, some landlords have restricted access to sites, leading to unauthorized dismantling of 903 sites in the financial year ending March 31, 2024, compared to 2,932 sites in the previous year. Additionally, 82 sites were reported as stolen or dismantled as of June 2024. These challenges continue to impact GTL Infrastructure’s financial position and operational stability.</w:t>
      </w:r>
      <w:r w:rsidR="00EC0B59" w:rsidRPr="002A2972">
        <w:rPr>
          <w:rFonts w:ascii="Arial" w:hAnsi="Arial" w:cs="Arial"/>
          <w:sz w:val="22"/>
          <w:szCs w:val="22"/>
          <w:lang w:val="en-IN"/>
        </w:rPr>
        <w:t xml:space="preserve"> </w:t>
      </w:r>
      <w:r w:rsidR="002A2972" w:rsidRPr="002A2972">
        <w:rPr>
          <w:rFonts w:ascii="Arial" w:hAnsi="Arial" w:cs="Arial"/>
          <w:sz w:val="22"/>
          <w:szCs w:val="22"/>
        </w:rPr>
        <w:t xml:space="preserve">As on March 31, 2024, the Company owned 21,944 towers out of which 10,491 were occupied with 22,018 radiating tenants having tenancy ratio of 2.1 on occupied towers. </w:t>
      </w:r>
    </w:p>
    <w:p w14:paraId="3D230215" w14:textId="7AC75204" w:rsidR="00292253" w:rsidRPr="00EC0B59" w:rsidRDefault="00292253" w:rsidP="00EC0B59">
      <w:pPr>
        <w:pStyle w:val="ListParagraph"/>
        <w:spacing w:before="240" w:line="360" w:lineRule="auto"/>
        <w:ind w:left="142" w:right="-23"/>
        <w:jc w:val="both"/>
        <w:rPr>
          <w:rFonts w:ascii="Arial" w:hAnsi="Arial" w:cs="Arial"/>
          <w:sz w:val="22"/>
          <w:szCs w:val="22"/>
          <w:lang w:val="en-IN"/>
        </w:rPr>
      </w:pPr>
      <w:r w:rsidRPr="00EC0B59">
        <w:rPr>
          <w:rFonts w:ascii="Arial" w:hAnsi="Arial" w:cs="Arial"/>
          <w:sz w:val="22"/>
          <w:szCs w:val="22"/>
        </w:rPr>
        <w:t xml:space="preserve">At present, </w:t>
      </w:r>
      <w:r w:rsidRPr="00EC0B59">
        <w:rPr>
          <w:rFonts w:ascii="Arial" w:eastAsiaTheme="minorHAnsi" w:hAnsi="Arial" w:cs="Arial"/>
          <w:sz w:val="22"/>
          <w:szCs w:val="22"/>
          <w:lang w:val="en-IN"/>
        </w:rPr>
        <w:t xml:space="preserve">M/s </w:t>
      </w:r>
      <w:r w:rsidR="00D23016" w:rsidRPr="00EC0B59">
        <w:rPr>
          <w:rFonts w:ascii="Arial" w:eastAsiaTheme="minorHAnsi" w:hAnsi="Arial" w:cs="Arial"/>
          <w:sz w:val="22"/>
          <w:szCs w:val="22"/>
          <w:lang w:val="en-IN"/>
        </w:rPr>
        <w:t>GTL Infrastructure</w:t>
      </w:r>
      <w:r w:rsidRPr="00EC0B59">
        <w:rPr>
          <w:rFonts w:ascii="Arial" w:eastAsiaTheme="minorHAnsi" w:hAnsi="Arial" w:cs="Arial"/>
          <w:sz w:val="22"/>
          <w:szCs w:val="22"/>
          <w:lang w:val="en-IN"/>
        </w:rPr>
        <w:t xml:space="preserve"> Limited is under financial stress as the account </w:t>
      </w:r>
      <w:r w:rsidR="00D23016" w:rsidRPr="00EC0B59">
        <w:rPr>
          <w:rFonts w:ascii="Arial" w:eastAsiaTheme="minorHAnsi" w:hAnsi="Arial" w:cs="Arial"/>
          <w:sz w:val="22"/>
          <w:szCs w:val="22"/>
          <w:lang w:val="en-IN"/>
        </w:rPr>
        <w:t>has</w:t>
      </w:r>
      <w:r w:rsidRPr="00EC0B59">
        <w:rPr>
          <w:rFonts w:ascii="Arial" w:eastAsiaTheme="minorHAnsi" w:hAnsi="Arial" w:cs="Arial"/>
          <w:sz w:val="22"/>
          <w:szCs w:val="22"/>
          <w:lang w:val="en-IN"/>
        </w:rPr>
        <w:t xml:space="preserve"> be</w:t>
      </w:r>
      <w:r w:rsidR="00D23016" w:rsidRPr="00EC0B59">
        <w:rPr>
          <w:rFonts w:ascii="Arial" w:eastAsiaTheme="minorHAnsi" w:hAnsi="Arial" w:cs="Arial"/>
          <w:sz w:val="22"/>
          <w:szCs w:val="22"/>
          <w:lang w:val="en-IN"/>
        </w:rPr>
        <w:t xml:space="preserve">en </w:t>
      </w:r>
      <w:r w:rsidRPr="00EC0B59">
        <w:rPr>
          <w:rFonts w:ascii="Arial" w:eastAsiaTheme="minorHAnsi" w:hAnsi="Arial" w:cs="Arial"/>
          <w:sz w:val="22"/>
          <w:szCs w:val="22"/>
          <w:lang w:val="en-IN"/>
        </w:rPr>
        <w:t>classified as Non-Performing Asset (NPA). As a result, the company will not be able to receive any financial assistance for its expansion plans.</w:t>
      </w:r>
    </w:p>
    <w:p w14:paraId="306FFE9D" w14:textId="77777777" w:rsidR="00757C92" w:rsidRDefault="00757C92" w:rsidP="003F38C9">
      <w:pPr>
        <w:autoSpaceDE w:val="0"/>
        <w:autoSpaceDN w:val="0"/>
        <w:adjustRightInd w:val="0"/>
        <w:spacing w:after="0" w:line="360" w:lineRule="auto"/>
        <w:ind w:left="142" w:right="-23"/>
        <w:jc w:val="both"/>
        <w:rPr>
          <w:rFonts w:ascii="Arial" w:eastAsia="Arial" w:hAnsi="Arial" w:cs="Arial"/>
          <w:b/>
          <w:i/>
          <w:sz w:val="18"/>
          <w:szCs w:val="18"/>
        </w:rPr>
      </w:pPr>
      <w:r w:rsidRPr="005430BF">
        <w:rPr>
          <w:rFonts w:ascii="Arial" w:hAnsi="Arial" w:cs="Arial"/>
          <w:b/>
          <w:w w:val="105"/>
          <w:sz w:val="22"/>
          <w:szCs w:val="22"/>
        </w:rPr>
        <w:t xml:space="preserve">Hence, </w:t>
      </w:r>
      <w:r w:rsidRPr="00757C92">
        <w:rPr>
          <w:rFonts w:ascii="Arial" w:hAnsi="Arial" w:cs="Arial"/>
          <w:b/>
          <w:w w:val="105"/>
          <w:sz w:val="22"/>
          <w:szCs w:val="22"/>
          <w:lang w:val="en-IN"/>
        </w:rPr>
        <w:t>Edelweiss Asset Reconstruction Company Limited</w:t>
      </w:r>
      <w:r w:rsidRPr="00757C92">
        <w:rPr>
          <w:rFonts w:ascii="Arial" w:hAnsi="Arial" w:cs="Arial"/>
          <w:b/>
          <w:w w:val="105"/>
          <w:sz w:val="22"/>
          <w:szCs w:val="22"/>
        </w:rPr>
        <w:t xml:space="preserve"> </w:t>
      </w:r>
      <w:r w:rsidRPr="005430BF">
        <w:rPr>
          <w:rFonts w:ascii="Arial" w:hAnsi="Arial" w:cs="Arial"/>
          <w:b/>
          <w:w w:val="105"/>
          <w:sz w:val="22"/>
          <w:szCs w:val="22"/>
        </w:rPr>
        <w:t>(</w:t>
      </w:r>
      <w:r>
        <w:rPr>
          <w:rFonts w:ascii="Arial" w:hAnsi="Arial" w:cs="Arial"/>
          <w:b/>
          <w:w w:val="105"/>
          <w:sz w:val="22"/>
          <w:szCs w:val="22"/>
        </w:rPr>
        <w:t>EARCL</w:t>
      </w:r>
      <w:r w:rsidRPr="005430BF">
        <w:rPr>
          <w:rFonts w:ascii="Arial" w:hAnsi="Arial" w:cs="Arial"/>
          <w:b/>
          <w:w w:val="105"/>
          <w:sz w:val="22"/>
          <w:szCs w:val="22"/>
        </w:rPr>
        <w:t xml:space="preserve">) has appointed R.K. Associates to determine the Fair Market Value/Enterprise Value of the Business/Company to take appropriate course of action on this </w:t>
      </w:r>
      <w:r w:rsidRPr="005430BF">
        <w:rPr>
          <w:rFonts w:ascii="Arial" w:eastAsia="Arial" w:hAnsi="Arial" w:cs="Arial"/>
          <w:b/>
          <w:bCs/>
          <w:sz w:val="22"/>
          <w:szCs w:val="22"/>
        </w:rPr>
        <w:t>account.</w:t>
      </w:r>
      <w:r>
        <w:rPr>
          <w:rFonts w:ascii="Arial" w:eastAsia="Arial" w:hAnsi="Arial" w:cs="Arial"/>
          <w:b/>
          <w:i/>
          <w:sz w:val="18"/>
          <w:szCs w:val="18"/>
        </w:rPr>
        <w:t xml:space="preserve">                     </w:t>
      </w:r>
    </w:p>
    <w:p w14:paraId="333601BB" w14:textId="18592F15" w:rsidR="00037301" w:rsidRPr="00D911A0" w:rsidRDefault="00037301" w:rsidP="003F38C9">
      <w:pPr>
        <w:autoSpaceDE w:val="0"/>
        <w:autoSpaceDN w:val="0"/>
        <w:adjustRightInd w:val="0"/>
        <w:spacing w:after="0" w:line="360" w:lineRule="auto"/>
        <w:ind w:left="142" w:right="-23"/>
        <w:jc w:val="both"/>
        <w:rPr>
          <w:iCs/>
          <w:sz w:val="22"/>
          <w:szCs w:val="22"/>
        </w:rPr>
      </w:pPr>
      <w:r w:rsidRPr="003F38C9">
        <w:rPr>
          <w:rFonts w:ascii="Arial" w:eastAsia="Arial" w:hAnsi="Arial" w:cs="Arial"/>
          <w:b/>
          <w:i/>
          <w:sz w:val="18"/>
          <w:szCs w:val="18"/>
        </w:rPr>
        <w:t xml:space="preserve">      </w:t>
      </w:r>
    </w:p>
    <w:p w14:paraId="71883431" w14:textId="77777777" w:rsidR="00D009F6" w:rsidRPr="00D009F6" w:rsidRDefault="00E11206" w:rsidP="00D009F6">
      <w:pPr>
        <w:pStyle w:val="ListParagraph"/>
        <w:numPr>
          <w:ilvl w:val="0"/>
          <w:numId w:val="2"/>
        </w:numPr>
        <w:spacing w:after="0" w:line="240" w:lineRule="auto"/>
        <w:ind w:left="142" w:right="-23" w:hanging="426"/>
        <w:jc w:val="both"/>
        <w:rPr>
          <w:rFonts w:ascii="Arial" w:hAnsi="Arial" w:cs="Arial"/>
          <w:b/>
          <w:sz w:val="22"/>
          <w:szCs w:val="22"/>
          <w:u w:val="single"/>
        </w:rPr>
      </w:pPr>
      <w:r w:rsidRPr="005C6FC8">
        <w:rPr>
          <w:rFonts w:ascii="Arial" w:hAnsi="Arial" w:cs="Arial"/>
          <w:b/>
          <w:sz w:val="22"/>
          <w:szCs w:val="22"/>
        </w:rPr>
        <w:t xml:space="preserve">TYPE OF REPORT: </w:t>
      </w:r>
    </w:p>
    <w:p w14:paraId="4C607484" w14:textId="0B7DBB54" w:rsidR="00215D2C" w:rsidRPr="00257E21" w:rsidRDefault="006E189F" w:rsidP="00D009F6">
      <w:pPr>
        <w:pStyle w:val="ListParagraph"/>
        <w:spacing w:before="240" w:after="0" w:line="360" w:lineRule="auto"/>
        <w:ind w:left="142" w:right="-23"/>
        <w:jc w:val="both"/>
        <w:rPr>
          <w:rFonts w:ascii="Arial" w:hAnsi="Arial" w:cs="Arial"/>
          <w:b/>
          <w:sz w:val="22"/>
          <w:szCs w:val="22"/>
          <w:u w:val="single"/>
        </w:rPr>
      </w:pPr>
      <w:r>
        <w:rPr>
          <w:rFonts w:ascii="Arial" w:hAnsi="Arial" w:cs="Arial"/>
          <w:sz w:val="22"/>
          <w:szCs w:val="22"/>
        </w:rPr>
        <w:t xml:space="preserve">This report is performed to assess the </w:t>
      </w:r>
      <w:r w:rsidR="00E11206" w:rsidRPr="005C6FC8">
        <w:rPr>
          <w:rFonts w:ascii="Arial" w:hAnsi="Arial" w:cs="Arial"/>
          <w:sz w:val="22"/>
          <w:szCs w:val="22"/>
          <w:lang w:val="en-IN"/>
        </w:rPr>
        <w:t xml:space="preserve">Enterprise </w:t>
      </w:r>
      <w:r>
        <w:rPr>
          <w:rFonts w:ascii="Arial" w:hAnsi="Arial" w:cs="Arial"/>
          <w:sz w:val="22"/>
          <w:szCs w:val="22"/>
        </w:rPr>
        <w:t>Value of the project</w:t>
      </w:r>
      <w:r w:rsidR="00E11206" w:rsidRPr="005C6FC8">
        <w:rPr>
          <w:rFonts w:ascii="Arial" w:hAnsi="Arial" w:cs="Arial"/>
          <w:sz w:val="22"/>
          <w:szCs w:val="22"/>
        </w:rPr>
        <w:t>.</w:t>
      </w:r>
    </w:p>
    <w:p w14:paraId="2B62C6FE" w14:textId="77777777" w:rsidR="00257E21" w:rsidRPr="00ED7887" w:rsidRDefault="00257E21" w:rsidP="00ED7887">
      <w:pPr>
        <w:pStyle w:val="ListParagraph"/>
        <w:spacing w:after="0" w:line="276" w:lineRule="auto"/>
        <w:ind w:left="142" w:right="-23"/>
        <w:jc w:val="both"/>
        <w:rPr>
          <w:rFonts w:ascii="Arial" w:hAnsi="Arial" w:cs="Arial"/>
          <w:b/>
          <w:sz w:val="22"/>
          <w:szCs w:val="22"/>
        </w:rPr>
      </w:pPr>
    </w:p>
    <w:p w14:paraId="60BCE265" w14:textId="77777777" w:rsidR="004B1CA8" w:rsidRDefault="00E11206" w:rsidP="004B1CA8">
      <w:pPr>
        <w:pStyle w:val="ListParagraph"/>
        <w:numPr>
          <w:ilvl w:val="0"/>
          <w:numId w:val="2"/>
        </w:numPr>
        <w:spacing w:line="240" w:lineRule="auto"/>
        <w:ind w:left="142" w:right="-23" w:hanging="426"/>
        <w:jc w:val="both"/>
        <w:rPr>
          <w:rFonts w:ascii="Arial" w:hAnsi="Arial" w:cs="Arial"/>
          <w:b/>
          <w:sz w:val="22"/>
          <w:szCs w:val="22"/>
        </w:rPr>
      </w:pPr>
      <w:r w:rsidRPr="005C6FC8">
        <w:rPr>
          <w:rFonts w:ascii="Arial" w:hAnsi="Arial" w:cs="Arial"/>
          <w:b/>
          <w:sz w:val="22"/>
          <w:szCs w:val="22"/>
        </w:rPr>
        <w:t xml:space="preserve">PURPOSE OF THE REPORT: </w:t>
      </w:r>
    </w:p>
    <w:p w14:paraId="0778CC5A" w14:textId="074AEEEE" w:rsidR="00E11206" w:rsidRPr="00C92988" w:rsidRDefault="00E11206" w:rsidP="00D009F6">
      <w:pPr>
        <w:pStyle w:val="ListParagraph"/>
        <w:spacing w:before="240" w:after="0" w:line="240" w:lineRule="auto"/>
        <w:ind w:left="142" w:right="-23"/>
        <w:jc w:val="both"/>
        <w:rPr>
          <w:rFonts w:ascii="Arial" w:hAnsi="Arial" w:cs="Arial"/>
          <w:b/>
          <w:sz w:val="22"/>
          <w:szCs w:val="22"/>
        </w:rPr>
      </w:pPr>
      <w:r w:rsidRPr="005C6FC8">
        <w:rPr>
          <w:rFonts w:ascii="Arial" w:hAnsi="Arial" w:cs="Arial"/>
          <w:sz w:val="22"/>
          <w:szCs w:val="22"/>
        </w:rPr>
        <w:t>To assess &amp; determine Enterprise Value of the Project as required by the lenders</w:t>
      </w:r>
      <w:r w:rsidR="005C6FC8" w:rsidRPr="005C6FC8">
        <w:rPr>
          <w:rFonts w:ascii="Arial" w:hAnsi="Arial" w:cs="Arial"/>
          <w:sz w:val="22"/>
          <w:szCs w:val="22"/>
        </w:rPr>
        <w:t>.</w:t>
      </w:r>
    </w:p>
    <w:p w14:paraId="38B914B5" w14:textId="77777777" w:rsidR="00C92988" w:rsidRPr="00C92988" w:rsidRDefault="00C92988" w:rsidP="00ED7887">
      <w:pPr>
        <w:pStyle w:val="ListParagraph"/>
        <w:spacing w:after="0" w:line="276" w:lineRule="auto"/>
        <w:ind w:left="142" w:right="-23"/>
        <w:jc w:val="both"/>
        <w:rPr>
          <w:rFonts w:ascii="Arial" w:hAnsi="Arial" w:cs="Arial"/>
          <w:b/>
          <w:sz w:val="22"/>
          <w:szCs w:val="22"/>
        </w:rPr>
      </w:pPr>
    </w:p>
    <w:p w14:paraId="7954E610" w14:textId="77777777" w:rsidR="004B1CA8" w:rsidRPr="004B1CA8" w:rsidRDefault="007108CC" w:rsidP="00ED7887">
      <w:pPr>
        <w:pStyle w:val="ListParagraph"/>
        <w:numPr>
          <w:ilvl w:val="0"/>
          <w:numId w:val="2"/>
        </w:numPr>
        <w:spacing w:line="360" w:lineRule="auto"/>
        <w:ind w:left="142" w:right="-23"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p>
    <w:p w14:paraId="58BA3673" w14:textId="312BD346" w:rsidR="00A075FD" w:rsidRPr="00A075FD" w:rsidRDefault="00A075FD" w:rsidP="004B1CA8">
      <w:pPr>
        <w:pStyle w:val="ListParagraph"/>
        <w:spacing w:line="360" w:lineRule="auto"/>
        <w:ind w:left="142" w:right="-23"/>
        <w:jc w:val="both"/>
        <w:rPr>
          <w:rFonts w:ascii="Arial" w:hAnsi="Arial" w:cs="Arial"/>
          <w:sz w:val="22"/>
          <w:szCs w:val="22"/>
        </w:rPr>
      </w:pPr>
      <w:r w:rsidRPr="00A075FD">
        <w:rPr>
          <w:rFonts w:ascii="Arial" w:eastAsia="Arial" w:hAnsi="Arial" w:cs="Arial"/>
          <w:sz w:val="22"/>
          <w:szCs w:val="22"/>
        </w:rPr>
        <w:t xml:space="preserve">To estimate &amp; determine current Enterprise Value of the Company based on </w:t>
      </w:r>
      <w:r w:rsidR="00ED7887">
        <w:rPr>
          <w:rFonts w:ascii="Arial" w:eastAsia="Arial" w:hAnsi="Arial" w:cs="Arial"/>
          <w:sz w:val="22"/>
          <w:szCs w:val="22"/>
        </w:rPr>
        <w:t>Income Based Approach (</w:t>
      </w:r>
      <w:r w:rsidRPr="00A075FD">
        <w:rPr>
          <w:rFonts w:ascii="Arial" w:eastAsia="Arial" w:hAnsi="Arial" w:cs="Arial"/>
          <w:sz w:val="22"/>
          <w:szCs w:val="22"/>
        </w:rPr>
        <w:t>Discounted Cash Flow</w:t>
      </w:r>
      <w:r w:rsidR="00ED7887">
        <w:rPr>
          <w:rFonts w:ascii="Arial" w:eastAsia="Arial" w:hAnsi="Arial" w:cs="Arial"/>
          <w:sz w:val="22"/>
          <w:szCs w:val="22"/>
        </w:rPr>
        <w:t>)</w:t>
      </w:r>
      <w:r w:rsidRPr="00A075FD">
        <w:rPr>
          <w:rFonts w:ascii="Arial" w:eastAsia="Arial" w:hAnsi="Arial" w:cs="Arial"/>
          <w:sz w:val="22"/>
          <w:szCs w:val="22"/>
        </w:rPr>
        <w:t xml:space="preserve"> method</w:t>
      </w:r>
      <w:r>
        <w:rPr>
          <w:rFonts w:ascii="Arial" w:eastAsia="Arial" w:hAnsi="Arial" w:cs="Arial"/>
          <w:sz w:val="22"/>
          <w:szCs w:val="22"/>
        </w:rPr>
        <w:t>.</w:t>
      </w:r>
    </w:p>
    <w:p w14:paraId="7AC7C166" w14:textId="03CC2FC5"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C5267F">
        <w:rPr>
          <w:rFonts w:ascii="Arial" w:hAnsi="Arial" w:cs="Arial"/>
          <w:i/>
          <w:color w:val="000000"/>
          <w:sz w:val="22"/>
          <w:szCs w:val="22"/>
        </w:rPr>
        <w:t>This is just the enterprise valua</w:t>
      </w:r>
      <w:r>
        <w:rPr>
          <w:rFonts w:ascii="Arial" w:hAnsi="Arial" w:cs="Arial"/>
          <w:i/>
          <w:color w:val="000000"/>
          <w:sz w:val="22"/>
          <w:szCs w:val="22"/>
        </w:rPr>
        <w:t>tion of the project based on the I</w:t>
      </w:r>
      <w:r w:rsidRPr="00C5267F">
        <w:rPr>
          <w:rFonts w:ascii="Arial" w:hAnsi="Arial" w:cs="Arial"/>
          <w:i/>
          <w:color w:val="000000"/>
          <w:sz w:val="22"/>
          <w:szCs w:val="22"/>
        </w:rPr>
        <w:t>ncome generating capacity of the project in future years. This Valuation shall not be construed as the physical asset or should not be related directly to cost approach or Project cost.</w:t>
      </w:r>
    </w:p>
    <w:p w14:paraId="09D6488D" w14:textId="77777777" w:rsidR="00A075FD" w:rsidRPr="00C92988" w:rsidRDefault="00A075FD" w:rsidP="00A075FD">
      <w:pPr>
        <w:pStyle w:val="ListParagraph"/>
        <w:numPr>
          <w:ilvl w:val="0"/>
          <w:numId w:val="1"/>
        </w:numPr>
        <w:spacing w:line="360" w:lineRule="auto"/>
        <w:ind w:left="567" w:right="-23" w:hanging="425"/>
        <w:jc w:val="both"/>
        <w:rPr>
          <w:rFonts w:ascii="Arial" w:eastAsia="Arial" w:hAnsi="Arial" w:cs="Arial"/>
          <w:i/>
          <w:sz w:val="22"/>
          <w:szCs w:val="22"/>
        </w:rPr>
      </w:pPr>
      <w:r w:rsidRPr="00C92988">
        <w:rPr>
          <w:rFonts w:ascii="Arial" w:eastAsia="Arial" w:hAnsi="Arial" w:cs="Arial"/>
          <w:i/>
          <w:sz w:val="22"/>
          <w:szCs w:val="22"/>
        </w:rPr>
        <w:t>This Enterprise Valuation report doesn't cover vetting of the documents/ financial data/ projections or any other information provided to us by the Bank.</w:t>
      </w:r>
    </w:p>
    <w:p w14:paraId="5C536E46" w14:textId="77777777"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D37553">
        <w:rPr>
          <w:rFonts w:ascii="Arial" w:eastAsia="Arial" w:hAnsi="Arial" w:cs="Arial"/>
          <w:i/>
          <w:sz w:val="22"/>
          <w:szCs w:val="22"/>
        </w:rPr>
        <w:t>This Valuation only covers the cash flow from operation of the company</w:t>
      </w:r>
      <w:r w:rsidRPr="00D37553">
        <w:rPr>
          <w:rFonts w:ascii="Arial" w:hAnsi="Arial" w:cs="Arial"/>
          <w:i/>
          <w:color w:val="000000"/>
          <w:sz w:val="22"/>
          <w:szCs w:val="22"/>
        </w:rPr>
        <w:t>. It does not cover any transaction with the subject company’s subsidiary/ associate/ Joint Venture Companies, as per the requirement by the lender.</w:t>
      </w:r>
    </w:p>
    <w:p w14:paraId="07BA55F7" w14:textId="58AC0523"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D37553">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5A4DF52B" w14:textId="73C3FB0A" w:rsidR="00A075FD" w:rsidRPr="00A075FD" w:rsidRDefault="00A075FD" w:rsidP="00A075FD">
      <w:pPr>
        <w:pStyle w:val="ListParagraph"/>
        <w:numPr>
          <w:ilvl w:val="0"/>
          <w:numId w:val="1"/>
        </w:numPr>
        <w:spacing w:line="360" w:lineRule="auto"/>
        <w:ind w:left="567" w:right="-23" w:hanging="425"/>
        <w:jc w:val="both"/>
        <w:rPr>
          <w:rFonts w:ascii="Arial" w:eastAsia="Arial" w:hAnsi="Arial" w:cs="Arial"/>
          <w:i/>
          <w:sz w:val="22"/>
          <w:szCs w:val="22"/>
        </w:rPr>
      </w:pPr>
      <w:r w:rsidRPr="00C92988">
        <w:rPr>
          <w:rFonts w:ascii="Arial" w:eastAsia="Arial" w:hAnsi="Arial" w:cs="Arial"/>
          <w:i/>
          <w:sz w:val="22"/>
          <w:szCs w:val="22"/>
        </w:rPr>
        <w:t>It doesn't contain the principles of physical asset valuation and is not based on the site inspection of the project.</w:t>
      </w:r>
    </w:p>
    <w:p w14:paraId="128092BD" w14:textId="77777777"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D37553">
        <w:rPr>
          <w:rFonts w:ascii="Arial" w:hAnsi="Arial" w:cs="Arial"/>
          <w:i/>
          <w:color w:val="000000"/>
          <w:sz w:val="22"/>
          <w:szCs w:val="22"/>
        </w:rPr>
        <w:t>We have assumed that the information provided to us is correct and is not manipulated or distorted.</w:t>
      </w:r>
    </w:p>
    <w:p w14:paraId="698A245D" w14:textId="4F8B9F73" w:rsidR="00A075FD" w:rsidRPr="00D37553" w:rsidRDefault="00A075FD" w:rsidP="0052160F">
      <w:pPr>
        <w:pStyle w:val="ListParagraph"/>
        <w:numPr>
          <w:ilvl w:val="0"/>
          <w:numId w:val="1"/>
        </w:numPr>
        <w:spacing w:after="0" w:line="360" w:lineRule="auto"/>
        <w:ind w:left="567" w:right="-23" w:hanging="425"/>
        <w:jc w:val="both"/>
        <w:rPr>
          <w:rFonts w:ascii="Arial" w:hAnsi="Arial" w:cs="Arial"/>
          <w:i/>
          <w:color w:val="000000"/>
          <w:sz w:val="22"/>
          <w:szCs w:val="22"/>
        </w:rPr>
      </w:pPr>
      <w:r w:rsidRPr="00D37553">
        <w:rPr>
          <w:rFonts w:ascii="Arial" w:hAnsi="Arial" w:cs="Arial"/>
          <w:i/>
          <w:color w:val="000000"/>
          <w:sz w:val="22"/>
          <w:szCs w:val="22"/>
        </w:rPr>
        <w:t>The Market</w:t>
      </w:r>
      <w:r w:rsidRPr="00D37553">
        <w:rPr>
          <w:rFonts w:ascii="Arial" w:eastAsia="Arial" w:hAnsi="Arial" w:cs="Arial"/>
          <w:i/>
          <w:sz w:val="22"/>
          <w:szCs w:val="22"/>
        </w:rPr>
        <w:t xml:space="preserve"> and Industrial assessment of the given company’s industry/ sector has not been done at our end. So, this valuation doesn’t cover the </w:t>
      </w:r>
      <w:r w:rsidR="00B33D6F">
        <w:rPr>
          <w:rFonts w:ascii="Arial" w:eastAsia="Arial" w:hAnsi="Arial" w:cs="Arial"/>
          <w:i/>
          <w:sz w:val="22"/>
          <w:szCs w:val="22"/>
        </w:rPr>
        <w:t>m</w:t>
      </w:r>
      <w:r w:rsidRPr="00D37553">
        <w:rPr>
          <w:rFonts w:ascii="Arial" w:eastAsia="Arial" w:hAnsi="Arial" w:cs="Arial"/>
          <w:i/>
          <w:sz w:val="22"/>
          <w:szCs w:val="22"/>
        </w:rPr>
        <w:t>arket &amp; industrial scenario in terms of the product demand &amp; market potential.</w:t>
      </w:r>
    </w:p>
    <w:p w14:paraId="3E43D05C" w14:textId="77777777" w:rsidR="00F5778E" w:rsidRPr="00F5778E" w:rsidRDefault="00F5778E" w:rsidP="00496100">
      <w:pPr>
        <w:spacing w:after="0" w:line="360" w:lineRule="auto"/>
        <w:ind w:left="142" w:right="-23"/>
        <w:jc w:val="both"/>
        <w:rPr>
          <w:rFonts w:ascii="Arial" w:hAnsi="Arial" w:cs="Arial"/>
          <w:iCs/>
          <w:color w:val="000000"/>
          <w:sz w:val="22"/>
          <w:szCs w:val="22"/>
        </w:rPr>
      </w:pPr>
    </w:p>
    <w:p w14:paraId="5D948D0F" w14:textId="77777777" w:rsidR="004B1CA8" w:rsidRDefault="007108CC" w:rsidP="004B1CA8">
      <w:pPr>
        <w:pStyle w:val="ListParagraph"/>
        <w:numPr>
          <w:ilvl w:val="0"/>
          <w:numId w:val="2"/>
        </w:numPr>
        <w:spacing w:after="0" w:line="240" w:lineRule="auto"/>
        <w:ind w:left="142" w:right="-23" w:hanging="426"/>
        <w:jc w:val="both"/>
        <w:rPr>
          <w:rFonts w:ascii="Arial" w:hAnsi="Arial" w:cs="Arial"/>
          <w:b/>
          <w:sz w:val="22"/>
          <w:szCs w:val="22"/>
        </w:rPr>
      </w:pPr>
      <w:r w:rsidRPr="00D37553">
        <w:rPr>
          <w:rFonts w:ascii="Arial" w:hAnsi="Arial" w:cs="Arial"/>
          <w:b/>
          <w:sz w:val="22"/>
          <w:szCs w:val="22"/>
        </w:rPr>
        <w:t>METHO</w:t>
      </w:r>
      <w:r w:rsidR="00D37553">
        <w:rPr>
          <w:rFonts w:ascii="Arial" w:hAnsi="Arial" w:cs="Arial"/>
          <w:b/>
          <w:sz w:val="22"/>
          <w:szCs w:val="22"/>
        </w:rPr>
        <w:t>DOLOGY/ MODEL ADOPTED:</w:t>
      </w:r>
      <w:r w:rsidR="00C92988">
        <w:rPr>
          <w:rFonts w:ascii="Arial" w:hAnsi="Arial" w:cs="Arial"/>
          <w:b/>
          <w:sz w:val="22"/>
          <w:szCs w:val="22"/>
        </w:rPr>
        <w:t xml:space="preserve"> </w:t>
      </w:r>
    </w:p>
    <w:p w14:paraId="5A5A7F34" w14:textId="6F6DAD0C" w:rsidR="00C92988" w:rsidRPr="00D911A0" w:rsidRDefault="002F043C" w:rsidP="004B1CA8">
      <w:pPr>
        <w:pStyle w:val="ListParagraph"/>
        <w:spacing w:before="240" w:after="0" w:line="360" w:lineRule="auto"/>
        <w:ind w:left="142" w:right="-23"/>
        <w:jc w:val="both"/>
        <w:rPr>
          <w:rFonts w:ascii="Arial" w:hAnsi="Arial" w:cs="Arial"/>
          <w:b/>
          <w:sz w:val="22"/>
          <w:szCs w:val="22"/>
        </w:rPr>
      </w:pPr>
      <w:r w:rsidRPr="00BF1800">
        <w:rPr>
          <w:rFonts w:ascii="Arial" w:hAnsi="Arial" w:cs="Arial"/>
          <w:bCs/>
          <w:sz w:val="22"/>
          <w:szCs w:val="22"/>
        </w:rPr>
        <w:t>Income-based Approach (</w:t>
      </w:r>
      <w:r w:rsidRPr="00BF1800">
        <w:rPr>
          <w:rFonts w:ascii="Arial" w:hAnsi="Arial" w:cs="Arial"/>
          <w:sz w:val="22"/>
          <w:szCs w:val="22"/>
        </w:rPr>
        <w:t>Discounted Cash Flow Model) for the calculation of Enterprise Value of the Company</w:t>
      </w:r>
      <w:r w:rsidR="00C92988" w:rsidRPr="00C92988">
        <w:rPr>
          <w:rFonts w:ascii="Arial" w:eastAsia="Arial" w:hAnsi="Arial" w:cs="Arial"/>
          <w:sz w:val="22"/>
          <w:szCs w:val="22"/>
        </w:rPr>
        <w:t xml:space="preserve">. </w:t>
      </w:r>
    </w:p>
    <w:p w14:paraId="0702AA83" w14:textId="77777777" w:rsidR="00D911A0" w:rsidRPr="00C92988" w:rsidRDefault="00D911A0" w:rsidP="00D911A0">
      <w:pPr>
        <w:pStyle w:val="ListParagraph"/>
        <w:spacing w:after="0" w:line="360" w:lineRule="auto"/>
        <w:ind w:left="142" w:right="-23"/>
        <w:jc w:val="both"/>
        <w:rPr>
          <w:rFonts w:ascii="Arial" w:hAnsi="Arial" w:cs="Arial"/>
          <w:b/>
          <w:sz w:val="22"/>
          <w:szCs w:val="22"/>
        </w:rPr>
      </w:pPr>
    </w:p>
    <w:p w14:paraId="2E33D711" w14:textId="77777777" w:rsidR="00E11206" w:rsidRPr="00D37553" w:rsidRDefault="00E11206" w:rsidP="00FA2919">
      <w:pPr>
        <w:pStyle w:val="ListParagraph"/>
        <w:numPr>
          <w:ilvl w:val="0"/>
          <w:numId w:val="2"/>
        </w:numPr>
        <w:spacing w:line="360" w:lineRule="auto"/>
        <w:ind w:left="142" w:right="-23" w:hanging="426"/>
        <w:jc w:val="both"/>
        <w:rPr>
          <w:rFonts w:ascii="Arial" w:hAnsi="Arial" w:cs="Arial"/>
          <w:b/>
          <w:sz w:val="22"/>
          <w:szCs w:val="22"/>
        </w:rPr>
      </w:pPr>
      <w:r w:rsidRPr="00D37553">
        <w:rPr>
          <w:rFonts w:ascii="Arial" w:hAnsi="Arial" w:cs="Arial"/>
          <w:b/>
          <w:sz w:val="22"/>
          <w:szCs w:val="22"/>
        </w:rPr>
        <w:t xml:space="preserve">DOCUMENTS / DATA REFFERED: </w:t>
      </w:r>
    </w:p>
    <w:p w14:paraId="15CE71BB" w14:textId="789D95C7" w:rsidR="00E11206" w:rsidRDefault="00E11206"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rPr>
        <w:t xml:space="preserve">Audited Financial Statements and Notes </w:t>
      </w:r>
      <w:r w:rsidR="001558DF" w:rsidRPr="005430BF">
        <w:rPr>
          <w:rFonts w:ascii="Arial" w:hAnsi="Arial" w:cs="Arial"/>
          <w:sz w:val="22"/>
          <w:szCs w:val="22"/>
        </w:rPr>
        <w:t>p</w:t>
      </w:r>
      <w:r w:rsidRPr="005430BF">
        <w:rPr>
          <w:rFonts w:ascii="Arial" w:hAnsi="Arial" w:cs="Arial"/>
          <w:sz w:val="22"/>
          <w:szCs w:val="22"/>
        </w:rPr>
        <w:t xml:space="preserve">rovided by the Company. </w:t>
      </w:r>
    </w:p>
    <w:p w14:paraId="4398738B" w14:textId="51805486" w:rsidR="00836D22" w:rsidRPr="00836D22" w:rsidRDefault="00836D22" w:rsidP="00836D22">
      <w:pPr>
        <w:pStyle w:val="ListParagraph"/>
        <w:numPr>
          <w:ilvl w:val="0"/>
          <w:numId w:val="1"/>
        </w:numPr>
        <w:spacing w:line="360" w:lineRule="auto"/>
        <w:ind w:left="567" w:right="-23" w:hanging="425"/>
        <w:jc w:val="both"/>
        <w:rPr>
          <w:rFonts w:ascii="Arial" w:hAnsi="Arial" w:cs="Arial"/>
          <w:sz w:val="22"/>
          <w:szCs w:val="22"/>
        </w:rPr>
      </w:pPr>
      <w:r>
        <w:rPr>
          <w:rFonts w:ascii="Arial" w:hAnsi="Arial" w:cs="Arial"/>
          <w:sz w:val="22"/>
          <w:szCs w:val="22"/>
        </w:rPr>
        <w:t>Financial Projections of the Company.</w:t>
      </w:r>
    </w:p>
    <w:p w14:paraId="735E73D3" w14:textId="703ECEC1" w:rsidR="00D41272" w:rsidRPr="00D41272" w:rsidRDefault="005430BF" w:rsidP="00D4127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lang w:val="en-IN"/>
        </w:rPr>
        <w:t xml:space="preserve">Profile of Directors, Shareholding Pattern and </w:t>
      </w:r>
      <w:r w:rsidR="00D41272">
        <w:rPr>
          <w:rFonts w:ascii="Arial" w:hAnsi="Arial" w:cs="Arial"/>
          <w:sz w:val="22"/>
          <w:szCs w:val="22"/>
          <w:lang w:val="en-IN"/>
        </w:rPr>
        <w:t>Client wise Bifurcation of Towers</w:t>
      </w:r>
    </w:p>
    <w:p w14:paraId="5AC39A4A" w14:textId="643469FF" w:rsidR="00C92988" w:rsidRPr="005430BF" w:rsidRDefault="005430BF"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lang w:val="en-IN"/>
        </w:rPr>
        <w:t xml:space="preserve">Company’s Profile and </w:t>
      </w:r>
      <w:r w:rsidR="00D41272">
        <w:rPr>
          <w:rFonts w:ascii="Arial" w:hAnsi="Arial" w:cs="Arial"/>
          <w:sz w:val="22"/>
          <w:szCs w:val="22"/>
          <w:lang w:val="en-IN"/>
        </w:rPr>
        <w:t>Organisation Structure of the Company</w:t>
      </w:r>
    </w:p>
    <w:p w14:paraId="3C2A0AD5" w14:textId="53879989" w:rsidR="00D41272" w:rsidRPr="00757C92" w:rsidRDefault="00D41272" w:rsidP="005430BF">
      <w:pPr>
        <w:pStyle w:val="ListParagraph"/>
        <w:numPr>
          <w:ilvl w:val="0"/>
          <w:numId w:val="1"/>
        </w:numPr>
        <w:spacing w:line="360" w:lineRule="auto"/>
        <w:ind w:left="567" w:right="-23" w:hanging="425"/>
        <w:jc w:val="both"/>
        <w:rPr>
          <w:rFonts w:ascii="Arial" w:hAnsi="Arial" w:cs="Arial"/>
          <w:sz w:val="22"/>
          <w:szCs w:val="22"/>
        </w:rPr>
      </w:pPr>
      <w:r>
        <w:rPr>
          <w:rFonts w:ascii="Arial" w:hAnsi="Arial" w:cs="Arial"/>
          <w:sz w:val="22"/>
          <w:szCs w:val="22"/>
          <w:lang w:val="en-IN"/>
        </w:rPr>
        <w:t>Copy of Agreement with Clients</w:t>
      </w:r>
    </w:p>
    <w:p w14:paraId="141A0812" w14:textId="3D5E9AAF" w:rsidR="00757C92" w:rsidRPr="005430BF" w:rsidRDefault="00757C92" w:rsidP="005430BF">
      <w:pPr>
        <w:pStyle w:val="ListParagraph"/>
        <w:numPr>
          <w:ilvl w:val="0"/>
          <w:numId w:val="1"/>
        </w:numPr>
        <w:spacing w:line="360" w:lineRule="auto"/>
        <w:ind w:left="567" w:right="-23" w:hanging="425"/>
        <w:jc w:val="both"/>
        <w:rPr>
          <w:rFonts w:ascii="Arial" w:hAnsi="Arial" w:cs="Arial"/>
          <w:sz w:val="22"/>
          <w:szCs w:val="22"/>
        </w:rPr>
      </w:pPr>
      <w:r>
        <w:rPr>
          <w:rFonts w:ascii="Arial" w:hAnsi="Arial" w:cs="Arial"/>
          <w:sz w:val="22"/>
          <w:szCs w:val="22"/>
          <w:lang w:val="en-IN"/>
        </w:rPr>
        <w:t>O&amp;M Agreement</w:t>
      </w:r>
    </w:p>
    <w:p w14:paraId="40CD466D" w14:textId="77777777" w:rsidR="008D4BAE" w:rsidRDefault="008D4BAE" w:rsidP="00F5778E">
      <w:pPr>
        <w:spacing w:line="360" w:lineRule="auto"/>
        <w:ind w:right="-448"/>
        <w:jc w:val="both"/>
        <w:rPr>
          <w:rFonts w:ascii="Arial" w:hAnsi="Arial" w:cs="Arial"/>
          <w:sz w:val="22"/>
          <w:szCs w:val="22"/>
        </w:rPr>
      </w:pPr>
    </w:p>
    <w:p w14:paraId="09BA80D5" w14:textId="77777777" w:rsidR="002D6B20" w:rsidRDefault="002D6B20" w:rsidP="00F5778E">
      <w:pPr>
        <w:spacing w:line="360" w:lineRule="auto"/>
        <w:ind w:right="-448"/>
        <w:jc w:val="both"/>
        <w:rPr>
          <w:rFonts w:ascii="Arial" w:hAnsi="Arial" w:cs="Arial"/>
          <w:sz w:val="22"/>
          <w:szCs w:val="22"/>
        </w:rPr>
      </w:pPr>
    </w:p>
    <w:p w14:paraId="52ED1749" w14:textId="77777777" w:rsidR="002D6B20" w:rsidRDefault="002D6B20" w:rsidP="00F5778E">
      <w:pPr>
        <w:spacing w:line="360" w:lineRule="auto"/>
        <w:ind w:right="-448"/>
        <w:jc w:val="both"/>
        <w:rPr>
          <w:rFonts w:ascii="Arial" w:hAnsi="Arial" w:cs="Arial"/>
          <w:sz w:val="22"/>
          <w:szCs w:val="22"/>
        </w:rPr>
      </w:pPr>
    </w:p>
    <w:p w14:paraId="6CA3364A" w14:textId="77777777" w:rsidR="002D6B20" w:rsidRDefault="002D6B20" w:rsidP="00F5778E">
      <w:pPr>
        <w:spacing w:line="360" w:lineRule="auto"/>
        <w:ind w:right="-448"/>
        <w:jc w:val="both"/>
        <w:rPr>
          <w:rFonts w:ascii="Arial" w:hAnsi="Arial" w:cs="Arial"/>
          <w:sz w:val="22"/>
          <w:szCs w:val="22"/>
        </w:rPr>
      </w:pPr>
    </w:p>
    <w:p w14:paraId="4C66AEDE" w14:textId="77777777" w:rsidR="002D6B20" w:rsidRDefault="002D6B20" w:rsidP="00F5778E">
      <w:pPr>
        <w:spacing w:line="360" w:lineRule="auto"/>
        <w:ind w:right="-448"/>
        <w:jc w:val="both"/>
        <w:rPr>
          <w:rFonts w:ascii="Arial" w:hAnsi="Arial" w:cs="Arial"/>
          <w:sz w:val="22"/>
          <w:szCs w:val="22"/>
        </w:rPr>
      </w:pPr>
    </w:p>
    <w:p w14:paraId="1A4F4967" w14:textId="77777777" w:rsidR="002D6B20" w:rsidRDefault="002D6B20" w:rsidP="00F5778E">
      <w:pPr>
        <w:spacing w:line="360" w:lineRule="auto"/>
        <w:ind w:right="-448"/>
        <w:jc w:val="both"/>
        <w:rPr>
          <w:rFonts w:ascii="Arial" w:hAnsi="Arial" w:cs="Arial"/>
          <w:sz w:val="22"/>
          <w:szCs w:val="22"/>
        </w:rPr>
      </w:pPr>
    </w:p>
    <w:p w14:paraId="6EBFA438" w14:textId="77777777" w:rsidR="002D6B20" w:rsidRDefault="002D6B20" w:rsidP="00F5778E">
      <w:pPr>
        <w:spacing w:line="360" w:lineRule="auto"/>
        <w:ind w:right="-448"/>
        <w:jc w:val="both"/>
        <w:rPr>
          <w:rFonts w:ascii="Arial" w:hAnsi="Arial" w:cs="Arial"/>
          <w:sz w:val="22"/>
          <w:szCs w:val="22"/>
        </w:rPr>
      </w:pPr>
    </w:p>
    <w:p w14:paraId="490BF433" w14:textId="77777777" w:rsidR="002D6B20" w:rsidRDefault="002D6B20" w:rsidP="00F5778E">
      <w:pPr>
        <w:spacing w:line="360" w:lineRule="auto"/>
        <w:ind w:right="-448"/>
        <w:jc w:val="both"/>
        <w:rPr>
          <w:rFonts w:ascii="Arial" w:hAnsi="Arial" w:cs="Arial"/>
          <w:sz w:val="22"/>
          <w:szCs w:val="22"/>
        </w:rPr>
      </w:pPr>
    </w:p>
    <w:p w14:paraId="6AA42C1B" w14:textId="77777777" w:rsidR="002D6B20" w:rsidRDefault="002D6B20" w:rsidP="00F5778E">
      <w:pPr>
        <w:spacing w:line="360" w:lineRule="auto"/>
        <w:ind w:right="-448"/>
        <w:jc w:val="both"/>
        <w:rPr>
          <w:rFonts w:ascii="Arial" w:hAnsi="Arial" w:cs="Arial"/>
          <w:sz w:val="22"/>
          <w:szCs w:val="22"/>
        </w:rPr>
      </w:pPr>
    </w:p>
    <w:p w14:paraId="1CA11D7F" w14:textId="77777777" w:rsidR="00A5218D" w:rsidRDefault="00A5218D">
      <w:r>
        <w:br w:type="page"/>
      </w:r>
    </w:p>
    <w:tbl>
      <w:tblPr>
        <w:tblW w:w="9782" w:type="dxa"/>
        <w:tblInd w:w="-28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AF6342" w:rsidRPr="003B6472" w14:paraId="503010C9" w14:textId="77777777" w:rsidTr="00894F25">
        <w:trPr>
          <w:trHeight w:val="558"/>
        </w:trPr>
        <w:tc>
          <w:tcPr>
            <w:tcW w:w="1534" w:type="dxa"/>
            <w:shd w:val="clear" w:color="auto" w:fill="002060"/>
            <w:vAlign w:val="center"/>
          </w:tcPr>
          <w:p w14:paraId="21770D75" w14:textId="4E9A9DB6" w:rsidR="00AF6342" w:rsidRPr="003B6472" w:rsidRDefault="00AF6342"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t>PART B</w:t>
            </w:r>
          </w:p>
        </w:tc>
        <w:tc>
          <w:tcPr>
            <w:tcW w:w="8248" w:type="dxa"/>
            <w:shd w:val="clear" w:color="auto" w:fill="DEEAF6" w:themeFill="accent1" w:themeFillTint="33"/>
            <w:vAlign w:val="center"/>
          </w:tcPr>
          <w:p w14:paraId="6F4BF62D" w14:textId="4A3E95F7" w:rsidR="00AF6342" w:rsidRPr="003B6472" w:rsidRDefault="00AF6342" w:rsidP="0067033C">
            <w:pPr>
              <w:tabs>
                <w:tab w:val="left" w:pos="360"/>
              </w:tabs>
              <w:spacing w:after="0" w:line="240" w:lineRule="auto"/>
              <w:jc w:val="center"/>
              <w:rPr>
                <w:rFonts w:ascii="Arial" w:eastAsia="Arial" w:hAnsi="Arial" w:cs="Arial"/>
                <w:b/>
                <w:color w:val="000000"/>
              </w:rPr>
            </w:pPr>
            <w:r w:rsidRPr="008D4BAE">
              <w:rPr>
                <w:rFonts w:ascii="Arial" w:hAnsi="Arial" w:cs="Arial"/>
                <w:b/>
                <w:sz w:val="22"/>
                <w:szCs w:val="22"/>
              </w:rPr>
              <w:t>PROJECT COMPANY</w:t>
            </w:r>
          </w:p>
        </w:tc>
      </w:tr>
    </w:tbl>
    <w:p w14:paraId="417FCD15" w14:textId="77777777" w:rsidR="000714BC" w:rsidRDefault="000714BC" w:rsidP="000714BC">
      <w:pPr>
        <w:pStyle w:val="ListParagraph"/>
        <w:spacing w:after="0" w:line="360" w:lineRule="auto"/>
        <w:ind w:left="142" w:right="-23"/>
        <w:jc w:val="both"/>
        <w:rPr>
          <w:rFonts w:ascii="Arial" w:hAnsi="Arial" w:cs="Arial"/>
          <w:b/>
          <w:sz w:val="22"/>
          <w:szCs w:val="22"/>
          <w:lang w:val="en-IN"/>
        </w:rPr>
      </w:pPr>
    </w:p>
    <w:p w14:paraId="57615BBD" w14:textId="77777777" w:rsidR="00894F25" w:rsidRDefault="00E11206" w:rsidP="00B07001">
      <w:pPr>
        <w:pStyle w:val="ListParagraph"/>
        <w:numPr>
          <w:ilvl w:val="0"/>
          <w:numId w:val="10"/>
        </w:numPr>
        <w:spacing w:line="360" w:lineRule="auto"/>
        <w:ind w:left="142" w:right="-23" w:hanging="426"/>
        <w:jc w:val="both"/>
        <w:rPr>
          <w:rFonts w:ascii="Arial" w:hAnsi="Arial" w:cs="Arial"/>
          <w:b/>
          <w:sz w:val="22"/>
          <w:szCs w:val="22"/>
          <w:lang w:val="en-IN"/>
        </w:rPr>
      </w:pPr>
      <w:r w:rsidRPr="00A8417C">
        <w:rPr>
          <w:rFonts w:ascii="Arial" w:hAnsi="Arial" w:cs="Arial"/>
          <w:b/>
          <w:sz w:val="22"/>
          <w:szCs w:val="22"/>
          <w:lang w:val="en-IN"/>
        </w:rPr>
        <w:t xml:space="preserve">BRIEF DESCRIPTION ABOUT THE </w:t>
      </w:r>
      <w:r w:rsidR="006A0EB3" w:rsidRPr="001B5D5F">
        <w:rPr>
          <w:rFonts w:ascii="Arial" w:hAnsi="Arial" w:cs="Arial"/>
          <w:b/>
          <w:sz w:val="22"/>
          <w:szCs w:val="22"/>
          <w:lang w:val="en-IN"/>
        </w:rPr>
        <w:t>COMPANY</w:t>
      </w:r>
      <w:r w:rsidR="004F44A2" w:rsidRPr="001B5D5F">
        <w:rPr>
          <w:rFonts w:ascii="Arial" w:hAnsi="Arial" w:cs="Arial"/>
          <w:b/>
          <w:sz w:val="22"/>
          <w:szCs w:val="22"/>
          <w:lang w:val="en-IN"/>
        </w:rPr>
        <w:t>:</w:t>
      </w:r>
      <w:r w:rsidR="006A0EB3" w:rsidRPr="001B5D5F">
        <w:rPr>
          <w:rFonts w:ascii="Arial" w:hAnsi="Arial" w:cs="Arial"/>
          <w:b/>
          <w:sz w:val="22"/>
          <w:szCs w:val="22"/>
          <w:lang w:val="en-IN"/>
        </w:rPr>
        <w:t xml:space="preserve"> </w:t>
      </w:r>
    </w:p>
    <w:p w14:paraId="7752A5E7" w14:textId="77777777" w:rsidR="00422150" w:rsidRPr="00422150" w:rsidRDefault="00422150" w:rsidP="00496100">
      <w:pPr>
        <w:pStyle w:val="ListParagraph"/>
        <w:spacing w:line="360" w:lineRule="auto"/>
        <w:ind w:left="142" w:right="-23"/>
        <w:jc w:val="both"/>
        <w:rPr>
          <w:rFonts w:ascii="Arial" w:hAnsi="Arial" w:cs="Arial"/>
          <w:sz w:val="22"/>
          <w:szCs w:val="22"/>
        </w:rPr>
      </w:pPr>
      <w:r w:rsidRPr="00422150">
        <w:rPr>
          <w:rFonts w:ascii="Arial" w:hAnsi="Arial" w:cs="Arial"/>
          <w:sz w:val="22"/>
          <w:szCs w:val="22"/>
        </w:rPr>
        <w:t>GTL Infrastructure Limited (GTL Infra or the Company) is an IP-1 registered entity under the Department of Telecommunications, India, specializing in passive telecom infrastructure. The company offers shared infrastructure solutions, allowing telecom operators (</w:t>
      </w:r>
      <w:proofErr w:type="spellStart"/>
      <w:r w:rsidRPr="00422150">
        <w:rPr>
          <w:rFonts w:ascii="Arial" w:hAnsi="Arial" w:cs="Arial"/>
          <w:sz w:val="22"/>
          <w:szCs w:val="22"/>
        </w:rPr>
        <w:t>Telcos</w:t>
      </w:r>
      <w:proofErr w:type="spellEnd"/>
      <w:r w:rsidRPr="00422150">
        <w:rPr>
          <w:rFonts w:ascii="Arial" w:hAnsi="Arial" w:cs="Arial"/>
          <w:sz w:val="22"/>
          <w:szCs w:val="22"/>
        </w:rPr>
        <w:t xml:space="preserve">) to deploy their active network components efficiently. Its business model revolves around developing, owning, operating, and maintaining telecom sites capable of supporting multiple technologies and service providers. </w:t>
      </w:r>
    </w:p>
    <w:p w14:paraId="69FCC071" w14:textId="7210DB4D" w:rsidR="00422150" w:rsidRPr="00422150" w:rsidRDefault="00422150" w:rsidP="00496100">
      <w:pPr>
        <w:pStyle w:val="ListParagraph"/>
        <w:spacing w:line="360" w:lineRule="auto"/>
        <w:ind w:left="142" w:right="-23"/>
        <w:jc w:val="both"/>
        <w:rPr>
          <w:rFonts w:ascii="Arial" w:hAnsi="Arial" w:cs="Arial"/>
          <w:sz w:val="22"/>
          <w:szCs w:val="22"/>
        </w:rPr>
      </w:pPr>
      <w:r w:rsidRPr="00422150">
        <w:rPr>
          <w:rFonts w:ascii="Arial" w:hAnsi="Arial" w:cs="Arial"/>
          <w:sz w:val="22"/>
          <w:szCs w:val="22"/>
        </w:rPr>
        <w:t xml:space="preserve">By facilitating infrastructure sharing, the model enables </w:t>
      </w:r>
      <w:proofErr w:type="spellStart"/>
      <w:r w:rsidRPr="00422150">
        <w:rPr>
          <w:rFonts w:ascii="Arial" w:hAnsi="Arial" w:cs="Arial"/>
          <w:sz w:val="22"/>
          <w:szCs w:val="22"/>
        </w:rPr>
        <w:t>Telcos</w:t>
      </w:r>
      <w:proofErr w:type="spellEnd"/>
      <w:r w:rsidRPr="00422150">
        <w:rPr>
          <w:rFonts w:ascii="Arial" w:hAnsi="Arial" w:cs="Arial"/>
          <w:sz w:val="22"/>
          <w:szCs w:val="22"/>
        </w:rPr>
        <w:t xml:space="preserve"> to transition from capital-intensive investments (</w:t>
      </w:r>
      <w:proofErr w:type="spellStart"/>
      <w:r w:rsidRPr="00422150">
        <w:rPr>
          <w:rFonts w:ascii="Arial" w:hAnsi="Arial" w:cs="Arial"/>
          <w:sz w:val="22"/>
          <w:szCs w:val="22"/>
        </w:rPr>
        <w:t>CapEx</w:t>
      </w:r>
      <w:proofErr w:type="spellEnd"/>
      <w:r w:rsidRPr="00422150">
        <w:rPr>
          <w:rFonts w:ascii="Arial" w:hAnsi="Arial" w:cs="Arial"/>
          <w:sz w:val="22"/>
          <w:szCs w:val="22"/>
        </w:rPr>
        <w:t>) to an operational expenditure (</w:t>
      </w:r>
      <w:proofErr w:type="spellStart"/>
      <w:r w:rsidRPr="00422150">
        <w:rPr>
          <w:rFonts w:ascii="Arial" w:hAnsi="Arial" w:cs="Arial"/>
          <w:sz w:val="22"/>
          <w:szCs w:val="22"/>
        </w:rPr>
        <w:t>OpEx</w:t>
      </w:r>
      <w:proofErr w:type="spellEnd"/>
      <w:r w:rsidRPr="00422150">
        <w:rPr>
          <w:rFonts w:ascii="Arial" w:hAnsi="Arial" w:cs="Arial"/>
          <w:sz w:val="22"/>
          <w:szCs w:val="22"/>
        </w:rPr>
        <w:t>) approach, allowing them to focus their capital on core business operations. GTL Infra was the first independent tower company in India to be listed on the stock exchanges.</w:t>
      </w:r>
    </w:p>
    <w:p w14:paraId="2E60350D" w14:textId="6ED7DB16" w:rsidR="00E11206" w:rsidRPr="00A8417C" w:rsidRDefault="00E11206" w:rsidP="00496100">
      <w:pPr>
        <w:pStyle w:val="ListParagraph"/>
        <w:spacing w:line="360" w:lineRule="auto"/>
        <w:ind w:left="142" w:right="-23"/>
        <w:jc w:val="both"/>
        <w:rPr>
          <w:rFonts w:ascii="Arial" w:hAnsi="Arial" w:cs="Arial"/>
          <w:b/>
          <w:sz w:val="22"/>
          <w:szCs w:val="22"/>
          <w:lang w:val="en-IN"/>
        </w:rPr>
      </w:pPr>
      <w:r w:rsidRPr="00A8417C">
        <w:rPr>
          <w:rFonts w:ascii="Arial" w:hAnsi="Arial" w:cs="Arial"/>
          <w:color w:val="000000" w:themeColor="text1"/>
          <w:sz w:val="22"/>
          <w:szCs w:val="22"/>
        </w:rPr>
        <w:t>The incorporation details of the Project Company ar</w:t>
      </w:r>
      <w:r w:rsidR="00EF4B8E" w:rsidRPr="00A8417C">
        <w:rPr>
          <w:rFonts w:ascii="Arial" w:hAnsi="Arial" w:cs="Arial"/>
          <w:color w:val="000000" w:themeColor="text1"/>
          <w:sz w:val="22"/>
          <w:szCs w:val="22"/>
        </w:rPr>
        <w:t xml:space="preserve">e provided in the table below: </w:t>
      </w:r>
    </w:p>
    <w:tbl>
      <w:tblPr>
        <w:tblStyle w:val="TableGrid1"/>
        <w:tblW w:w="4942" w:type="pct"/>
        <w:tblInd w:w="137" w:type="dxa"/>
        <w:tblLook w:val="0000" w:firstRow="0" w:lastRow="0" w:firstColumn="0" w:lastColumn="0" w:noHBand="0" w:noVBand="0"/>
      </w:tblPr>
      <w:tblGrid>
        <w:gridCol w:w="2835"/>
        <w:gridCol w:w="6520"/>
      </w:tblGrid>
      <w:tr w:rsidR="006A0EB3" w:rsidRPr="000714BC" w14:paraId="60CC7D93" w14:textId="77777777" w:rsidTr="00422150">
        <w:trPr>
          <w:trHeight w:val="173"/>
        </w:trPr>
        <w:tc>
          <w:tcPr>
            <w:tcW w:w="5000" w:type="pct"/>
            <w:gridSpan w:val="2"/>
            <w:shd w:val="clear" w:color="auto" w:fill="002060"/>
          </w:tcPr>
          <w:p w14:paraId="1EB354E4" w14:textId="6C63E341" w:rsidR="006A0EB3" w:rsidRPr="000714BC" w:rsidRDefault="006A0EB3" w:rsidP="0052160F">
            <w:pPr>
              <w:autoSpaceDE w:val="0"/>
              <w:autoSpaceDN w:val="0"/>
              <w:adjustRightInd w:val="0"/>
              <w:spacing w:line="360" w:lineRule="auto"/>
              <w:jc w:val="center"/>
              <w:rPr>
                <w:rFonts w:asciiTheme="minorHAnsi" w:hAnsiTheme="minorHAnsi" w:cstheme="minorHAnsi"/>
                <w:b/>
                <w:bCs/>
                <w:color w:val="000000"/>
                <w:sz w:val="22"/>
                <w:szCs w:val="22"/>
                <w:lang w:val="en-IN"/>
              </w:rPr>
            </w:pPr>
            <w:r w:rsidRPr="000714BC">
              <w:rPr>
                <w:rFonts w:asciiTheme="minorHAnsi" w:hAnsiTheme="minorHAnsi" w:cstheme="minorHAnsi"/>
                <w:b/>
                <w:color w:val="FFFFFF" w:themeColor="background1"/>
                <w:sz w:val="22"/>
                <w:szCs w:val="22"/>
              </w:rPr>
              <w:t>INCORPORATION DETAILS OF THE COMPANY</w:t>
            </w:r>
          </w:p>
        </w:tc>
      </w:tr>
      <w:tr w:rsidR="006A0EB3" w:rsidRPr="000714BC" w14:paraId="3DBF89C6" w14:textId="77777777" w:rsidTr="00422150">
        <w:trPr>
          <w:trHeight w:val="109"/>
        </w:trPr>
        <w:tc>
          <w:tcPr>
            <w:tcW w:w="1515" w:type="pct"/>
            <w:vAlign w:val="center"/>
          </w:tcPr>
          <w:p w14:paraId="624ACEBF" w14:textId="3DDA7D36" w:rsidR="006A0EB3" w:rsidRPr="000714BC" w:rsidRDefault="006A0EB3"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Name of the Company </w:t>
            </w:r>
          </w:p>
        </w:tc>
        <w:tc>
          <w:tcPr>
            <w:tcW w:w="3485" w:type="pct"/>
            <w:vAlign w:val="center"/>
          </w:tcPr>
          <w:p w14:paraId="6AEA68B3" w14:textId="6B5D03AB" w:rsidR="006A0EB3" w:rsidRPr="000714BC" w:rsidRDefault="000714BC" w:rsidP="0052160F">
            <w:pPr>
              <w:autoSpaceDE w:val="0"/>
              <w:autoSpaceDN w:val="0"/>
              <w:adjustRightInd w:val="0"/>
              <w:spacing w:line="360" w:lineRule="auto"/>
              <w:rPr>
                <w:rFonts w:asciiTheme="minorHAnsi" w:hAnsiTheme="minorHAnsi" w:cstheme="minorHAnsi"/>
                <w:bCs/>
                <w:color w:val="000000"/>
                <w:sz w:val="22"/>
                <w:szCs w:val="22"/>
              </w:rPr>
            </w:pPr>
            <w:r w:rsidRPr="000714BC">
              <w:rPr>
                <w:rFonts w:asciiTheme="minorHAnsi" w:hAnsiTheme="minorHAnsi" w:cstheme="minorHAnsi"/>
                <w:bCs/>
                <w:color w:val="000000"/>
                <w:sz w:val="22"/>
                <w:szCs w:val="22"/>
              </w:rPr>
              <w:t xml:space="preserve">M/s </w:t>
            </w:r>
            <w:r w:rsidR="00894F25" w:rsidRPr="00894F25">
              <w:rPr>
                <w:rFonts w:asciiTheme="minorHAnsi" w:hAnsiTheme="minorHAnsi" w:cstheme="minorHAnsi"/>
                <w:bCs/>
                <w:color w:val="000000"/>
                <w:sz w:val="22"/>
                <w:szCs w:val="22"/>
              </w:rPr>
              <w:t>GTL INFRASTRUCTURE LTD</w:t>
            </w:r>
          </w:p>
        </w:tc>
      </w:tr>
      <w:tr w:rsidR="006A0EB3" w:rsidRPr="000714BC" w14:paraId="1909D38C" w14:textId="77777777" w:rsidTr="00422150">
        <w:trPr>
          <w:trHeight w:val="109"/>
        </w:trPr>
        <w:tc>
          <w:tcPr>
            <w:tcW w:w="1515" w:type="pct"/>
            <w:vAlign w:val="center"/>
          </w:tcPr>
          <w:p w14:paraId="4BBFF565" w14:textId="06BCD453" w:rsidR="006A0EB3" w:rsidRPr="000714BC" w:rsidRDefault="006A0EB3" w:rsidP="0052160F">
            <w:pPr>
              <w:autoSpaceDE w:val="0"/>
              <w:autoSpaceDN w:val="0"/>
              <w:adjustRightInd w:val="0"/>
              <w:spacing w:line="360" w:lineRule="auto"/>
              <w:rPr>
                <w:rFonts w:asciiTheme="minorHAnsi" w:hAnsiTheme="minorHAnsi" w:cstheme="minorHAnsi"/>
                <w:b/>
                <w:bCs/>
                <w:color w:val="000000"/>
                <w:sz w:val="22"/>
                <w:szCs w:val="22"/>
                <w:lang w:val="en-IN"/>
              </w:rPr>
            </w:pPr>
            <w:r w:rsidRPr="000714BC">
              <w:rPr>
                <w:rFonts w:asciiTheme="minorHAnsi" w:hAnsiTheme="minorHAnsi" w:cstheme="minorHAnsi"/>
                <w:b/>
                <w:bCs/>
                <w:color w:val="000000"/>
                <w:sz w:val="22"/>
                <w:szCs w:val="22"/>
                <w:lang w:val="en-IN"/>
              </w:rPr>
              <w:t xml:space="preserve">CIN </w:t>
            </w:r>
          </w:p>
        </w:tc>
        <w:tc>
          <w:tcPr>
            <w:tcW w:w="3485" w:type="pct"/>
            <w:vAlign w:val="center"/>
          </w:tcPr>
          <w:p w14:paraId="1E36027A" w14:textId="3DEA6C8F" w:rsidR="006A0EB3" w:rsidRPr="000714BC" w:rsidRDefault="00894F25" w:rsidP="0052160F">
            <w:pPr>
              <w:autoSpaceDE w:val="0"/>
              <w:autoSpaceDN w:val="0"/>
              <w:adjustRightInd w:val="0"/>
              <w:spacing w:line="360" w:lineRule="auto"/>
              <w:rPr>
                <w:rFonts w:asciiTheme="minorHAnsi" w:hAnsiTheme="minorHAnsi" w:cstheme="minorHAnsi"/>
                <w:bCs/>
                <w:color w:val="000000"/>
                <w:sz w:val="22"/>
                <w:szCs w:val="22"/>
              </w:rPr>
            </w:pPr>
            <w:bookmarkStart w:id="1" w:name="_Hlk189903650"/>
            <w:r w:rsidRPr="00894F25">
              <w:rPr>
                <w:rFonts w:asciiTheme="minorHAnsi" w:hAnsiTheme="minorHAnsi" w:cstheme="minorHAnsi"/>
                <w:bCs/>
                <w:color w:val="000000"/>
                <w:sz w:val="22"/>
                <w:szCs w:val="22"/>
              </w:rPr>
              <w:t>L74210MH2004PLC144367</w:t>
            </w:r>
            <w:bookmarkEnd w:id="1"/>
          </w:p>
        </w:tc>
      </w:tr>
      <w:tr w:rsidR="00E11206" w:rsidRPr="000714BC" w14:paraId="1CD2633D" w14:textId="77777777" w:rsidTr="00422150">
        <w:trPr>
          <w:trHeight w:val="436"/>
        </w:trPr>
        <w:tc>
          <w:tcPr>
            <w:tcW w:w="1515" w:type="pct"/>
            <w:vAlign w:val="center"/>
          </w:tcPr>
          <w:p w14:paraId="78153663" w14:textId="62C55D8F" w:rsidR="00E11206" w:rsidRPr="000714BC"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Address </w:t>
            </w:r>
          </w:p>
        </w:tc>
        <w:tc>
          <w:tcPr>
            <w:tcW w:w="3485" w:type="pct"/>
          </w:tcPr>
          <w:p w14:paraId="3F939BF2" w14:textId="5A2A1814" w:rsidR="00445EE1" w:rsidRPr="000714BC" w:rsidRDefault="000714BC" w:rsidP="00747B31">
            <w:pPr>
              <w:spacing w:line="276" w:lineRule="auto"/>
              <w:jc w:val="both"/>
              <w:rPr>
                <w:rFonts w:asciiTheme="minorHAnsi" w:hAnsiTheme="minorHAnsi" w:cstheme="minorHAnsi"/>
                <w:b/>
                <w:bCs/>
                <w:color w:val="000000"/>
                <w:sz w:val="22"/>
                <w:szCs w:val="22"/>
                <w:u w:val="single"/>
              </w:rPr>
            </w:pPr>
            <w:r w:rsidRPr="000714BC">
              <w:rPr>
                <w:rFonts w:asciiTheme="minorHAnsi" w:hAnsiTheme="minorHAnsi" w:cstheme="minorHAnsi"/>
                <w:b/>
                <w:bCs/>
                <w:color w:val="000000"/>
                <w:sz w:val="22"/>
                <w:szCs w:val="22"/>
                <w:u w:val="single"/>
                <w:lang w:val="en-IN"/>
              </w:rPr>
              <w:t>Registered Office:</w:t>
            </w:r>
            <w:r w:rsidRPr="000714BC">
              <w:rPr>
                <w:rFonts w:asciiTheme="minorHAnsi" w:hAnsiTheme="minorHAnsi" w:cstheme="minorHAnsi"/>
                <w:b/>
                <w:bCs/>
                <w:color w:val="000000"/>
                <w:sz w:val="22"/>
                <w:szCs w:val="22"/>
                <w:lang w:val="en-IN"/>
              </w:rPr>
              <w:t xml:space="preserve"> </w:t>
            </w:r>
            <w:r w:rsidR="00894F25" w:rsidRPr="00894F25">
              <w:rPr>
                <w:rFonts w:asciiTheme="minorHAnsi" w:hAnsiTheme="minorHAnsi" w:cstheme="minorHAnsi"/>
                <w:color w:val="000000"/>
                <w:sz w:val="22"/>
                <w:szCs w:val="22"/>
              </w:rPr>
              <w:t xml:space="preserve">7th Floor, Building No. A, Plot No. EL - 207, MIDC, TTC Industrial Area, </w:t>
            </w:r>
            <w:proofErr w:type="spellStart"/>
            <w:r w:rsidR="00894F25" w:rsidRPr="00894F25">
              <w:rPr>
                <w:rFonts w:asciiTheme="minorHAnsi" w:hAnsiTheme="minorHAnsi" w:cstheme="minorHAnsi"/>
                <w:color w:val="000000"/>
                <w:sz w:val="22"/>
                <w:szCs w:val="22"/>
              </w:rPr>
              <w:t>Mahape</w:t>
            </w:r>
            <w:proofErr w:type="spellEnd"/>
            <w:r w:rsidR="00894F25" w:rsidRPr="00894F25">
              <w:rPr>
                <w:rFonts w:asciiTheme="minorHAnsi" w:hAnsiTheme="minorHAnsi" w:cstheme="minorHAnsi"/>
                <w:color w:val="000000"/>
                <w:sz w:val="22"/>
                <w:szCs w:val="22"/>
              </w:rPr>
              <w:t xml:space="preserve">, </w:t>
            </w:r>
            <w:proofErr w:type="spellStart"/>
            <w:r w:rsidR="00894F25" w:rsidRPr="00894F25">
              <w:rPr>
                <w:rFonts w:asciiTheme="minorHAnsi" w:hAnsiTheme="minorHAnsi" w:cstheme="minorHAnsi"/>
                <w:color w:val="000000"/>
                <w:sz w:val="22"/>
                <w:szCs w:val="22"/>
              </w:rPr>
              <w:t>Navi</w:t>
            </w:r>
            <w:proofErr w:type="spellEnd"/>
            <w:r w:rsidR="00894F25" w:rsidRPr="00894F25">
              <w:rPr>
                <w:rFonts w:asciiTheme="minorHAnsi" w:hAnsiTheme="minorHAnsi" w:cstheme="minorHAnsi"/>
                <w:color w:val="000000"/>
                <w:sz w:val="22"/>
                <w:szCs w:val="22"/>
              </w:rPr>
              <w:t xml:space="preserve"> Mumbai, Thane, Thane, Thane, Maharashtra</w:t>
            </w:r>
            <w:r w:rsidR="00422150">
              <w:rPr>
                <w:rFonts w:asciiTheme="minorHAnsi" w:hAnsiTheme="minorHAnsi" w:cstheme="minorHAnsi"/>
                <w:color w:val="000000"/>
                <w:sz w:val="22"/>
                <w:szCs w:val="22"/>
              </w:rPr>
              <w:t>-</w:t>
            </w:r>
            <w:r w:rsidR="00894F25" w:rsidRPr="00894F25">
              <w:rPr>
                <w:rFonts w:asciiTheme="minorHAnsi" w:hAnsiTheme="minorHAnsi" w:cstheme="minorHAnsi"/>
                <w:color w:val="000000"/>
                <w:sz w:val="22"/>
                <w:szCs w:val="22"/>
              </w:rPr>
              <w:t xml:space="preserve"> 400710</w:t>
            </w:r>
            <w:r w:rsidR="00422150">
              <w:rPr>
                <w:rFonts w:asciiTheme="minorHAnsi" w:hAnsiTheme="minorHAnsi" w:cstheme="minorHAnsi"/>
                <w:color w:val="000000"/>
                <w:sz w:val="22"/>
                <w:szCs w:val="22"/>
              </w:rPr>
              <w:t>.</w:t>
            </w:r>
          </w:p>
        </w:tc>
      </w:tr>
      <w:tr w:rsidR="00E11206" w:rsidRPr="000714BC" w14:paraId="5777599E" w14:textId="77777777" w:rsidTr="00422150">
        <w:trPr>
          <w:trHeight w:val="109"/>
        </w:trPr>
        <w:tc>
          <w:tcPr>
            <w:tcW w:w="1515" w:type="pct"/>
            <w:vAlign w:val="center"/>
          </w:tcPr>
          <w:p w14:paraId="4E35EA35" w14:textId="77777777" w:rsidR="00E11206" w:rsidRPr="000714BC"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Constitution </w:t>
            </w:r>
          </w:p>
        </w:tc>
        <w:tc>
          <w:tcPr>
            <w:tcW w:w="3485" w:type="pct"/>
            <w:vAlign w:val="center"/>
          </w:tcPr>
          <w:p w14:paraId="0566E54C" w14:textId="77777777" w:rsidR="00E11206" w:rsidRPr="000714BC" w:rsidRDefault="00E11206"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
              </w:rPr>
            </w:pPr>
            <w:r w:rsidRPr="000714BC">
              <w:rPr>
                <w:rFonts w:asciiTheme="minorHAnsi" w:eastAsiaTheme="minorHAnsi" w:hAnsiTheme="minorHAnsi" w:cstheme="minorHAnsi"/>
                <w:sz w:val="22"/>
                <w:szCs w:val="22"/>
                <w:lang w:val="en-IN"/>
              </w:rPr>
              <w:t>Public Limited Company / Limited by Shares</w:t>
            </w:r>
          </w:p>
        </w:tc>
      </w:tr>
      <w:tr w:rsidR="00E11206" w:rsidRPr="000714BC" w14:paraId="31B6237A" w14:textId="77777777" w:rsidTr="00422150">
        <w:trPr>
          <w:trHeight w:val="109"/>
        </w:trPr>
        <w:tc>
          <w:tcPr>
            <w:tcW w:w="1515" w:type="pct"/>
            <w:vAlign w:val="center"/>
          </w:tcPr>
          <w:p w14:paraId="18B5E768" w14:textId="77777777" w:rsidR="00E11206" w:rsidRPr="000714BC"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Date of Incorporation </w:t>
            </w:r>
          </w:p>
        </w:tc>
        <w:tc>
          <w:tcPr>
            <w:tcW w:w="3485" w:type="pct"/>
            <w:vAlign w:val="center"/>
          </w:tcPr>
          <w:p w14:paraId="157B2E91" w14:textId="029849A7" w:rsidR="00E11206" w:rsidRPr="000714BC" w:rsidRDefault="00894F25"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hAnsiTheme="minorHAnsi" w:cstheme="minorHAnsi"/>
                <w:color w:val="1D1D1C"/>
                <w:sz w:val="22"/>
                <w:szCs w:val="22"/>
                <w:lang w:val="en-IN"/>
              </w:rPr>
            </w:pPr>
            <w:r>
              <w:rPr>
                <w:rFonts w:asciiTheme="minorHAnsi" w:eastAsiaTheme="minorHAnsi" w:hAnsiTheme="minorHAnsi" w:cstheme="minorHAnsi"/>
                <w:sz w:val="22"/>
                <w:szCs w:val="22"/>
                <w:lang w:val="en-IN"/>
              </w:rPr>
              <w:t>04/02/</w:t>
            </w:r>
            <w:r w:rsidR="00EF4B8E" w:rsidRPr="000714BC">
              <w:rPr>
                <w:rFonts w:asciiTheme="minorHAnsi" w:eastAsiaTheme="minorHAnsi" w:hAnsiTheme="minorHAnsi" w:cstheme="minorHAnsi"/>
                <w:sz w:val="22"/>
                <w:szCs w:val="22"/>
                <w:lang w:val="en-IN"/>
              </w:rPr>
              <w:t>200</w:t>
            </w:r>
            <w:r>
              <w:rPr>
                <w:rFonts w:asciiTheme="minorHAnsi" w:eastAsiaTheme="minorHAnsi" w:hAnsiTheme="minorHAnsi" w:cstheme="minorHAnsi"/>
                <w:sz w:val="22"/>
                <w:szCs w:val="22"/>
                <w:lang w:val="en-IN"/>
              </w:rPr>
              <w:t>4</w:t>
            </w:r>
          </w:p>
        </w:tc>
      </w:tr>
      <w:tr w:rsidR="00894F25" w:rsidRPr="000714BC" w14:paraId="463F3D4D" w14:textId="77777777" w:rsidTr="00422150">
        <w:trPr>
          <w:trHeight w:val="109"/>
        </w:trPr>
        <w:tc>
          <w:tcPr>
            <w:tcW w:w="1515" w:type="pct"/>
            <w:vAlign w:val="center"/>
          </w:tcPr>
          <w:p w14:paraId="5CCD7D04" w14:textId="55A4B7A7" w:rsidR="00894F25" w:rsidRPr="000714BC" w:rsidRDefault="00894F25" w:rsidP="0052160F">
            <w:pPr>
              <w:autoSpaceDE w:val="0"/>
              <w:autoSpaceDN w:val="0"/>
              <w:adjustRightInd w:val="0"/>
              <w:spacing w:line="360" w:lineRule="auto"/>
              <w:rPr>
                <w:rFonts w:asciiTheme="minorHAnsi" w:hAnsiTheme="minorHAnsi" w:cstheme="minorHAnsi"/>
                <w:b/>
                <w:bCs/>
                <w:color w:val="000000"/>
                <w:sz w:val="22"/>
                <w:szCs w:val="22"/>
                <w:lang w:val="en-IN"/>
              </w:rPr>
            </w:pPr>
            <w:r>
              <w:rPr>
                <w:rFonts w:asciiTheme="minorHAnsi" w:hAnsiTheme="minorHAnsi" w:cstheme="minorHAnsi"/>
                <w:b/>
                <w:bCs/>
                <w:color w:val="000000"/>
                <w:sz w:val="22"/>
                <w:szCs w:val="22"/>
                <w:lang w:val="en-IN"/>
              </w:rPr>
              <w:t>Registration Number</w:t>
            </w:r>
          </w:p>
        </w:tc>
        <w:tc>
          <w:tcPr>
            <w:tcW w:w="3485" w:type="pct"/>
            <w:vAlign w:val="center"/>
          </w:tcPr>
          <w:p w14:paraId="5241ED73" w14:textId="4989933E" w:rsidR="00894F25" w:rsidRDefault="00894F25"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144367</w:t>
            </w:r>
          </w:p>
        </w:tc>
      </w:tr>
      <w:tr w:rsidR="00894F25" w:rsidRPr="000714BC" w14:paraId="7EA8ADFB" w14:textId="77777777" w:rsidTr="00422150">
        <w:trPr>
          <w:trHeight w:val="109"/>
        </w:trPr>
        <w:tc>
          <w:tcPr>
            <w:tcW w:w="1515" w:type="pct"/>
            <w:vAlign w:val="center"/>
          </w:tcPr>
          <w:p w14:paraId="4576896A" w14:textId="776356E8" w:rsidR="00894F25" w:rsidRDefault="00894F25" w:rsidP="0052160F">
            <w:pPr>
              <w:autoSpaceDE w:val="0"/>
              <w:autoSpaceDN w:val="0"/>
              <w:adjustRightInd w:val="0"/>
              <w:spacing w:line="360" w:lineRule="auto"/>
              <w:rPr>
                <w:rFonts w:asciiTheme="minorHAnsi" w:hAnsiTheme="minorHAnsi" w:cstheme="minorHAnsi"/>
                <w:b/>
                <w:bCs/>
                <w:color w:val="000000"/>
                <w:sz w:val="22"/>
                <w:szCs w:val="22"/>
                <w:lang w:val="en-IN"/>
              </w:rPr>
            </w:pPr>
            <w:r>
              <w:rPr>
                <w:rFonts w:asciiTheme="minorHAnsi" w:hAnsiTheme="minorHAnsi" w:cstheme="minorHAnsi"/>
                <w:b/>
                <w:bCs/>
                <w:color w:val="000000"/>
                <w:sz w:val="22"/>
                <w:szCs w:val="22"/>
                <w:lang w:val="en-IN"/>
              </w:rPr>
              <w:t>ROC</w:t>
            </w:r>
          </w:p>
        </w:tc>
        <w:tc>
          <w:tcPr>
            <w:tcW w:w="3485" w:type="pct"/>
            <w:vAlign w:val="center"/>
          </w:tcPr>
          <w:p w14:paraId="6F828EAE" w14:textId="452150EB" w:rsidR="00894F25" w:rsidRDefault="00894F25"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ROC Mumbai</w:t>
            </w:r>
          </w:p>
        </w:tc>
      </w:tr>
      <w:tr w:rsidR="00894F25" w:rsidRPr="000714BC" w14:paraId="57488FF7" w14:textId="77777777" w:rsidTr="00422150">
        <w:trPr>
          <w:trHeight w:val="109"/>
        </w:trPr>
        <w:tc>
          <w:tcPr>
            <w:tcW w:w="1515" w:type="pct"/>
            <w:vAlign w:val="center"/>
          </w:tcPr>
          <w:p w14:paraId="761FBF66" w14:textId="435F34C9" w:rsidR="00894F25" w:rsidRDefault="00894F25" w:rsidP="0052160F">
            <w:pPr>
              <w:autoSpaceDE w:val="0"/>
              <w:autoSpaceDN w:val="0"/>
              <w:adjustRightInd w:val="0"/>
              <w:spacing w:line="360" w:lineRule="auto"/>
              <w:rPr>
                <w:rFonts w:asciiTheme="minorHAnsi" w:hAnsiTheme="minorHAnsi" w:cstheme="minorHAnsi"/>
                <w:b/>
                <w:bCs/>
                <w:color w:val="000000"/>
                <w:sz w:val="22"/>
                <w:szCs w:val="22"/>
                <w:lang w:val="en-IN"/>
              </w:rPr>
            </w:pPr>
            <w:r w:rsidRPr="00894F25">
              <w:rPr>
                <w:rFonts w:asciiTheme="minorHAnsi" w:hAnsiTheme="minorHAnsi" w:cstheme="minorHAnsi"/>
                <w:b/>
                <w:bCs/>
                <w:color w:val="000000"/>
                <w:sz w:val="22"/>
                <w:szCs w:val="22"/>
              </w:rPr>
              <w:t>Listed in Stock Exchange(s) </w:t>
            </w:r>
          </w:p>
        </w:tc>
        <w:tc>
          <w:tcPr>
            <w:tcW w:w="3485" w:type="pct"/>
            <w:vAlign w:val="center"/>
          </w:tcPr>
          <w:p w14:paraId="3AFEAD3B" w14:textId="4223C251" w:rsidR="00894F25" w:rsidRDefault="00894F25"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Yes</w:t>
            </w:r>
          </w:p>
        </w:tc>
      </w:tr>
      <w:tr w:rsidR="00E11206" w:rsidRPr="000714BC" w14:paraId="1D70968A" w14:textId="77777777" w:rsidTr="00422150">
        <w:trPr>
          <w:trHeight w:val="109"/>
        </w:trPr>
        <w:tc>
          <w:tcPr>
            <w:tcW w:w="1515" w:type="pct"/>
            <w:vAlign w:val="center"/>
          </w:tcPr>
          <w:p w14:paraId="337BDF01" w14:textId="77777777" w:rsidR="00E11206" w:rsidRPr="000714BC" w:rsidRDefault="00E11206" w:rsidP="0052160F">
            <w:pPr>
              <w:autoSpaceDE w:val="0"/>
              <w:autoSpaceDN w:val="0"/>
              <w:adjustRightInd w:val="0"/>
              <w:spacing w:line="360" w:lineRule="auto"/>
              <w:rPr>
                <w:rFonts w:asciiTheme="minorHAnsi" w:hAnsiTheme="minorHAnsi" w:cstheme="minorHAnsi"/>
                <w:b/>
                <w:color w:val="000000"/>
                <w:sz w:val="22"/>
                <w:szCs w:val="22"/>
                <w:lang w:val="en-IN"/>
              </w:rPr>
            </w:pPr>
            <w:r w:rsidRPr="000714BC">
              <w:rPr>
                <w:rFonts w:asciiTheme="minorHAnsi" w:hAnsiTheme="minorHAnsi" w:cstheme="minorHAnsi"/>
                <w:b/>
                <w:color w:val="000000"/>
                <w:sz w:val="22"/>
                <w:szCs w:val="22"/>
                <w:lang w:val="en-IN"/>
              </w:rPr>
              <w:t xml:space="preserve">Authorised Capital </w:t>
            </w:r>
          </w:p>
        </w:tc>
        <w:tc>
          <w:tcPr>
            <w:tcW w:w="3485" w:type="pct"/>
            <w:shd w:val="clear" w:color="auto" w:fill="auto"/>
            <w:vAlign w:val="center"/>
          </w:tcPr>
          <w:p w14:paraId="3227017B" w14:textId="7B4B18CC" w:rsidR="00E11206" w:rsidRPr="000714BC"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sidRPr="000714BC">
              <w:rPr>
                <w:rFonts w:asciiTheme="minorHAnsi" w:eastAsiaTheme="minorHAnsi" w:hAnsiTheme="minorHAnsi" w:cstheme="minorHAnsi"/>
                <w:sz w:val="22"/>
                <w:szCs w:val="22"/>
                <w:lang w:val="en-IN"/>
              </w:rPr>
              <w:t xml:space="preserve">INR </w:t>
            </w:r>
            <w:r w:rsidR="00894F25" w:rsidRPr="00894F25">
              <w:rPr>
                <w:rFonts w:asciiTheme="minorHAnsi" w:eastAsiaTheme="minorHAnsi" w:hAnsiTheme="minorHAnsi" w:cstheme="minorHAnsi"/>
                <w:sz w:val="22"/>
                <w:szCs w:val="22"/>
              </w:rPr>
              <w:t>1,80,00,00,00,000</w:t>
            </w:r>
          </w:p>
        </w:tc>
      </w:tr>
      <w:tr w:rsidR="00E11206" w:rsidRPr="000714BC" w14:paraId="0C847EAB" w14:textId="77777777" w:rsidTr="00422150">
        <w:trPr>
          <w:trHeight w:val="109"/>
        </w:trPr>
        <w:tc>
          <w:tcPr>
            <w:tcW w:w="1515" w:type="pct"/>
            <w:vAlign w:val="center"/>
          </w:tcPr>
          <w:p w14:paraId="034BF139" w14:textId="77777777" w:rsidR="00E11206" w:rsidRPr="000714BC" w:rsidRDefault="00E11206" w:rsidP="0052160F">
            <w:pPr>
              <w:autoSpaceDE w:val="0"/>
              <w:autoSpaceDN w:val="0"/>
              <w:adjustRightInd w:val="0"/>
              <w:spacing w:line="360" w:lineRule="auto"/>
              <w:rPr>
                <w:rFonts w:asciiTheme="minorHAnsi" w:hAnsiTheme="minorHAnsi" w:cstheme="minorHAnsi"/>
                <w:b/>
                <w:color w:val="000000"/>
                <w:sz w:val="22"/>
                <w:szCs w:val="22"/>
                <w:lang w:val="en-IN"/>
              </w:rPr>
            </w:pPr>
            <w:r w:rsidRPr="000714BC">
              <w:rPr>
                <w:rFonts w:asciiTheme="minorHAnsi" w:hAnsiTheme="minorHAnsi" w:cstheme="minorHAnsi"/>
                <w:b/>
                <w:color w:val="000000"/>
                <w:sz w:val="22"/>
                <w:szCs w:val="22"/>
                <w:lang w:val="en-IN"/>
              </w:rPr>
              <w:t xml:space="preserve">Paid up Capital (Equity) </w:t>
            </w:r>
          </w:p>
        </w:tc>
        <w:tc>
          <w:tcPr>
            <w:tcW w:w="3485" w:type="pct"/>
            <w:shd w:val="clear" w:color="auto" w:fill="auto"/>
            <w:vAlign w:val="center"/>
          </w:tcPr>
          <w:p w14:paraId="1371B6F5" w14:textId="27FDFF58" w:rsidR="00E11206" w:rsidRPr="000714BC"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sidRPr="000714BC">
              <w:rPr>
                <w:rFonts w:asciiTheme="minorHAnsi" w:eastAsiaTheme="minorHAnsi" w:hAnsiTheme="minorHAnsi" w:cstheme="minorHAnsi"/>
                <w:sz w:val="22"/>
                <w:szCs w:val="22"/>
                <w:lang w:val="en-IN"/>
              </w:rPr>
              <w:t xml:space="preserve">INR </w:t>
            </w:r>
            <w:r w:rsidR="00894F25" w:rsidRPr="00894F25">
              <w:rPr>
                <w:rFonts w:asciiTheme="minorHAnsi" w:eastAsiaTheme="minorHAnsi" w:hAnsiTheme="minorHAnsi" w:cstheme="minorHAnsi"/>
                <w:sz w:val="22"/>
                <w:szCs w:val="22"/>
              </w:rPr>
              <w:t>1,28,09,11,18,950</w:t>
            </w:r>
          </w:p>
        </w:tc>
      </w:tr>
      <w:tr w:rsidR="00894F25" w:rsidRPr="000714BC" w14:paraId="30ADCEAC" w14:textId="77777777" w:rsidTr="00422150">
        <w:trPr>
          <w:trHeight w:val="109"/>
        </w:trPr>
        <w:tc>
          <w:tcPr>
            <w:tcW w:w="1515" w:type="pct"/>
            <w:vAlign w:val="center"/>
          </w:tcPr>
          <w:p w14:paraId="0DBB0F66" w14:textId="25F1C535" w:rsidR="00894F25" w:rsidRPr="000714BC" w:rsidRDefault="00894F25" w:rsidP="0052160F">
            <w:pPr>
              <w:autoSpaceDE w:val="0"/>
              <w:autoSpaceDN w:val="0"/>
              <w:adjustRightInd w:val="0"/>
              <w:spacing w:line="360" w:lineRule="auto"/>
              <w:rPr>
                <w:rFonts w:asciiTheme="minorHAnsi" w:hAnsiTheme="minorHAnsi" w:cstheme="minorHAnsi"/>
                <w:b/>
                <w:color w:val="000000"/>
                <w:sz w:val="22"/>
                <w:szCs w:val="22"/>
                <w:lang w:val="en-IN"/>
              </w:rPr>
            </w:pPr>
            <w:r>
              <w:rPr>
                <w:rFonts w:asciiTheme="minorHAnsi" w:hAnsiTheme="minorHAnsi" w:cstheme="minorHAnsi"/>
                <w:b/>
                <w:color w:val="000000"/>
                <w:sz w:val="22"/>
                <w:szCs w:val="22"/>
                <w:lang w:val="en-IN"/>
              </w:rPr>
              <w:t>Date of Last AGM</w:t>
            </w:r>
          </w:p>
        </w:tc>
        <w:tc>
          <w:tcPr>
            <w:tcW w:w="3485" w:type="pct"/>
            <w:shd w:val="clear" w:color="auto" w:fill="auto"/>
            <w:vAlign w:val="center"/>
          </w:tcPr>
          <w:p w14:paraId="5C4A7D17" w14:textId="68D1C8F8" w:rsidR="00894F25" w:rsidRPr="000714BC" w:rsidRDefault="00894F25"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12/09/2024</w:t>
            </w:r>
          </w:p>
        </w:tc>
      </w:tr>
      <w:tr w:rsidR="00894F25" w:rsidRPr="000714BC" w14:paraId="391EDE6E" w14:textId="77777777" w:rsidTr="00422150">
        <w:trPr>
          <w:trHeight w:val="109"/>
        </w:trPr>
        <w:tc>
          <w:tcPr>
            <w:tcW w:w="1515" w:type="pct"/>
            <w:vAlign w:val="center"/>
          </w:tcPr>
          <w:p w14:paraId="42BA8B72" w14:textId="577EEB42" w:rsidR="00894F25" w:rsidRPr="000714BC" w:rsidRDefault="00894F25" w:rsidP="0052160F">
            <w:pPr>
              <w:autoSpaceDE w:val="0"/>
              <w:autoSpaceDN w:val="0"/>
              <w:adjustRightInd w:val="0"/>
              <w:spacing w:line="360" w:lineRule="auto"/>
              <w:rPr>
                <w:rFonts w:asciiTheme="minorHAnsi" w:hAnsiTheme="minorHAnsi" w:cstheme="minorHAnsi"/>
                <w:b/>
                <w:color w:val="000000"/>
                <w:sz w:val="22"/>
                <w:szCs w:val="22"/>
                <w:lang w:val="en-IN"/>
              </w:rPr>
            </w:pPr>
            <w:r>
              <w:rPr>
                <w:rFonts w:asciiTheme="minorHAnsi" w:hAnsiTheme="minorHAnsi" w:cstheme="minorHAnsi"/>
                <w:b/>
                <w:color w:val="000000"/>
                <w:sz w:val="22"/>
                <w:szCs w:val="22"/>
                <w:lang w:val="en-IN"/>
              </w:rPr>
              <w:t>Date of Last Balance Sheet</w:t>
            </w:r>
          </w:p>
        </w:tc>
        <w:tc>
          <w:tcPr>
            <w:tcW w:w="3485" w:type="pct"/>
            <w:shd w:val="clear" w:color="auto" w:fill="auto"/>
            <w:vAlign w:val="center"/>
          </w:tcPr>
          <w:p w14:paraId="0984723A" w14:textId="03FAFA01" w:rsidR="00894F25" w:rsidRPr="000714BC" w:rsidRDefault="00894F25"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31/03/2024</w:t>
            </w:r>
          </w:p>
        </w:tc>
      </w:tr>
    </w:tbl>
    <w:p w14:paraId="52D5CD11" w14:textId="2C92B294" w:rsidR="004B5B00" w:rsidRDefault="004C1C3E" w:rsidP="004C1C3E">
      <w:pPr>
        <w:pStyle w:val="DefaultText11"/>
        <w:spacing w:after="0" w:line="240" w:lineRule="auto"/>
        <w:jc w:val="right"/>
        <w:rPr>
          <w:rFonts w:ascii="Arial" w:hAnsi="Arial" w:cs="Arial"/>
          <w:i/>
          <w:sz w:val="20"/>
          <w:szCs w:val="22"/>
        </w:rPr>
      </w:pPr>
      <w:r w:rsidRPr="003301E0">
        <w:rPr>
          <w:rFonts w:ascii="Arial" w:hAnsi="Arial" w:cs="Arial"/>
          <w:b/>
          <w:i/>
          <w:sz w:val="20"/>
          <w:szCs w:val="22"/>
        </w:rPr>
        <w:t>Source:</w:t>
      </w:r>
      <w:r w:rsidRPr="003301E0">
        <w:rPr>
          <w:rFonts w:ascii="Arial" w:hAnsi="Arial" w:cs="Arial"/>
          <w:i/>
          <w:sz w:val="20"/>
          <w:szCs w:val="22"/>
        </w:rPr>
        <w:t xml:space="preserve"> Information provided by the client and Data extracted from MCA </w:t>
      </w:r>
    </w:p>
    <w:p w14:paraId="12D990CA" w14:textId="77777777" w:rsidR="004C1C3E" w:rsidRPr="004C1C3E" w:rsidRDefault="004C1C3E" w:rsidP="004C1C3E">
      <w:pPr>
        <w:pStyle w:val="DefaultText11"/>
        <w:spacing w:after="0" w:line="240" w:lineRule="auto"/>
        <w:jc w:val="right"/>
        <w:rPr>
          <w:rFonts w:ascii="Arial" w:hAnsi="Arial" w:cs="Arial"/>
          <w:i/>
          <w:sz w:val="22"/>
          <w:szCs w:val="22"/>
        </w:rPr>
      </w:pPr>
    </w:p>
    <w:p w14:paraId="7F1E6885" w14:textId="72FE4903" w:rsidR="00894F25" w:rsidRDefault="00C31202" w:rsidP="00B07001">
      <w:pPr>
        <w:pStyle w:val="ListParagraph"/>
        <w:numPr>
          <w:ilvl w:val="0"/>
          <w:numId w:val="10"/>
        </w:numPr>
        <w:spacing w:line="360" w:lineRule="auto"/>
        <w:ind w:left="142" w:right="-23" w:hanging="426"/>
        <w:jc w:val="both"/>
        <w:rPr>
          <w:rFonts w:ascii="Arial" w:hAnsi="Arial" w:cs="Arial"/>
          <w:b/>
          <w:bCs/>
          <w:color w:val="222222"/>
          <w:sz w:val="22"/>
          <w:szCs w:val="22"/>
          <w:lang w:val="en-IN" w:eastAsia="en-IN"/>
        </w:rPr>
      </w:pPr>
      <w:r w:rsidRPr="00C31202">
        <w:rPr>
          <w:rFonts w:ascii="Arial" w:hAnsi="Arial" w:cs="Arial"/>
          <w:b/>
          <w:bCs/>
          <w:color w:val="222222"/>
          <w:sz w:val="22"/>
          <w:szCs w:val="22"/>
          <w:lang w:val="en-IN" w:eastAsia="en-IN"/>
        </w:rPr>
        <w:t>KEY PERSONNEL OF THE COMPANY:</w:t>
      </w:r>
      <w:r>
        <w:rPr>
          <w:rFonts w:ascii="Arial" w:hAnsi="Arial" w:cs="Arial"/>
          <w:b/>
          <w:bCs/>
          <w:color w:val="222222"/>
          <w:sz w:val="22"/>
          <w:szCs w:val="22"/>
          <w:lang w:val="en-IN" w:eastAsia="en-IN"/>
        </w:rPr>
        <w:t xml:space="preserve"> </w:t>
      </w:r>
    </w:p>
    <w:p w14:paraId="2FF8A699" w14:textId="274E3A46" w:rsidR="00C31202" w:rsidRPr="00C31202" w:rsidRDefault="00C31202" w:rsidP="00894F25">
      <w:pPr>
        <w:pStyle w:val="ListParagraph"/>
        <w:spacing w:line="360" w:lineRule="auto"/>
        <w:ind w:left="142" w:right="-23"/>
        <w:jc w:val="both"/>
        <w:rPr>
          <w:rFonts w:ascii="Arial" w:hAnsi="Arial" w:cs="Arial"/>
          <w:b/>
          <w:bCs/>
          <w:color w:val="222222"/>
          <w:sz w:val="22"/>
          <w:szCs w:val="22"/>
          <w:lang w:val="en-IN" w:eastAsia="en-IN"/>
        </w:rPr>
      </w:pPr>
      <w:r w:rsidRPr="00C31202">
        <w:rPr>
          <w:rFonts w:ascii="Arial" w:hAnsi="Arial" w:cs="Arial"/>
          <w:color w:val="222222"/>
          <w:sz w:val="22"/>
          <w:szCs w:val="22"/>
          <w:lang w:val="en-IN" w:eastAsia="en-IN"/>
        </w:rPr>
        <w:t xml:space="preserve">Below </w:t>
      </w:r>
      <w:r>
        <w:rPr>
          <w:rFonts w:ascii="Arial" w:hAnsi="Arial" w:cs="Arial"/>
          <w:color w:val="222222"/>
          <w:sz w:val="22"/>
          <w:szCs w:val="22"/>
          <w:lang w:val="en-IN" w:eastAsia="en-IN"/>
        </w:rPr>
        <w:t>table shows the details of directors/promoters/key personnel of the company along with their DIN/PAN, Date of Appointment and Designation:</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977"/>
        <w:gridCol w:w="1417"/>
        <w:gridCol w:w="2238"/>
        <w:gridCol w:w="2015"/>
      </w:tblGrid>
      <w:tr w:rsidR="00894F25" w:rsidRPr="00C31202" w14:paraId="475887F2" w14:textId="77777777" w:rsidTr="00EC0B59">
        <w:trPr>
          <w:trHeight w:val="315"/>
        </w:trPr>
        <w:tc>
          <w:tcPr>
            <w:tcW w:w="596" w:type="dxa"/>
            <w:shd w:val="clear" w:color="auto" w:fill="002060"/>
            <w:noWrap/>
            <w:vAlign w:val="center"/>
            <w:hideMark/>
          </w:tcPr>
          <w:p w14:paraId="19C206A3" w14:textId="05730105" w:rsidR="00894F25" w:rsidRPr="00C31202" w:rsidRDefault="00894F25" w:rsidP="00EC0B59">
            <w:pPr>
              <w:spacing w:after="0" w:line="276"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S. NO.</w:t>
            </w:r>
          </w:p>
        </w:tc>
        <w:tc>
          <w:tcPr>
            <w:tcW w:w="2977" w:type="dxa"/>
            <w:shd w:val="clear" w:color="auto" w:fill="002060"/>
            <w:noWrap/>
            <w:vAlign w:val="center"/>
            <w:hideMark/>
          </w:tcPr>
          <w:p w14:paraId="43855A9B" w14:textId="5AA2CF9A" w:rsidR="00894F25" w:rsidRPr="00C31202" w:rsidRDefault="00894F25" w:rsidP="00EC0B59">
            <w:pPr>
              <w:spacing w:after="0" w:line="276"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NAME</w:t>
            </w:r>
          </w:p>
        </w:tc>
        <w:tc>
          <w:tcPr>
            <w:tcW w:w="1417" w:type="dxa"/>
            <w:shd w:val="clear" w:color="auto" w:fill="002060"/>
            <w:vAlign w:val="center"/>
          </w:tcPr>
          <w:p w14:paraId="05F3636D" w14:textId="271E73B6" w:rsidR="00894F25" w:rsidRPr="00C31202" w:rsidRDefault="00894F25" w:rsidP="00EC0B59">
            <w:pPr>
              <w:spacing w:after="0" w:line="276"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DIN/PAN</w:t>
            </w:r>
          </w:p>
        </w:tc>
        <w:tc>
          <w:tcPr>
            <w:tcW w:w="2238" w:type="dxa"/>
            <w:shd w:val="clear" w:color="auto" w:fill="002060"/>
            <w:noWrap/>
            <w:vAlign w:val="center"/>
            <w:hideMark/>
          </w:tcPr>
          <w:p w14:paraId="6D62C776" w14:textId="6DD0FFD4" w:rsidR="00894F25" w:rsidRPr="00C31202" w:rsidRDefault="00894F25" w:rsidP="00EC0B59">
            <w:pPr>
              <w:spacing w:after="0" w:line="276"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DESIGNATION</w:t>
            </w:r>
          </w:p>
        </w:tc>
        <w:tc>
          <w:tcPr>
            <w:tcW w:w="2015" w:type="dxa"/>
            <w:shd w:val="clear" w:color="auto" w:fill="002060"/>
            <w:noWrap/>
            <w:vAlign w:val="center"/>
            <w:hideMark/>
          </w:tcPr>
          <w:p w14:paraId="018ADD4D" w14:textId="5D64457A" w:rsidR="00894F25" w:rsidRPr="00C31202" w:rsidRDefault="00894F25" w:rsidP="00EC0B59">
            <w:pPr>
              <w:spacing w:after="0" w:line="276"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DATE OF APPOINTMENT</w:t>
            </w:r>
          </w:p>
        </w:tc>
      </w:tr>
      <w:tr w:rsidR="00894F25" w:rsidRPr="00C31202" w14:paraId="22345406" w14:textId="77777777" w:rsidTr="00894F25">
        <w:trPr>
          <w:trHeight w:val="315"/>
        </w:trPr>
        <w:tc>
          <w:tcPr>
            <w:tcW w:w="596" w:type="dxa"/>
            <w:shd w:val="clear" w:color="auto" w:fill="auto"/>
            <w:noWrap/>
            <w:vAlign w:val="center"/>
            <w:hideMark/>
          </w:tcPr>
          <w:p w14:paraId="2A6438DE" w14:textId="77777777"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1</w:t>
            </w:r>
          </w:p>
        </w:tc>
        <w:tc>
          <w:tcPr>
            <w:tcW w:w="2977" w:type="dxa"/>
            <w:shd w:val="clear" w:color="auto" w:fill="auto"/>
            <w:noWrap/>
            <w:vAlign w:val="center"/>
          </w:tcPr>
          <w:p w14:paraId="61E65571" w14:textId="3811E6C7" w:rsidR="00894F25" w:rsidRPr="00894F25" w:rsidRDefault="00894F25" w:rsidP="00894F25">
            <w:pPr>
              <w:spacing w:after="0" w:line="360" w:lineRule="auto"/>
              <w:rPr>
                <w:rFonts w:asciiTheme="minorHAnsi" w:hAnsiTheme="minorHAnsi" w:cstheme="minorHAnsi"/>
                <w:color w:val="000000"/>
                <w:sz w:val="22"/>
                <w:szCs w:val="22"/>
                <w:lang w:val="en-IN" w:eastAsia="en-IN"/>
              </w:rPr>
            </w:pPr>
            <w:r w:rsidRPr="00894F25">
              <w:rPr>
                <w:rFonts w:ascii="Calibri" w:hAnsi="Calibri" w:cs="Calibri"/>
                <w:color w:val="000000"/>
                <w:sz w:val="22"/>
                <w:szCs w:val="22"/>
              </w:rPr>
              <w:t xml:space="preserve">Dina Sanjay </w:t>
            </w:r>
            <w:proofErr w:type="spellStart"/>
            <w:r w:rsidRPr="00894F25">
              <w:rPr>
                <w:rFonts w:ascii="Calibri" w:hAnsi="Calibri" w:cs="Calibri"/>
                <w:color w:val="000000"/>
                <w:sz w:val="22"/>
                <w:szCs w:val="22"/>
              </w:rPr>
              <w:t>Hatekar</w:t>
            </w:r>
            <w:proofErr w:type="spellEnd"/>
          </w:p>
        </w:tc>
        <w:tc>
          <w:tcPr>
            <w:tcW w:w="1417" w:type="dxa"/>
            <w:vAlign w:val="center"/>
          </w:tcPr>
          <w:p w14:paraId="7E131FB5" w14:textId="2F5CE4DB"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08535438</w:t>
            </w:r>
          </w:p>
        </w:tc>
        <w:tc>
          <w:tcPr>
            <w:tcW w:w="2238" w:type="dxa"/>
            <w:shd w:val="clear" w:color="auto" w:fill="auto"/>
            <w:noWrap/>
            <w:vAlign w:val="center"/>
            <w:hideMark/>
          </w:tcPr>
          <w:p w14:paraId="3A38743D" w14:textId="653A065E"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Director</w:t>
            </w:r>
          </w:p>
        </w:tc>
        <w:tc>
          <w:tcPr>
            <w:tcW w:w="2015" w:type="dxa"/>
            <w:shd w:val="clear" w:color="auto" w:fill="auto"/>
            <w:noWrap/>
            <w:vAlign w:val="center"/>
            <w:hideMark/>
          </w:tcPr>
          <w:p w14:paraId="22D00AA0" w14:textId="64CAEBC7"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14/08/2019</w:t>
            </w:r>
          </w:p>
        </w:tc>
      </w:tr>
      <w:tr w:rsidR="00894F25" w:rsidRPr="00C31202" w14:paraId="746BF723" w14:textId="77777777" w:rsidTr="00894F25">
        <w:trPr>
          <w:trHeight w:val="315"/>
        </w:trPr>
        <w:tc>
          <w:tcPr>
            <w:tcW w:w="596" w:type="dxa"/>
            <w:shd w:val="clear" w:color="auto" w:fill="auto"/>
            <w:noWrap/>
            <w:vAlign w:val="center"/>
            <w:hideMark/>
          </w:tcPr>
          <w:p w14:paraId="4C8830FD" w14:textId="77777777"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2</w:t>
            </w:r>
          </w:p>
        </w:tc>
        <w:tc>
          <w:tcPr>
            <w:tcW w:w="2977" w:type="dxa"/>
            <w:shd w:val="clear" w:color="auto" w:fill="auto"/>
            <w:noWrap/>
            <w:vAlign w:val="center"/>
          </w:tcPr>
          <w:p w14:paraId="1FCC2657" w14:textId="257A6196" w:rsidR="00894F25" w:rsidRPr="00894F25" w:rsidRDefault="00894F25" w:rsidP="00894F25">
            <w:pPr>
              <w:spacing w:after="0" w:line="360" w:lineRule="auto"/>
              <w:rPr>
                <w:rFonts w:asciiTheme="minorHAnsi" w:hAnsiTheme="minorHAnsi" w:cstheme="minorHAnsi"/>
                <w:color w:val="000000"/>
                <w:sz w:val="22"/>
                <w:szCs w:val="22"/>
                <w:lang w:val="en-IN" w:eastAsia="en-IN"/>
              </w:rPr>
            </w:pPr>
            <w:proofErr w:type="spellStart"/>
            <w:r w:rsidRPr="00894F25">
              <w:rPr>
                <w:rFonts w:ascii="Calibri" w:hAnsi="Calibri" w:cs="Calibri"/>
                <w:color w:val="000000"/>
                <w:sz w:val="22"/>
                <w:szCs w:val="22"/>
              </w:rPr>
              <w:t>Vikas</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Krishnlal</w:t>
            </w:r>
            <w:proofErr w:type="spellEnd"/>
            <w:r w:rsidRPr="00894F25">
              <w:rPr>
                <w:rFonts w:ascii="Calibri" w:hAnsi="Calibri" w:cs="Calibri"/>
                <w:color w:val="000000"/>
                <w:sz w:val="22"/>
                <w:szCs w:val="22"/>
              </w:rPr>
              <w:t xml:space="preserve"> Arora</w:t>
            </w:r>
          </w:p>
        </w:tc>
        <w:tc>
          <w:tcPr>
            <w:tcW w:w="1417" w:type="dxa"/>
            <w:vAlign w:val="center"/>
          </w:tcPr>
          <w:p w14:paraId="29116515" w14:textId="19C474FC"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09785527</w:t>
            </w:r>
          </w:p>
        </w:tc>
        <w:tc>
          <w:tcPr>
            <w:tcW w:w="2238" w:type="dxa"/>
            <w:shd w:val="clear" w:color="auto" w:fill="auto"/>
            <w:noWrap/>
            <w:vAlign w:val="center"/>
            <w:hideMark/>
          </w:tcPr>
          <w:p w14:paraId="5061E432" w14:textId="3EB4619C"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Whole-time director</w:t>
            </w:r>
          </w:p>
        </w:tc>
        <w:tc>
          <w:tcPr>
            <w:tcW w:w="2015" w:type="dxa"/>
            <w:shd w:val="clear" w:color="auto" w:fill="auto"/>
            <w:noWrap/>
            <w:vAlign w:val="center"/>
            <w:hideMark/>
          </w:tcPr>
          <w:p w14:paraId="567C2A34" w14:textId="5496A69F"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10/11/2022</w:t>
            </w:r>
          </w:p>
        </w:tc>
      </w:tr>
      <w:tr w:rsidR="00894F25" w:rsidRPr="00C31202" w14:paraId="6DA909FA" w14:textId="77777777" w:rsidTr="00894F25">
        <w:trPr>
          <w:trHeight w:val="315"/>
        </w:trPr>
        <w:tc>
          <w:tcPr>
            <w:tcW w:w="596" w:type="dxa"/>
            <w:shd w:val="clear" w:color="auto" w:fill="auto"/>
            <w:noWrap/>
            <w:vAlign w:val="center"/>
            <w:hideMark/>
          </w:tcPr>
          <w:p w14:paraId="6CF4E948" w14:textId="77777777"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3</w:t>
            </w:r>
          </w:p>
        </w:tc>
        <w:tc>
          <w:tcPr>
            <w:tcW w:w="2977" w:type="dxa"/>
            <w:shd w:val="clear" w:color="auto" w:fill="auto"/>
            <w:noWrap/>
            <w:vAlign w:val="center"/>
          </w:tcPr>
          <w:p w14:paraId="0AA65AD5" w14:textId="58D8758B" w:rsidR="00894F25" w:rsidRPr="00894F25" w:rsidRDefault="00894F25" w:rsidP="00894F25">
            <w:pPr>
              <w:spacing w:after="0" w:line="360" w:lineRule="auto"/>
              <w:rPr>
                <w:rFonts w:asciiTheme="minorHAnsi" w:hAnsiTheme="minorHAnsi" w:cstheme="minorHAnsi"/>
                <w:color w:val="000000"/>
                <w:sz w:val="22"/>
                <w:szCs w:val="22"/>
                <w:lang w:val="en-IN" w:eastAsia="en-IN"/>
              </w:rPr>
            </w:pPr>
            <w:proofErr w:type="spellStart"/>
            <w:r w:rsidRPr="00894F25">
              <w:rPr>
                <w:rFonts w:ascii="Calibri" w:hAnsi="Calibri" w:cs="Calibri"/>
                <w:color w:val="000000"/>
                <w:sz w:val="22"/>
                <w:szCs w:val="22"/>
              </w:rPr>
              <w:t>Sunali</w:t>
            </w:r>
            <w:proofErr w:type="spellEnd"/>
            <w:r w:rsidRPr="00894F25">
              <w:rPr>
                <w:rFonts w:ascii="Calibri" w:hAnsi="Calibri" w:cs="Calibri"/>
                <w:color w:val="000000"/>
                <w:sz w:val="22"/>
                <w:szCs w:val="22"/>
              </w:rPr>
              <w:t xml:space="preserve"> Chaudhry</w:t>
            </w:r>
          </w:p>
        </w:tc>
        <w:tc>
          <w:tcPr>
            <w:tcW w:w="1417" w:type="dxa"/>
            <w:vAlign w:val="center"/>
          </w:tcPr>
          <w:p w14:paraId="3BDA58A0" w14:textId="20C8AFB4"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07139326</w:t>
            </w:r>
          </w:p>
        </w:tc>
        <w:tc>
          <w:tcPr>
            <w:tcW w:w="2238" w:type="dxa"/>
            <w:shd w:val="clear" w:color="auto" w:fill="auto"/>
            <w:noWrap/>
            <w:vAlign w:val="center"/>
            <w:hideMark/>
          </w:tcPr>
          <w:p w14:paraId="6D0271EF" w14:textId="1B5F8E14"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Director</w:t>
            </w:r>
          </w:p>
        </w:tc>
        <w:tc>
          <w:tcPr>
            <w:tcW w:w="2015" w:type="dxa"/>
            <w:shd w:val="clear" w:color="auto" w:fill="auto"/>
            <w:noWrap/>
            <w:vAlign w:val="center"/>
            <w:hideMark/>
          </w:tcPr>
          <w:p w14:paraId="11D9DABC" w14:textId="2A0002D4"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05/09/2023</w:t>
            </w:r>
          </w:p>
        </w:tc>
      </w:tr>
      <w:tr w:rsidR="00894F25" w:rsidRPr="00C31202" w14:paraId="50784341" w14:textId="77777777" w:rsidTr="00894F25">
        <w:trPr>
          <w:trHeight w:val="315"/>
        </w:trPr>
        <w:tc>
          <w:tcPr>
            <w:tcW w:w="596" w:type="dxa"/>
            <w:shd w:val="clear" w:color="auto" w:fill="auto"/>
            <w:noWrap/>
            <w:vAlign w:val="center"/>
            <w:hideMark/>
          </w:tcPr>
          <w:p w14:paraId="08F0B80E" w14:textId="77777777"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4</w:t>
            </w:r>
          </w:p>
        </w:tc>
        <w:tc>
          <w:tcPr>
            <w:tcW w:w="2977" w:type="dxa"/>
            <w:shd w:val="clear" w:color="auto" w:fill="auto"/>
            <w:noWrap/>
            <w:vAlign w:val="center"/>
          </w:tcPr>
          <w:p w14:paraId="15D1AADC" w14:textId="54D48181" w:rsidR="00894F25" w:rsidRPr="00894F25" w:rsidRDefault="00894F25" w:rsidP="00894F25">
            <w:pPr>
              <w:spacing w:after="0" w:line="360" w:lineRule="auto"/>
              <w:rPr>
                <w:rFonts w:asciiTheme="minorHAnsi" w:hAnsiTheme="minorHAnsi" w:cstheme="minorHAnsi"/>
                <w:color w:val="000000"/>
                <w:sz w:val="22"/>
                <w:szCs w:val="22"/>
                <w:lang w:val="en-IN" w:eastAsia="en-IN"/>
              </w:rPr>
            </w:pPr>
            <w:proofErr w:type="spellStart"/>
            <w:r w:rsidRPr="00894F25">
              <w:rPr>
                <w:rFonts w:ascii="Calibri" w:hAnsi="Calibri" w:cs="Calibri"/>
                <w:color w:val="000000"/>
                <w:sz w:val="22"/>
                <w:szCs w:val="22"/>
              </w:rPr>
              <w:t>Charudatta</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Kashinath</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Naik</w:t>
            </w:r>
            <w:proofErr w:type="spellEnd"/>
          </w:p>
        </w:tc>
        <w:tc>
          <w:tcPr>
            <w:tcW w:w="1417" w:type="dxa"/>
            <w:vAlign w:val="center"/>
          </w:tcPr>
          <w:p w14:paraId="49FDA0E0" w14:textId="4E096328"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00225472</w:t>
            </w:r>
          </w:p>
        </w:tc>
        <w:tc>
          <w:tcPr>
            <w:tcW w:w="2238" w:type="dxa"/>
            <w:shd w:val="clear" w:color="auto" w:fill="auto"/>
            <w:noWrap/>
            <w:vAlign w:val="center"/>
            <w:hideMark/>
          </w:tcPr>
          <w:p w14:paraId="0477D0C2" w14:textId="4286D747"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Director</w:t>
            </w:r>
          </w:p>
        </w:tc>
        <w:tc>
          <w:tcPr>
            <w:tcW w:w="2015" w:type="dxa"/>
            <w:shd w:val="clear" w:color="auto" w:fill="auto"/>
            <w:noWrap/>
            <w:vAlign w:val="center"/>
            <w:hideMark/>
          </w:tcPr>
          <w:p w14:paraId="03904373" w14:textId="6DA5D1E7"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04/02/2004</w:t>
            </w:r>
          </w:p>
        </w:tc>
      </w:tr>
      <w:tr w:rsidR="00894F25" w:rsidRPr="00C31202" w14:paraId="1831AE20" w14:textId="77777777" w:rsidTr="00894F25">
        <w:trPr>
          <w:trHeight w:val="315"/>
        </w:trPr>
        <w:tc>
          <w:tcPr>
            <w:tcW w:w="596" w:type="dxa"/>
            <w:shd w:val="clear" w:color="auto" w:fill="auto"/>
            <w:noWrap/>
            <w:vAlign w:val="center"/>
          </w:tcPr>
          <w:p w14:paraId="6088FAD0" w14:textId="22062E4E"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5</w:t>
            </w:r>
          </w:p>
        </w:tc>
        <w:tc>
          <w:tcPr>
            <w:tcW w:w="2977" w:type="dxa"/>
            <w:shd w:val="clear" w:color="auto" w:fill="auto"/>
            <w:noWrap/>
            <w:vAlign w:val="center"/>
          </w:tcPr>
          <w:p w14:paraId="020AE365" w14:textId="7A3E7B80" w:rsidR="00894F25" w:rsidRPr="00894F25" w:rsidRDefault="00894F25" w:rsidP="00894F25">
            <w:pPr>
              <w:spacing w:after="0" w:line="360" w:lineRule="auto"/>
              <w:rPr>
                <w:rFonts w:asciiTheme="minorHAnsi" w:hAnsiTheme="minorHAnsi" w:cstheme="minorHAnsi"/>
                <w:color w:val="000000"/>
                <w:sz w:val="22"/>
                <w:szCs w:val="22"/>
                <w:lang w:val="en-IN" w:eastAsia="en-IN"/>
              </w:rPr>
            </w:pPr>
            <w:proofErr w:type="spellStart"/>
            <w:r w:rsidRPr="00894F25">
              <w:rPr>
                <w:rFonts w:ascii="Calibri" w:hAnsi="Calibri" w:cs="Calibri"/>
                <w:color w:val="000000"/>
                <w:sz w:val="22"/>
                <w:szCs w:val="22"/>
              </w:rPr>
              <w:t>Nitesh</w:t>
            </w:r>
            <w:proofErr w:type="spellEnd"/>
            <w:r w:rsidRPr="00894F25">
              <w:rPr>
                <w:rFonts w:ascii="Calibri" w:hAnsi="Calibri" w:cs="Calibri"/>
                <w:color w:val="000000"/>
                <w:sz w:val="22"/>
                <w:szCs w:val="22"/>
              </w:rPr>
              <w:t xml:space="preserve"> Ashok </w:t>
            </w:r>
            <w:proofErr w:type="spellStart"/>
            <w:r w:rsidRPr="00894F25">
              <w:rPr>
                <w:rFonts w:ascii="Calibri" w:hAnsi="Calibri" w:cs="Calibri"/>
                <w:color w:val="000000"/>
                <w:sz w:val="22"/>
                <w:szCs w:val="22"/>
              </w:rPr>
              <w:t>Mhatre</w:t>
            </w:r>
            <w:proofErr w:type="spellEnd"/>
          </w:p>
        </w:tc>
        <w:tc>
          <w:tcPr>
            <w:tcW w:w="1417" w:type="dxa"/>
            <w:vAlign w:val="center"/>
          </w:tcPr>
          <w:p w14:paraId="14C07E0C" w14:textId="592DDC68"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*****1486C</w:t>
            </w:r>
          </w:p>
        </w:tc>
        <w:tc>
          <w:tcPr>
            <w:tcW w:w="2238" w:type="dxa"/>
            <w:shd w:val="clear" w:color="auto" w:fill="auto"/>
            <w:noWrap/>
            <w:vAlign w:val="center"/>
            <w:hideMark/>
          </w:tcPr>
          <w:p w14:paraId="1639E642" w14:textId="2211824D"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Company Secretary</w:t>
            </w:r>
          </w:p>
        </w:tc>
        <w:tc>
          <w:tcPr>
            <w:tcW w:w="2015" w:type="dxa"/>
            <w:shd w:val="clear" w:color="auto" w:fill="auto"/>
            <w:noWrap/>
            <w:vAlign w:val="center"/>
            <w:hideMark/>
          </w:tcPr>
          <w:p w14:paraId="4643200F" w14:textId="2219C3D7"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01/04/2013</w:t>
            </w:r>
          </w:p>
        </w:tc>
      </w:tr>
      <w:tr w:rsidR="00894F25" w:rsidRPr="00C31202" w14:paraId="079E2934" w14:textId="77777777" w:rsidTr="00894F25">
        <w:trPr>
          <w:trHeight w:val="315"/>
        </w:trPr>
        <w:tc>
          <w:tcPr>
            <w:tcW w:w="596" w:type="dxa"/>
            <w:shd w:val="clear" w:color="auto" w:fill="auto"/>
            <w:noWrap/>
            <w:vAlign w:val="center"/>
          </w:tcPr>
          <w:p w14:paraId="44F1D0D3" w14:textId="622B202E"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6</w:t>
            </w:r>
          </w:p>
        </w:tc>
        <w:tc>
          <w:tcPr>
            <w:tcW w:w="2977" w:type="dxa"/>
            <w:shd w:val="clear" w:color="auto" w:fill="auto"/>
            <w:noWrap/>
            <w:vAlign w:val="center"/>
          </w:tcPr>
          <w:p w14:paraId="0BE50845" w14:textId="1E4D8B58" w:rsidR="00894F25" w:rsidRPr="00894F25" w:rsidRDefault="00894F25" w:rsidP="00894F25">
            <w:pPr>
              <w:spacing w:after="0" w:line="360" w:lineRule="auto"/>
              <w:rPr>
                <w:rFonts w:asciiTheme="minorHAnsi" w:hAnsiTheme="minorHAnsi" w:cstheme="minorHAnsi"/>
                <w:color w:val="000000"/>
                <w:sz w:val="22"/>
                <w:szCs w:val="22"/>
                <w:lang w:val="en-IN" w:eastAsia="en-IN"/>
              </w:rPr>
            </w:pPr>
            <w:proofErr w:type="spellStart"/>
            <w:r w:rsidRPr="00894F25">
              <w:rPr>
                <w:rFonts w:ascii="Calibri" w:hAnsi="Calibri" w:cs="Calibri"/>
                <w:color w:val="000000"/>
                <w:sz w:val="22"/>
                <w:szCs w:val="22"/>
              </w:rPr>
              <w:t>Bhupendra</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Jayavant</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Kiny</w:t>
            </w:r>
            <w:proofErr w:type="spellEnd"/>
          </w:p>
        </w:tc>
        <w:tc>
          <w:tcPr>
            <w:tcW w:w="1417" w:type="dxa"/>
            <w:vAlign w:val="center"/>
          </w:tcPr>
          <w:p w14:paraId="7F23A38B" w14:textId="4F6D6AAE"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*****2924K</w:t>
            </w:r>
          </w:p>
        </w:tc>
        <w:tc>
          <w:tcPr>
            <w:tcW w:w="2238" w:type="dxa"/>
            <w:shd w:val="clear" w:color="auto" w:fill="auto"/>
            <w:noWrap/>
            <w:vAlign w:val="center"/>
            <w:hideMark/>
          </w:tcPr>
          <w:p w14:paraId="451C0022" w14:textId="37B03D12"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CFO</w:t>
            </w:r>
          </w:p>
        </w:tc>
        <w:tc>
          <w:tcPr>
            <w:tcW w:w="2015" w:type="dxa"/>
            <w:shd w:val="clear" w:color="auto" w:fill="auto"/>
            <w:noWrap/>
            <w:vAlign w:val="center"/>
            <w:hideMark/>
          </w:tcPr>
          <w:p w14:paraId="5E3DE59A" w14:textId="4506DE1D"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01/01/2018</w:t>
            </w:r>
          </w:p>
        </w:tc>
      </w:tr>
      <w:tr w:rsidR="00894F25" w:rsidRPr="00C31202" w14:paraId="61F8AF58" w14:textId="77777777" w:rsidTr="00894F25">
        <w:trPr>
          <w:trHeight w:val="315"/>
        </w:trPr>
        <w:tc>
          <w:tcPr>
            <w:tcW w:w="596" w:type="dxa"/>
            <w:shd w:val="clear" w:color="auto" w:fill="auto"/>
            <w:noWrap/>
            <w:vAlign w:val="center"/>
            <w:hideMark/>
          </w:tcPr>
          <w:p w14:paraId="599F64B7" w14:textId="2B4B89E5"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7</w:t>
            </w:r>
          </w:p>
        </w:tc>
        <w:tc>
          <w:tcPr>
            <w:tcW w:w="2977" w:type="dxa"/>
            <w:shd w:val="clear" w:color="auto" w:fill="auto"/>
            <w:noWrap/>
            <w:vAlign w:val="center"/>
          </w:tcPr>
          <w:p w14:paraId="52E79C7E" w14:textId="0FB1E7CC" w:rsidR="00894F25" w:rsidRPr="00894F25" w:rsidRDefault="00894F25" w:rsidP="00894F25">
            <w:pPr>
              <w:spacing w:after="0" w:line="360" w:lineRule="auto"/>
              <w:rPr>
                <w:rFonts w:asciiTheme="minorHAnsi" w:hAnsiTheme="minorHAnsi" w:cstheme="minorHAnsi"/>
                <w:color w:val="000000"/>
                <w:sz w:val="22"/>
                <w:szCs w:val="22"/>
                <w:lang w:val="en-IN" w:eastAsia="en-IN"/>
              </w:rPr>
            </w:pPr>
            <w:r w:rsidRPr="00894F25">
              <w:rPr>
                <w:rFonts w:ascii="Calibri" w:hAnsi="Calibri" w:cs="Calibri"/>
                <w:color w:val="000000"/>
                <w:sz w:val="22"/>
                <w:szCs w:val="22"/>
              </w:rPr>
              <w:t xml:space="preserve">Ramesh </w:t>
            </w:r>
            <w:proofErr w:type="spellStart"/>
            <w:r w:rsidRPr="00894F25">
              <w:rPr>
                <w:rFonts w:ascii="Calibri" w:hAnsi="Calibri" w:cs="Calibri"/>
                <w:color w:val="000000"/>
                <w:sz w:val="22"/>
                <w:szCs w:val="22"/>
              </w:rPr>
              <w:t>Bhagavanrao</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Bhosale</w:t>
            </w:r>
            <w:proofErr w:type="spellEnd"/>
          </w:p>
        </w:tc>
        <w:tc>
          <w:tcPr>
            <w:tcW w:w="1417" w:type="dxa"/>
            <w:vAlign w:val="center"/>
          </w:tcPr>
          <w:p w14:paraId="38AF210F" w14:textId="33A27A71"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00078848</w:t>
            </w:r>
          </w:p>
        </w:tc>
        <w:tc>
          <w:tcPr>
            <w:tcW w:w="2238" w:type="dxa"/>
            <w:shd w:val="clear" w:color="auto" w:fill="auto"/>
            <w:noWrap/>
            <w:vAlign w:val="center"/>
            <w:hideMark/>
          </w:tcPr>
          <w:p w14:paraId="25C34016" w14:textId="1545FAB1"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Director</w:t>
            </w:r>
          </w:p>
        </w:tc>
        <w:tc>
          <w:tcPr>
            <w:tcW w:w="2015" w:type="dxa"/>
            <w:shd w:val="clear" w:color="auto" w:fill="auto"/>
            <w:noWrap/>
            <w:vAlign w:val="center"/>
            <w:hideMark/>
          </w:tcPr>
          <w:p w14:paraId="4E7E6515" w14:textId="33286683"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13/08/2024</w:t>
            </w:r>
          </w:p>
        </w:tc>
      </w:tr>
      <w:tr w:rsidR="00894F25" w:rsidRPr="00C31202" w14:paraId="71E6C026" w14:textId="77777777" w:rsidTr="00894F25">
        <w:trPr>
          <w:trHeight w:val="315"/>
        </w:trPr>
        <w:tc>
          <w:tcPr>
            <w:tcW w:w="596" w:type="dxa"/>
            <w:shd w:val="clear" w:color="auto" w:fill="auto"/>
            <w:noWrap/>
            <w:vAlign w:val="center"/>
          </w:tcPr>
          <w:p w14:paraId="3F2B82D5" w14:textId="09010867"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w:t>
            </w:r>
          </w:p>
        </w:tc>
        <w:tc>
          <w:tcPr>
            <w:tcW w:w="2977" w:type="dxa"/>
            <w:shd w:val="clear" w:color="auto" w:fill="auto"/>
            <w:noWrap/>
            <w:vAlign w:val="center"/>
          </w:tcPr>
          <w:p w14:paraId="0347018B" w14:textId="6BA001A6" w:rsidR="00894F25" w:rsidRPr="00894F25" w:rsidRDefault="00894F25" w:rsidP="00894F25">
            <w:pPr>
              <w:spacing w:after="0" w:line="360" w:lineRule="auto"/>
              <w:rPr>
                <w:rFonts w:asciiTheme="minorHAnsi" w:hAnsiTheme="minorHAnsi" w:cstheme="minorHAnsi"/>
                <w:color w:val="000000"/>
                <w:sz w:val="22"/>
                <w:szCs w:val="22"/>
                <w:lang w:val="en-IN" w:eastAsia="en-IN"/>
              </w:rPr>
            </w:pPr>
            <w:proofErr w:type="spellStart"/>
            <w:r w:rsidRPr="00894F25">
              <w:rPr>
                <w:rFonts w:ascii="Calibri" w:hAnsi="Calibri" w:cs="Calibri"/>
                <w:color w:val="000000"/>
                <w:sz w:val="22"/>
                <w:szCs w:val="22"/>
              </w:rPr>
              <w:t>Dhananjay</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Prabhakar</w:t>
            </w:r>
            <w:proofErr w:type="spellEnd"/>
            <w:r w:rsidRPr="00894F25">
              <w:rPr>
                <w:rFonts w:ascii="Calibri" w:hAnsi="Calibri" w:cs="Calibri"/>
                <w:color w:val="000000"/>
                <w:sz w:val="22"/>
                <w:szCs w:val="22"/>
              </w:rPr>
              <w:t xml:space="preserve"> </w:t>
            </w:r>
            <w:proofErr w:type="spellStart"/>
            <w:r w:rsidRPr="00894F25">
              <w:rPr>
                <w:rFonts w:ascii="Calibri" w:hAnsi="Calibri" w:cs="Calibri"/>
                <w:color w:val="000000"/>
                <w:sz w:val="22"/>
                <w:szCs w:val="22"/>
              </w:rPr>
              <w:t>Barve</w:t>
            </w:r>
            <w:proofErr w:type="spellEnd"/>
          </w:p>
        </w:tc>
        <w:tc>
          <w:tcPr>
            <w:tcW w:w="1417" w:type="dxa"/>
            <w:vAlign w:val="center"/>
          </w:tcPr>
          <w:p w14:paraId="158D3012" w14:textId="7B4003BC"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00224261</w:t>
            </w:r>
          </w:p>
        </w:tc>
        <w:tc>
          <w:tcPr>
            <w:tcW w:w="2238" w:type="dxa"/>
            <w:shd w:val="clear" w:color="auto" w:fill="auto"/>
            <w:noWrap/>
            <w:vAlign w:val="center"/>
          </w:tcPr>
          <w:p w14:paraId="304E1A75" w14:textId="3193FE3D"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Director</w:t>
            </w:r>
          </w:p>
        </w:tc>
        <w:tc>
          <w:tcPr>
            <w:tcW w:w="2015" w:type="dxa"/>
            <w:shd w:val="clear" w:color="auto" w:fill="auto"/>
            <w:noWrap/>
            <w:vAlign w:val="center"/>
          </w:tcPr>
          <w:p w14:paraId="3F59C4FC" w14:textId="3C3800C7"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13/08/2024</w:t>
            </w:r>
          </w:p>
        </w:tc>
      </w:tr>
      <w:tr w:rsidR="00894F25" w:rsidRPr="00C31202" w14:paraId="2E4EB1F2" w14:textId="77777777" w:rsidTr="00894F25">
        <w:trPr>
          <w:trHeight w:val="315"/>
        </w:trPr>
        <w:tc>
          <w:tcPr>
            <w:tcW w:w="596" w:type="dxa"/>
            <w:shd w:val="clear" w:color="auto" w:fill="auto"/>
            <w:noWrap/>
            <w:vAlign w:val="center"/>
          </w:tcPr>
          <w:p w14:paraId="029FF217" w14:textId="07AC1217" w:rsidR="00894F25" w:rsidRPr="00C31202" w:rsidRDefault="00894F25" w:rsidP="00894F25">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9</w:t>
            </w:r>
          </w:p>
        </w:tc>
        <w:tc>
          <w:tcPr>
            <w:tcW w:w="2977" w:type="dxa"/>
            <w:shd w:val="clear" w:color="auto" w:fill="auto"/>
            <w:noWrap/>
            <w:vAlign w:val="center"/>
          </w:tcPr>
          <w:p w14:paraId="4D170C29" w14:textId="774F983E" w:rsidR="00894F25" w:rsidRPr="00894F25" w:rsidRDefault="00894F25" w:rsidP="00894F25">
            <w:pPr>
              <w:spacing w:after="0" w:line="360" w:lineRule="auto"/>
              <w:rPr>
                <w:rFonts w:asciiTheme="minorHAnsi" w:hAnsiTheme="minorHAnsi" w:cstheme="minorHAnsi"/>
                <w:color w:val="000000"/>
                <w:sz w:val="22"/>
                <w:szCs w:val="22"/>
                <w:lang w:val="en-IN" w:eastAsia="en-IN"/>
              </w:rPr>
            </w:pPr>
            <w:r w:rsidRPr="00894F25">
              <w:rPr>
                <w:rFonts w:ascii="Calibri" w:hAnsi="Calibri" w:cs="Calibri"/>
                <w:color w:val="000000"/>
                <w:sz w:val="22"/>
                <w:szCs w:val="22"/>
              </w:rPr>
              <w:t xml:space="preserve">Jeevan </w:t>
            </w:r>
            <w:proofErr w:type="spellStart"/>
            <w:r w:rsidRPr="00894F25">
              <w:rPr>
                <w:rFonts w:ascii="Calibri" w:hAnsi="Calibri" w:cs="Calibri"/>
                <w:color w:val="000000"/>
                <w:sz w:val="22"/>
                <w:szCs w:val="22"/>
              </w:rPr>
              <w:t>Umesh</w:t>
            </w:r>
            <w:proofErr w:type="spellEnd"/>
            <w:r w:rsidRPr="00894F25">
              <w:rPr>
                <w:rFonts w:ascii="Calibri" w:hAnsi="Calibri" w:cs="Calibri"/>
                <w:color w:val="000000"/>
                <w:sz w:val="22"/>
                <w:szCs w:val="22"/>
              </w:rPr>
              <w:t xml:space="preserve"> Rai</w:t>
            </w:r>
          </w:p>
        </w:tc>
        <w:tc>
          <w:tcPr>
            <w:tcW w:w="1417" w:type="dxa"/>
            <w:vAlign w:val="center"/>
          </w:tcPr>
          <w:p w14:paraId="33C8E9F5" w14:textId="61DC3676" w:rsidR="00894F25" w:rsidRPr="00894F25" w:rsidRDefault="00894F25" w:rsidP="00894F25">
            <w:pPr>
              <w:spacing w:after="0" w:line="360" w:lineRule="auto"/>
              <w:jc w:val="center"/>
              <w:rPr>
                <w:rFonts w:ascii="Calibri" w:hAnsi="Calibri" w:cs="Calibri"/>
                <w:color w:val="000000"/>
                <w:sz w:val="22"/>
                <w:szCs w:val="22"/>
              </w:rPr>
            </w:pPr>
            <w:r w:rsidRPr="00894F25">
              <w:rPr>
                <w:rFonts w:ascii="Calibri" w:hAnsi="Calibri" w:cs="Calibri"/>
                <w:color w:val="000000"/>
                <w:sz w:val="22"/>
                <w:szCs w:val="22"/>
              </w:rPr>
              <w:t>02356479</w:t>
            </w:r>
          </w:p>
        </w:tc>
        <w:tc>
          <w:tcPr>
            <w:tcW w:w="2238" w:type="dxa"/>
            <w:shd w:val="clear" w:color="auto" w:fill="auto"/>
            <w:noWrap/>
            <w:vAlign w:val="center"/>
          </w:tcPr>
          <w:p w14:paraId="41110E79" w14:textId="6479E812"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Director</w:t>
            </w:r>
          </w:p>
        </w:tc>
        <w:tc>
          <w:tcPr>
            <w:tcW w:w="2015" w:type="dxa"/>
            <w:shd w:val="clear" w:color="auto" w:fill="auto"/>
            <w:noWrap/>
            <w:vAlign w:val="center"/>
          </w:tcPr>
          <w:p w14:paraId="4665111F" w14:textId="757C927E" w:rsidR="00894F25" w:rsidRPr="00894F25" w:rsidRDefault="00894F25" w:rsidP="00894F25">
            <w:pPr>
              <w:spacing w:after="0" w:line="360" w:lineRule="auto"/>
              <w:jc w:val="center"/>
              <w:rPr>
                <w:rFonts w:asciiTheme="minorHAnsi" w:hAnsiTheme="minorHAnsi" w:cstheme="minorHAnsi"/>
                <w:color w:val="000000"/>
                <w:sz w:val="22"/>
                <w:szCs w:val="22"/>
                <w:lang w:val="en-IN" w:eastAsia="en-IN"/>
              </w:rPr>
            </w:pPr>
            <w:r w:rsidRPr="00894F25">
              <w:rPr>
                <w:rFonts w:ascii="Calibri" w:hAnsi="Calibri" w:cs="Calibri"/>
                <w:color w:val="000000"/>
                <w:sz w:val="22"/>
                <w:szCs w:val="22"/>
              </w:rPr>
              <w:t>12/09/2024</w:t>
            </w:r>
          </w:p>
        </w:tc>
      </w:tr>
    </w:tbl>
    <w:p w14:paraId="1B86C4DD" w14:textId="0C7E1DCB" w:rsidR="00C31202" w:rsidRDefault="004C1C3E" w:rsidP="004C1C3E">
      <w:pPr>
        <w:pStyle w:val="ListParagraph"/>
        <w:spacing w:after="0" w:line="240" w:lineRule="auto"/>
        <w:ind w:left="142" w:right="-23"/>
        <w:jc w:val="right"/>
        <w:rPr>
          <w:rFonts w:ascii="Arial" w:hAnsi="Arial" w:cs="Arial"/>
          <w:i/>
          <w:sz w:val="20"/>
          <w:szCs w:val="22"/>
        </w:rPr>
      </w:pPr>
      <w:r w:rsidRPr="003301E0">
        <w:rPr>
          <w:rFonts w:ascii="Arial" w:hAnsi="Arial" w:cs="Arial"/>
          <w:b/>
          <w:i/>
          <w:sz w:val="20"/>
          <w:szCs w:val="22"/>
        </w:rPr>
        <w:t>Source:</w:t>
      </w:r>
      <w:r w:rsidRPr="003301E0">
        <w:rPr>
          <w:rFonts w:ascii="Arial" w:hAnsi="Arial" w:cs="Arial"/>
          <w:i/>
          <w:sz w:val="20"/>
          <w:szCs w:val="22"/>
        </w:rPr>
        <w:t xml:space="preserve"> Information provided by the client</w:t>
      </w:r>
    </w:p>
    <w:p w14:paraId="5D499DF5" w14:textId="77777777" w:rsidR="004C1C3E" w:rsidRDefault="004C1C3E" w:rsidP="004C1C3E">
      <w:pPr>
        <w:pStyle w:val="ListParagraph"/>
        <w:spacing w:after="0" w:line="240" w:lineRule="auto"/>
        <w:ind w:left="142" w:right="-23"/>
        <w:jc w:val="right"/>
        <w:rPr>
          <w:rFonts w:ascii="Arial" w:hAnsi="Arial" w:cs="Arial"/>
          <w:b/>
          <w:bCs/>
          <w:color w:val="222222"/>
          <w:sz w:val="22"/>
          <w:szCs w:val="22"/>
          <w:lang w:val="en-IN" w:eastAsia="en-IN"/>
        </w:rPr>
      </w:pPr>
    </w:p>
    <w:p w14:paraId="7585C0C8" w14:textId="77777777" w:rsidR="00894F25" w:rsidRPr="00894F25" w:rsidRDefault="00E11206" w:rsidP="00B07001">
      <w:pPr>
        <w:pStyle w:val="ListParagraph"/>
        <w:numPr>
          <w:ilvl w:val="0"/>
          <w:numId w:val="10"/>
        </w:numPr>
        <w:spacing w:line="360" w:lineRule="auto"/>
        <w:ind w:left="142" w:right="-23" w:hanging="426"/>
        <w:jc w:val="both"/>
        <w:rPr>
          <w:rFonts w:ascii="Arial" w:hAnsi="Arial" w:cs="Arial"/>
          <w:bCs/>
          <w:sz w:val="22"/>
          <w:szCs w:val="22"/>
          <w:lang w:val="en-IN"/>
        </w:rPr>
      </w:pPr>
      <w:r w:rsidRPr="005206F6">
        <w:rPr>
          <w:rFonts w:ascii="Arial" w:hAnsi="Arial" w:cs="Arial"/>
          <w:b/>
          <w:sz w:val="22"/>
          <w:szCs w:val="22"/>
        </w:rPr>
        <w:t>CAPITAL</w:t>
      </w:r>
      <w:r w:rsidRPr="005206F6">
        <w:rPr>
          <w:rFonts w:ascii="Arial" w:hAnsi="Arial" w:cs="Arial"/>
          <w:b/>
          <w:color w:val="1A1A1A"/>
          <w:sz w:val="22"/>
          <w:szCs w:val="22"/>
        </w:rPr>
        <w:t xml:space="preserve"> STRUCTURE</w:t>
      </w:r>
      <w:r w:rsidR="00D0374D" w:rsidRPr="005206F6">
        <w:rPr>
          <w:rFonts w:ascii="Arial" w:hAnsi="Arial" w:cs="Arial"/>
          <w:b/>
          <w:color w:val="1A1A1A"/>
          <w:sz w:val="22"/>
          <w:szCs w:val="22"/>
        </w:rPr>
        <w:t>:</w:t>
      </w:r>
      <w:r w:rsidR="003525CC" w:rsidRPr="005206F6">
        <w:rPr>
          <w:rFonts w:ascii="Arial" w:hAnsi="Arial" w:cs="Arial"/>
          <w:b/>
          <w:color w:val="1A1A1A"/>
          <w:sz w:val="22"/>
          <w:szCs w:val="22"/>
        </w:rPr>
        <w:t xml:space="preserve"> </w:t>
      </w:r>
    </w:p>
    <w:p w14:paraId="74821289" w14:textId="107D5E7D" w:rsidR="00F85DBD" w:rsidRPr="00236D5D" w:rsidRDefault="00236D5D" w:rsidP="00894F25">
      <w:pPr>
        <w:pStyle w:val="ListParagraph"/>
        <w:spacing w:line="360" w:lineRule="auto"/>
        <w:ind w:left="142" w:right="-23"/>
        <w:jc w:val="both"/>
        <w:rPr>
          <w:rFonts w:ascii="Arial" w:hAnsi="Arial" w:cs="Arial"/>
          <w:bCs/>
          <w:sz w:val="22"/>
          <w:szCs w:val="22"/>
          <w:lang w:val="en-IN"/>
        </w:rPr>
      </w:pPr>
      <w:r w:rsidRPr="00236D5D">
        <w:rPr>
          <w:rFonts w:ascii="Arial" w:hAnsi="Arial" w:cs="Arial"/>
          <w:bCs/>
          <w:color w:val="1A1A1A"/>
          <w:sz w:val="22"/>
          <w:szCs w:val="22"/>
        </w:rPr>
        <w:t>As per the audited financial statements for the FY202</w:t>
      </w:r>
      <w:r w:rsidR="00894F25">
        <w:rPr>
          <w:rFonts w:ascii="Arial" w:hAnsi="Arial" w:cs="Arial"/>
          <w:bCs/>
          <w:color w:val="1A1A1A"/>
          <w:sz w:val="22"/>
          <w:szCs w:val="22"/>
        </w:rPr>
        <w:t>3</w:t>
      </w:r>
      <w:r w:rsidRPr="00236D5D">
        <w:rPr>
          <w:rFonts w:ascii="Arial" w:hAnsi="Arial" w:cs="Arial"/>
          <w:bCs/>
          <w:color w:val="1A1A1A"/>
          <w:sz w:val="22"/>
          <w:szCs w:val="22"/>
        </w:rPr>
        <w:t>-2</w:t>
      </w:r>
      <w:r w:rsidR="00894F25">
        <w:rPr>
          <w:rFonts w:ascii="Arial" w:hAnsi="Arial" w:cs="Arial"/>
          <w:bCs/>
          <w:color w:val="1A1A1A"/>
          <w:sz w:val="22"/>
          <w:szCs w:val="22"/>
        </w:rPr>
        <w:t>4</w:t>
      </w:r>
      <w:r w:rsidRPr="00236D5D">
        <w:rPr>
          <w:rFonts w:ascii="Arial" w:hAnsi="Arial" w:cs="Arial"/>
          <w:bCs/>
          <w:color w:val="1A1A1A"/>
          <w:sz w:val="22"/>
          <w:szCs w:val="22"/>
        </w:rPr>
        <w:t xml:space="preserve">, the authorized share capital </w:t>
      </w:r>
      <w:r w:rsidR="00130278">
        <w:rPr>
          <w:rFonts w:ascii="Arial" w:hAnsi="Arial" w:cs="Arial"/>
          <w:bCs/>
          <w:color w:val="1A1A1A"/>
          <w:sz w:val="22"/>
          <w:szCs w:val="22"/>
        </w:rPr>
        <w:t>consists of 1,600.00</w:t>
      </w:r>
      <w:r w:rsidRPr="00236D5D">
        <w:rPr>
          <w:rFonts w:ascii="Arial" w:hAnsi="Arial" w:cs="Arial"/>
          <w:bCs/>
          <w:color w:val="1A1A1A"/>
          <w:sz w:val="22"/>
          <w:szCs w:val="22"/>
        </w:rPr>
        <w:t xml:space="preserve"> crores equity shares of INR 10/- each</w:t>
      </w:r>
      <w:r w:rsidR="00130278">
        <w:rPr>
          <w:rFonts w:ascii="Arial" w:hAnsi="Arial" w:cs="Arial"/>
          <w:bCs/>
          <w:color w:val="1A1A1A"/>
          <w:sz w:val="22"/>
          <w:szCs w:val="22"/>
        </w:rPr>
        <w:t xml:space="preserve"> amounting to INR 16,000.00 Crores and 20.00</w:t>
      </w:r>
      <w:r w:rsidR="00130278" w:rsidRPr="00236D5D">
        <w:rPr>
          <w:rFonts w:ascii="Arial" w:hAnsi="Arial" w:cs="Arial"/>
          <w:bCs/>
          <w:color w:val="1A1A1A"/>
          <w:sz w:val="22"/>
          <w:szCs w:val="22"/>
        </w:rPr>
        <w:t xml:space="preserve"> crores equity shares of INR 1</w:t>
      </w:r>
      <w:r w:rsidR="00130278">
        <w:rPr>
          <w:rFonts w:ascii="Arial" w:hAnsi="Arial" w:cs="Arial"/>
          <w:bCs/>
          <w:color w:val="1A1A1A"/>
          <w:sz w:val="22"/>
          <w:szCs w:val="22"/>
        </w:rPr>
        <w:t>0</w:t>
      </w:r>
      <w:r w:rsidR="00130278" w:rsidRPr="00236D5D">
        <w:rPr>
          <w:rFonts w:ascii="Arial" w:hAnsi="Arial" w:cs="Arial"/>
          <w:bCs/>
          <w:color w:val="1A1A1A"/>
          <w:sz w:val="22"/>
          <w:szCs w:val="22"/>
        </w:rPr>
        <w:t>0/- each</w:t>
      </w:r>
      <w:r w:rsidR="00130278">
        <w:rPr>
          <w:rFonts w:ascii="Arial" w:hAnsi="Arial" w:cs="Arial"/>
          <w:bCs/>
          <w:color w:val="1A1A1A"/>
          <w:sz w:val="22"/>
          <w:szCs w:val="22"/>
        </w:rPr>
        <w:t xml:space="preserve"> amounting to INR 2,000.00 Crores</w:t>
      </w:r>
      <w:r w:rsidRPr="00236D5D">
        <w:rPr>
          <w:rFonts w:ascii="Arial" w:hAnsi="Arial" w:cs="Arial"/>
          <w:bCs/>
          <w:color w:val="1A1A1A"/>
          <w:sz w:val="22"/>
          <w:szCs w:val="22"/>
        </w:rPr>
        <w:t>.</w:t>
      </w:r>
      <w:r>
        <w:rPr>
          <w:rFonts w:ascii="Arial" w:hAnsi="Arial" w:cs="Arial"/>
          <w:b/>
          <w:color w:val="1A1A1A"/>
          <w:sz w:val="22"/>
          <w:szCs w:val="22"/>
        </w:rPr>
        <w:t xml:space="preserve"> </w:t>
      </w:r>
    </w:p>
    <w:p w14:paraId="6145DC34" w14:textId="0FD65A98" w:rsidR="00236D5D" w:rsidRDefault="00236D5D" w:rsidP="00236D5D">
      <w:pPr>
        <w:pStyle w:val="ListParagraph"/>
        <w:spacing w:after="0" w:line="360" w:lineRule="auto"/>
        <w:ind w:left="142" w:right="-23"/>
        <w:jc w:val="both"/>
        <w:rPr>
          <w:rFonts w:ascii="Arial" w:hAnsi="Arial" w:cs="Arial"/>
          <w:bCs/>
          <w:color w:val="1A1A1A"/>
          <w:sz w:val="22"/>
          <w:szCs w:val="22"/>
        </w:rPr>
      </w:pPr>
      <w:r w:rsidRPr="00236D5D">
        <w:rPr>
          <w:rFonts w:ascii="Arial" w:hAnsi="Arial" w:cs="Arial"/>
          <w:bCs/>
          <w:color w:val="1A1A1A"/>
          <w:sz w:val="22"/>
          <w:szCs w:val="22"/>
        </w:rPr>
        <w:t>As per the audited financial statements for the FY202</w:t>
      </w:r>
      <w:r w:rsidR="00894F25">
        <w:rPr>
          <w:rFonts w:ascii="Arial" w:hAnsi="Arial" w:cs="Arial"/>
          <w:bCs/>
          <w:color w:val="1A1A1A"/>
          <w:sz w:val="22"/>
          <w:szCs w:val="22"/>
        </w:rPr>
        <w:t>3</w:t>
      </w:r>
      <w:r w:rsidRPr="00236D5D">
        <w:rPr>
          <w:rFonts w:ascii="Arial" w:hAnsi="Arial" w:cs="Arial"/>
          <w:bCs/>
          <w:color w:val="1A1A1A"/>
          <w:sz w:val="22"/>
          <w:szCs w:val="22"/>
        </w:rPr>
        <w:t>-2</w:t>
      </w:r>
      <w:r w:rsidR="00894F25">
        <w:rPr>
          <w:rFonts w:ascii="Arial" w:hAnsi="Arial" w:cs="Arial"/>
          <w:bCs/>
          <w:color w:val="1A1A1A"/>
          <w:sz w:val="22"/>
          <w:szCs w:val="22"/>
        </w:rPr>
        <w:t>4</w:t>
      </w:r>
      <w:r w:rsidRPr="00236D5D">
        <w:rPr>
          <w:rFonts w:ascii="Arial" w:hAnsi="Arial" w:cs="Arial"/>
          <w:bCs/>
          <w:color w:val="1A1A1A"/>
          <w:sz w:val="22"/>
          <w:szCs w:val="22"/>
        </w:rPr>
        <w:t xml:space="preserve">, the </w:t>
      </w:r>
      <w:r>
        <w:rPr>
          <w:rFonts w:ascii="Arial" w:hAnsi="Arial" w:cs="Arial"/>
          <w:bCs/>
          <w:color w:val="1A1A1A"/>
          <w:sz w:val="22"/>
          <w:szCs w:val="22"/>
        </w:rPr>
        <w:t>paid-up</w:t>
      </w:r>
      <w:r w:rsidRPr="00236D5D">
        <w:rPr>
          <w:rFonts w:ascii="Arial" w:hAnsi="Arial" w:cs="Arial"/>
          <w:bCs/>
          <w:color w:val="1A1A1A"/>
          <w:sz w:val="22"/>
          <w:szCs w:val="22"/>
        </w:rPr>
        <w:t xml:space="preserve"> share capital of the company is INR </w:t>
      </w:r>
      <w:r w:rsidR="00130278">
        <w:rPr>
          <w:rFonts w:ascii="Arial" w:hAnsi="Arial" w:cs="Arial"/>
          <w:bCs/>
          <w:color w:val="1A1A1A"/>
          <w:sz w:val="22"/>
          <w:szCs w:val="22"/>
        </w:rPr>
        <w:t>12,807.02</w:t>
      </w:r>
      <w:r w:rsidRPr="00236D5D">
        <w:rPr>
          <w:rFonts w:ascii="Arial" w:hAnsi="Arial" w:cs="Arial"/>
          <w:bCs/>
          <w:color w:val="1A1A1A"/>
          <w:sz w:val="22"/>
          <w:szCs w:val="22"/>
        </w:rPr>
        <w:t xml:space="preserve"> Crores divided into </w:t>
      </w:r>
      <w:r w:rsidR="00130278">
        <w:rPr>
          <w:rFonts w:ascii="Arial" w:hAnsi="Arial" w:cs="Arial"/>
          <w:bCs/>
          <w:color w:val="1A1A1A"/>
          <w:sz w:val="22"/>
          <w:szCs w:val="22"/>
        </w:rPr>
        <w:t>1,280.702</w:t>
      </w:r>
      <w:r w:rsidRPr="00236D5D">
        <w:rPr>
          <w:rFonts w:ascii="Arial" w:hAnsi="Arial" w:cs="Arial"/>
          <w:bCs/>
          <w:color w:val="1A1A1A"/>
          <w:sz w:val="22"/>
          <w:szCs w:val="22"/>
        </w:rPr>
        <w:t xml:space="preserve"> crores equity shares of INR 10/- each</w:t>
      </w:r>
      <w:r>
        <w:rPr>
          <w:rFonts w:ascii="Arial" w:hAnsi="Arial" w:cs="Arial"/>
          <w:bCs/>
          <w:color w:val="1A1A1A"/>
          <w:sz w:val="22"/>
          <w:szCs w:val="22"/>
        </w:rPr>
        <w:t xml:space="preserve"> fully paid up</w:t>
      </w:r>
      <w:r w:rsidRPr="00236D5D">
        <w:rPr>
          <w:rFonts w:ascii="Arial" w:hAnsi="Arial" w:cs="Arial"/>
          <w:bCs/>
          <w:color w:val="1A1A1A"/>
          <w:sz w:val="22"/>
          <w:szCs w:val="22"/>
        </w:rPr>
        <w:t>.</w:t>
      </w:r>
    </w:p>
    <w:p w14:paraId="0458FD3B" w14:textId="77777777" w:rsidR="00236D5D" w:rsidRPr="00F85DBD" w:rsidRDefault="00236D5D" w:rsidP="00236D5D">
      <w:pPr>
        <w:pStyle w:val="ListParagraph"/>
        <w:spacing w:after="0" w:line="360" w:lineRule="auto"/>
        <w:ind w:left="142" w:right="-23"/>
        <w:jc w:val="both"/>
        <w:rPr>
          <w:rFonts w:ascii="Arial" w:hAnsi="Arial" w:cs="Arial"/>
          <w:bCs/>
          <w:sz w:val="22"/>
          <w:szCs w:val="22"/>
          <w:lang w:val="en-IN"/>
        </w:rPr>
      </w:pPr>
    </w:p>
    <w:p w14:paraId="48D36C8E" w14:textId="77777777" w:rsidR="00D009F6" w:rsidRPr="00D009F6" w:rsidRDefault="00D0374D" w:rsidP="00B07001">
      <w:pPr>
        <w:pStyle w:val="ListParagraph"/>
        <w:numPr>
          <w:ilvl w:val="0"/>
          <w:numId w:val="10"/>
        </w:numPr>
        <w:spacing w:line="360" w:lineRule="auto"/>
        <w:ind w:left="142" w:right="-23" w:hanging="426"/>
        <w:jc w:val="both"/>
        <w:rPr>
          <w:rFonts w:ascii="Arial" w:hAnsi="Arial" w:cs="Arial"/>
          <w:bCs/>
          <w:sz w:val="22"/>
          <w:szCs w:val="22"/>
          <w:lang w:val="en-IN"/>
        </w:rPr>
      </w:pPr>
      <w:r w:rsidRPr="006A0EB3">
        <w:rPr>
          <w:rFonts w:ascii="Arial" w:hAnsi="Arial" w:cs="Arial"/>
          <w:b/>
          <w:bCs/>
          <w:sz w:val="22"/>
          <w:szCs w:val="22"/>
          <w:lang w:val="en-IN"/>
        </w:rPr>
        <w:t>SHAREHOLDING PATTERN:</w:t>
      </w:r>
      <w:r w:rsidR="006A0EB3" w:rsidRPr="006A0EB3">
        <w:rPr>
          <w:rFonts w:ascii="Arial" w:hAnsi="Arial" w:cs="Arial"/>
          <w:b/>
          <w:bCs/>
          <w:sz w:val="22"/>
          <w:szCs w:val="22"/>
          <w:lang w:val="en-IN"/>
        </w:rPr>
        <w:t xml:space="preserve"> </w:t>
      </w:r>
    </w:p>
    <w:p w14:paraId="29E368B5" w14:textId="20BB3455" w:rsidR="004B5B00" w:rsidRDefault="00F85DBD" w:rsidP="00D009F6">
      <w:pPr>
        <w:pStyle w:val="ListParagraph"/>
        <w:spacing w:line="360" w:lineRule="auto"/>
        <w:ind w:left="142" w:right="-23"/>
        <w:jc w:val="both"/>
        <w:rPr>
          <w:rFonts w:ascii="Arial" w:hAnsi="Arial" w:cs="Arial"/>
          <w:bCs/>
          <w:sz w:val="22"/>
          <w:szCs w:val="22"/>
          <w:lang w:val="en-IN"/>
        </w:rPr>
      </w:pPr>
      <w:r w:rsidRPr="00F85DBD">
        <w:rPr>
          <w:rFonts w:ascii="Arial" w:hAnsi="Arial" w:cs="Arial"/>
          <w:bCs/>
          <w:sz w:val="22"/>
          <w:szCs w:val="22"/>
          <w:lang w:val="en-IN"/>
        </w:rPr>
        <w:t xml:space="preserve">As </w:t>
      </w:r>
      <w:r>
        <w:rPr>
          <w:rFonts w:ascii="Arial" w:hAnsi="Arial" w:cs="Arial"/>
          <w:bCs/>
          <w:sz w:val="22"/>
          <w:szCs w:val="22"/>
          <w:lang w:val="en-IN"/>
        </w:rPr>
        <w:t xml:space="preserve">per </w:t>
      </w:r>
      <w:r w:rsidR="00FD0625">
        <w:rPr>
          <w:rFonts w:ascii="Arial" w:hAnsi="Arial" w:cs="Arial"/>
          <w:bCs/>
          <w:sz w:val="22"/>
          <w:szCs w:val="22"/>
          <w:lang w:val="en-IN"/>
        </w:rPr>
        <w:t>information shared by company/client</w:t>
      </w:r>
      <w:r>
        <w:rPr>
          <w:rFonts w:ascii="Arial" w:hAnsi="Arial" w:cs="Arial"/>
          <w:bCs/>
          <w:sz w:val="22"/>
          <w:szCs w:val="22"/>
          <w:lang w:val="en-IN"/>
        </w:rPr>
        <w:t xml:space="preserve">, below are the details of shareholders </w:t>
      </w:r>
      <w:r w:rsidR="00FD0625">
        <w:rPr>
          <w:rFonts w:ascii="Arial" w:hAnsi="Arial" w:cs="Arial"/>
          <w:bCs/>
          <w:sz w:val="22"/>
          <w:szCs w:val="22"/>
          <w:lang w:val="en-IN"/>
        </w:rPr>
        <w:t>as on 30</w:t>
      </w:r>
      <w:r w:rsidR="00FD0625" w:rsidRPr="00FD0625">
        <w:rPr>
          <w:rFonts w:ascii="Arial" w:hAnsi="Arial" w:cs="Arial"/>
          <w:bCs/>
          <w:sz w:val="22"/>
          <w:szCs w:val="22"/>
          <w:vertAlign w:val="superscript"/>
          <w:lang w:val="en-IN"/>
        </w:rPr>
        <w:t>th</w:t>
      </w:r>
      <w:r w:rsidR="00FD0625">
        <w:rPr>
          <w:rFonts w:ascii="Arial" w:hAnsi="Arial" w:cs="Arial"/>
          <w:bCs/>
          <w:sz w:val="22"/>
          <w:szCs w:val="22"/>
          <w:lang w:val="en-IN"/>
        </w:rPr>
        <w:t xml:space="preserve"> September, 202</w:t>
      </w:r>
      <w:r w:rsidR="00130278">
        <w:rPr>
          <w:rFonts w:ascii="Arial" w:hAnsi="Arial" w:cs="Arial"/>
          <w:bCs/>
          <w:sz w:val="22"/>
          <w:szCs w:val="22"/>
          <w:lang w:val="en-IN"/>
        </w:rPr>
        <w:t>4</w:t>
      </w:r>
      <w:r>
        <w:rPr>
          <w:rFonts w:ascii="Arial" w:hAnsi="Arial" w:cs="Arial"/>
          <w:bCs/>
          <w:sz w:val="22"/>
          <w:szCs w:val="22"/>
          <w:lang w:val="en-IN"/>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
        <w:gridCol w:w="4678"/>
        <w:gridCol w:w="17"/>
        <w:gridCol w:w="1258"/>
        <w:gridCol w:w="18"/>
        <w:gridCol w:w="1783"/>
        <w:gridCol w:w="60"/>
        <w:gridCol w:w="975"/>
      </w:tblGrid>
      <w:tr w:rsidR="00130278" w:rsidRPr="00130278" w14:paraId="4A3344FE" w14:textId="77777777" w:rsidTr="00EC0B59">
        <w:trPr>
          <w:trHeight w:val="672"/>
        </w:trPr>
        <w:tc>
          <w:tcPr>
            <w:tcW w:w="567" w:type="dxa"/>
            <w:gridSpan w:val="2"/>
            <w:shd w:val="clear" w:color="000000" w:fill="002060"/>
            <w:vAlign w:val="center"/>
            <w:hideMark/>
          </w:tcPr>
          <w:p w14:paraId="0DD4D96B" w14:textId="523B9135" w:rsidR="00130278" w:rsidRPr="00130278" w:rsidRDefault="00130278" w:rsidP="00130278">
            <w:pPr>
              <w:spacing w:after="0" w:line="240" w:lineRule="auto"/>
              <w:jc w:val="center"/>
              <w:rPr>
                <w:rFonts w:asciiTheme="minorHAnsi" w:hAnsiTheme="minorHAnsi" w:cstheme="minorHAnsi"/>
                <w:b/>
                <w:bCs/>
                <w:color w:val="FFFFFF"/>
                <w:sz w:val="22"/>
                <w:szCs w:val="22"/>
                <w:lang w:val="en-IN" w:eastAsia="en-IN"/>
              </w:rPr>
            </w:pPr>
            <w:r w:rsidRPr="00130278">
              <w:rPr>
                <w:rFonts w:asciiTheme="minorHAnsi" w:hAnsiTheme="minorHAnsi" w:cstheme="minorHAnsi"/>
                <w:b/>
                <w:bCs/>
                <w:color w:val="FFFFFF"/>
                <w:sz w:val="22"/>
                <w:szCs w:val="22"/>
                <w:lang w:val="en-IN" w:eastAsia="en-IN"/>
              </w:rPr>
              <w:t>S. No.</w:t>
            </w:r>
          </w:p>
        </w:tc>
        <w:tc>
          <w:tcPr>
            <w:tcW w:w="4695" w:type="dxa"/>
            <w:gridSpan w:val="2"/>
            <w:shd w:val="clear" w:color="000000" w:fill="002060"/>
            <w:vAlign w:val="center"/>
            <w:hideMark/>
          </w:tcPr>
          <w:p w14:paraId="39A58AFB" w14:textId="77777777" w:rsidR="00130278" w:rsidRPr="00130278" w:rsidRDefault="00130278" w:rsidP="00130278">
            <w:pPr>
              <w:spacing w:after="0" w:line="240" w:lineRule="auto"/>
              <w:rPr>
                <w:rFonts w:asciiTheme="minorHAnsi" w:hAnsiTheme="minorHAnsi" w:cstheme="minorHAnsi"/>
                <w:b/>
                <w:bCs/>
                <w:color w:val="FFFFFF"/>
                <w:sz w:val="22"/>
                <w:szCs w:val="22"/>
                <w:lang w:val="en-IN" w:eastAsia="en-IN"/>
              </w:rPr>
            </w:pPr>
            <w:r w:rsidRPr="00130278">
              <w:rPr>
                <w:rFonts w:asciiTheme="minorHAnsi" w:hAnsiTheme="minorHAnsi" w:cstheme="minorHAnsi"/>
                <w:b/>
                <w:bCs/>
                <w:color w:val="FFFFFF"/>
                <w:sz w:val="22"/>
                <w:szCs w:val="22"/>
                <w:lang w:val="en-IN" w:eastAsia="en-IN"/>
              </w:rPr>
              <w:t>Category</w:t>
            </w:r>
          </w:p>
        </w:tc>
        <w:tc>
          <w:tcPr>
            <w:tcW w:w="1276" w:type="dxa"/>
            <w:gridSpan w:val="2"/>
            <w:shd w:val="clear" w:color="000000" w:fill="002060"/>
            <w:vAlign w:val="center"/>
            <w:hideMark/>
          </w:tcPr>
          <w:p w14:paraId="1ED18000" w14:textId="77777777" w:rsidR="00130278" w:rsidRPr="00130278" w:rsidRDefault="00130278" w:rsidP="00130278">
            <w:pPr>
              <w:spacing w:after="0" w:line="240" w:lineRule="auto"/>
              <w:jc w:val="center"/>
              <w:rPr>
                <w:rFonts w:asciiTheme="minorHAnsi" w:hAnsiTheme="minorHAnsi" w:cstheme="minorHAnsi"/>
                <w:b/>
                <w:bCs/>
                <w:color w:val="FFFFFF"/>
                <w:sz w:val="22"/>
                <w:szCs w:val="22"/>
                <w:lang w:val="en-IN" w:eastAsia="en-IN"/>
              </w:rPr>
            </w:pPr>
            <w:r w:rsidRPr="00130278">
              <w:rPr>
                <w:rFonts w:asciiTheme="minorHAnsi" w:hAnsiTheme="minorHAnsi" w:cstheme="minorHAnsi"/>
                <w:b/>
                <w:bCs/>
                <w:color w:val="FFFFFF"/>
                <w:sz w:val="22"/>
                <w:szCs w:val="22"/>
                <w:lang w:val="en-IN" w:eastAsia="en-IN"/>
              </w:rPr>
              <w:t>Nos. holders *</w:t>
            </w:r>
          </w:p>
        </w:tc>
        <w:tc>
          <w:tcPr>
            <w:tcW w:w="1843" w:type="dxa"/>
            <w:gridSpan w:val="2"/>
            <w:shd w:val="clear" w:color="000000" w:fill="002060"/>
            <w:vAlign w:val="center"/>
            <w:hideMark/>
          </w:tcPr>
          <w:p w14:paraId="6628380B" w14:textId="77777777" w:rsidR="00130278" w:rsidRPr="00130278" w:rsidRDefault="00130278" w:rsidP="00130278">
            <w:pPr>
              <w:spacing w:after="0" w:line="240" w:lineRule="auto"/>
              <w:jc w:val="center"/>
              <w:rPr>
                <w:rFonts w:asciiTheme="minorHAnsi" w:hAnsiTheme="minorHAnsi" w:cstheme="minorHAnsi"/>
                <w:b/>
                <w:bCs/>
                <w:color w:val="FFFFFF"/>
                <w:sz w:val="22"/>
                <w:szCs w:val="22"/>
                <w:lang w:val="en-IN" w:eastAsia="en-IN"/>
              </w:rPr>
            </w:pPr>
            <w:r w:rsidRPr="00130278">
              <w:rPr>
                <w:rFonts w:asciiTheme="minorHAnsi" w:hAnsiTheme="minorHAnsi" w:cstheme="minorHAnsi"/>
                <w:b/>
                <w:bCs/>
                <w:color w:val="FFFFFF"/>
                <w:sz w:val="22"/>
                <w:szCs w:val="22"/>
                <w:lang w:val="en-IN" w:eastAsia="en-IN"/>
              </w:rPr>
              <w:t>Nos. of Shares held</w:t>
            </w:r>
          </w:p>
        </w:tc>
        <w:tc>
          <w:tcPr>
            <w:tcW w:w="975" w:type="dxa"/>
            <w:shd w:val="clear" w:color="000000" w:fill="002060"/>
            <w:vAlign w:val="center"/>
            <w:hideMark/>
          </w:tcPr>
          <w:p w14:paraId="2FFAF91B" w14:textId="77777777" w:rsidR="00130278" w:rsidRPr="00130278" w:rsidRDefault="00130278" w:rsidP="00130278">
            <w:pPr>
              <w:spacing w:after="0" w:line="240" w:lineRule="auto"/>
              <w:jc w:val="center"/>
              <w:rPr>
                <w:rFonts w:asciiTheme="minorHAnsi" w:hAnsiTheme="minorHAnsi" w:cstheme="minorHAnsi"/>
                <w:b/>
                <w:bCs/>
                <w:color w:val="FFFFFF"/>
                <w:sz w:val="22"/>
                <w:szCs w:val="22"/>
                <w:lang w:val="en-IN" w:eastAsia="en-IN"/>
              </w:rPr>
            </w:pPr>
            <w:r w:rsidRPr="00130278">
              <w:rPr>
                <w:rFonts w:asciiTheme="minorHAnsi" w:hAnsiTheme="minorHAnsi" w:cstheme="minorHAnsi"/>
                <w:b/>
                <w:bCs/>
                <w:color w:val="FFFFFF"/>
                <w:sz w:val="22"/>
                <w:szCs w:val="22"/>
                <w:lang w:val="en-IN" w:eastAsia="en-IN"/>
              </w:rPr>
              <w:t>%</w:t>
            </w:r>
          </w:p>
        </w:tc>
      </w:tr>
      <w:tr w:rsidR="00130278" w:rsidRPr="00130278" w14:paraId="124ED5D2" w14:textId="77777777" w:rsidTr="00EC0B59">
        <w:trPr>
          <w:trHeight w:val="360"/>
        </w:trPr>
        <w:tc>
          <w:tcPr>
            <w:tcW w:w="567" w:type="dxa"/>
            <w:gridSpan w:val="2"/>
            <w:shd w:val="clear" w:color="000000" w:fill="DCE6F1"/>
            <w:noWrap/>
            <w:vAlign w:val="center"/>
            <w:hideMark/>
          </w:tcPr>
          <w:p w14:paraId="2BEAA95A"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1</w:t>
            </w:r>
          </w:p>
        </w:tc>
        <w:tc>
          <w:tcPr>
            <w:tcW w:w="4695" w:type="dxa"/>
            <w:gridSpan w:val="2"/>
            <w:shd w:val="clear" w:color="000000" w:fill="DCE6F1"/>
            <w:vAlign w:val="center"/>
            <w:hideMark/>
          </w:tcPr>
          <w:p w14:paraId="646FBCCE" w14:textId="77777777" w:rsidR="00130278" w:rsidRPr="00130278" w:rsidRDefault="00130278" w:rsidP="00130278">
            <w:pPr>
              <w:spacing w:after="0" w:line="240" w:lineRule="auto"/>
              <w:rPr>
                <w:rFonts w:asciiTheme="minorHAnsi" w:hAnsiTheme="minorHAnsi" w:cstheme="minorHAnsi"/>
                <w:b/>
                <w:bCs/>
                <w:i/>
                <w:iCs/>
                <w:sz w:val="22"/>
                <w:szCs w:val="22"/>
                <w:lang w:val="en-IN" w:eastAsia="en-IN"/>
              </w:rPr>
            </w:pPr>
            <w:r w:rsidRPr="00130278">
              <w:rPr>
                <w:rFonts w:asciiTheme="minorHAnsi" w:hAnsiTheme="minorHAnsi" w:cstheme="minorHAnsi"/>
                <w:b/>
                <w:bCs/>
                <w:i/>
                <w:iCs/>
                <w:sz w:val="22"/>
                <w:szCs w:val="22"/>
                <w:lang w:val="en-IN" w:eastAsia="en-IN"/>
              </w:rPr>
              <w:t>Promoter &amp; Promoter Group</w:t>
            </w:r>
          </w:p>
        </w:tc>
        <w:tc>
          <w:tcPr>
            <w:tcW w:w="1276" w:type="dxa"/>
            <w:gridSpan w:val="2"/>
            <w:shd w:val="clear" w:color="000000" w:fill="DCE6F1"/>
            <w:noWrap/>
            <w:vAlign w:val="center"/>
            <w:hideMark/>
          </w:tcPr>
          <w:p w14:paraId="2DAB263F"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1</w:t>
            </w:r>
          </w:p>
        </w:tc>
        <w:tc>
          <w:tcPr>
            <w:tcW w:w="1843" w:type="dxa"/>
            <w:gridSpan w:val="2"/>
            <w:shd w:val="clear" w:color="000000" w:fill="DCE6F1"/>
            <w:noWrap/>
            <w:vAlign w:val="center"/>
            <w:hideMark/>
          </w:tcPr>
          <w:p w14:paraId="19E6F896"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42,01,44,016</w:t>
            </w:r>
          </w:p>
        </w:tc>
        <w:tc>
          <w:tcPr>
            <w:tcW w:w="975" w:type="dxa"/>
            <w:shd w:val="clear" w:color="000000" w:fill="DCE6F1"/>
            <w:noWrap/>
            <w:vAlign w:val="center"/>
            <w:hideMark/>
          </w:tcPr>
          <w:p w14:paraId="4CDB40B9"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3.28</w:t>
            </w:r>
          </w:p>
        </w:tc>
      </w:tr>
      <w:tr w:rsidR="007F4165" w:rsidRPr="00130278" w14:paraId="06D3CA8B" w14:textId="77777777" w:rsidTr="00EC0B59">
        <w:trPr>
          <w:trHeight w:val="360"/>
        </w:trPr>
        <w:tc>
          <w:tcPr>
            <w:tcW w:w="567" w:type="dxa"/>
            <w:gridSpan w:val="2"/>
            <w:shd w:val="clear" w:color="auto" w:fill="auto"/>
            <w:noWrap/>
            <w:vAlign w:val="center"/>
            <w:hideMark/>
          </w:tcPr>
          <w:p w14:paraId="756DA03E"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2</w:t>
            </w:r>
          </w:p>
        </w:tc>
        <w:tc>
          <w:tcPr>
            <w:tcW w:w="4695" w:type="dxa"/>
            <w:gridSpan w:val="2"/>
            <w:shd w:val="clear" w:color="auto" w:fill="auto"/>
            <w:vAlign w:val="center"/>
            <w:hideMark/>
          </w:tcPr>
          <w:p w14:paraId="09A96B41" w14:textId="3B504CF7" w:rsidR="00130278" w:rsidRPr="00130278" w:rsidRDefault="00130278" w:rsidP="00130278">
            <w:pPr>
              <w:spacing w:after="0" w:line="240" w:lineRule="auto"/>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xml:space="preserve">Public </w:t>
            </w:r>
            <w:r w:rsidR="00A5218D">
              <w:rPr>
                <w:rFonts w:asciiTheme="minorHAnsi" w:hAnsiTheme="minorHAnsi" w:cstheme="minorHAnsi"/>
                <w:sz w:val="22"/>
                <w:szCs w:val="22"/>
                <w:lang w:val="en-IN" w:eastAsia="en-IN"/>
              </w:rPr>
              <w:t>–</w:t>
            </w:r>
            <w:r w:rsidRPr="00130278">
              <w:rPr>
                <w:rFonts w:asciiTheme="minorHAnsi" w:hAnsiTheme="minorHAnsi" w:cstheme="minorHAnsi"/>
                <w:sz w:val="22"/>
                <w:szCs w:val="22"/>
                <w:lang w:val="en-IN" w:eastAsia="en-IN"/>
              </w:rPr>
              <w:t xml:space="preserve"> Institutions</w:t>
            </w:r>
          </w:p>
        </w:tc>
        <w:tc>
          <w:tcPr>
            <w:tcW w:w="1276" w:type="dxa"/>
            <w:gridSpan w:val="2"/>
            <w:shd w:val="clear" w:color="auto" w:fill="auto"/>
            <w:vAlign w:val="center"/>
            <w:hideMark/>
          </w:tcPr>
          <w:p w14:paraId="4384527D"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c>
          <w:tcPr>
            <w:tcW w:w="1843" w:type="dxa"/>
            <w:gridSpan w:val="2"/>
            <w:shd w:val="clear" w:color="auto" w:fill="auto"/>
            <w:vAlign w:val="center"/>
            <w:hideMark/>
          </w:tcPr>
          <w:p w14:paraId="465D4FE4"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c>
          <w:tcPr>
            <w:tcW w:w="975" w:type="dxa"/>
            <w:shd w:val="clear" w:color="auto" w:fill="auto"/>
            <w:vAlign w:val="center"/>
            <w:hideMark/>
          </w:tcPr>
          <w:p w14:paraId="04CEA670"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r>
      <w:tr w:rsidR="00130278" w:rsidRPr="00130278" w14:paraId="51FDA71E" w14:textId="77777777" w:rsidTr="00EC0B59">
        <w:trPr>
          <w:trHeight w:val="360"/>
        </w:trPr>
        <w:tc>
          <w:tcPr>
            <w:tcW w:w="567" w:type="dxa"/>
            <w:gridSpan w:val="2"/>
            <w:shd w:val="clear" w:color="auto" w:fill="auto"/>
            <w:vAlign w:val="center"/>
            <w:hideMark/>
          </w:tcPr>
          <w:p w14:paraId="060DDE49"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a.</w:t>
            </w:r>
          </w:p>
        </w:tc>
        <w:tc>
          <w:tcPr>
            <w:tcW w:w="4695" w:type="dxa"/>
            <w:gridSpan w:val="2"/>
            <w:shd w:val="clear" w:color="auto" w:fill="auto"/>
            <w:vAlign w:val="center"/>
            <w:hideMark/>
          </w:tcPr>
          <w:p w14:paraId="5D155B4D"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Mutual Funds</w:t>
            </w:r>
          </w:p>
        </w:tc>
        <w:tc>
          <w:tcPr>
            <w:tcW w:w="1276" w:type="dxa"/>
            <w:gridSpan w:val="2"/>
            <w:shd w:val="clear" w:color="auto" w:fill="auto"/>
            <w:noWrap/>
            <w:vAlign w:val="center"/>
            <w:hideMark/>
          </w:tcPr>
          <w:p w14:paraId="175C8F70"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2</w:t>
            </w:r>
          </w:p>
        </w:tc>
        <w:tc>
          <w:tcPr>
            <w:tcW w:w="1843" w:type="dxa"/>
            <w:gridSpan w:val="2"/>
            <w:shd w:val="clear" w:color="auto" w:fill="auto"/>
            <w:noWrap/>
            <w:vAlign w:val="center"/>
            <w:hideMark/>
          </w:tcPr>
          <w:p w14:paraId="54F775D5"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214</w:t>
            </w:r>
          </w:p>
        </w:tc>
        <w:tc>
          <w:tcPr>
            <w:tcW w:w="975" w:type="dxa"/>
            <w:shd w:val="clear" w:color="auto" w:fill="auto"/>
            <w:noWrap/>
            <w:vAlign w:val="center"/>
            <w:hideMark/>
          </w:tcPr>
          <w:p w14:paraId="3470446C"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0.00</w:t>
            </w:r>
          </w:p>
        </w:tc>
      </w:tr>
      <w:tr w:rsidR="00130278" w:rsidRPr="00130278" w14:paraId="575901D8" w14:textId="77777777" w:rsidTr="00EC0B59">
        <w:trPr>
          <w:trHeight w:val="360"/>
        </w:trPr>
        <w:tc>
          <w:tcPr>
            <w:tcW w:w="567" w:type="dxa"/>
            <w:gridSpan w:val="2"/>
            <w:shd w:val="clear" w:color="auto" w:fill="auto"/>
            <w:vAlign w:val="center"/>
            <w:hideMark/>
          </w:tcPr>
          <w:p w14:paraId="0B011978"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b.</w:t>
            </w:r>
          </w:p>
        </w:tc>
        <w:tc>
          <w:tcPr>
            <w:tcW w:w="4695" w:type="dxa"/>
            <w:gridSpan w:val="2"/>
            <w:shd w:val="clear" w:color="auto" w:fill="auto"/>
            <w:vAlign w:val="center"/>
            <w:hideMark/>
          </w:tcPr>
          <w:p w14:paraId="443AD5D4"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Foreign Portfolio Investors</w:t>
            </w:r>
          </w:p>
        </w:tc>
        <w:tc>
          <w:tcPr>
            <w:tcW w:w="1276" w:type="dxa"/>
            <w:gridSpan w:val="2"/>
            <w:shd w:val="clear" w:color="auto" w:fill="auto"/>
            <w:noWrap/>
            <w:vAlign w:val="center"/>
            <w:hideMark/>
          </w:tcPr>
          <w:p w14:paraId="2029F990"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15</w:t>
            </w:r>
          </w:p>
        </w:tc>
        <w:tc>
          <w:tcPr>
            <w:tcW w:w="1843" w:type="dxa"/>
            <w:gridSpan w:val="2"/>
            <w:shd w:val="clear" w:color="auto" w:fill="auto"/>
            <w:noWrap/>
            <w:vAlign w:val="center"/>
            <w:hideMark/>
          </w:tcPr>
          <w:p w14:paraId="0557D119"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1,51,74,288</w:t>
            </w:r>
          </w:p>
        </w:tc>
        <w:tc>
          <w:tcPr>
            <w:tcW w:w="975" w:type="dxa"/>
            <w:shd w:val="clear" w:color="auto" w:fill="auto"/>
            <w:noWrap/>
            <w:vAlign w:val="center"/>
            <w:hideMark/>
          </w:tcPr>
          <w:p w14:paraId="14FD6003"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0.12</w:t>
            </w:r>
          </w:p>
        </w:tc>
      </w:tr>
      <w:tr w:rsidR="00130278" w:rsidRPr="00130278" w14:paraId="341432AD" w14:textId="77777777" w:rsidTr="00EC0B59">
        <w:trPr>
          <w:trHeight w:val="360"/>
        </w:trPr>
        <w:tc>
          <w:tcPr>
            <w:tcW w:w="567" w:type="dxa"/>
            <w:gridSpan w:val="2"/>
            <w:shd w:val="clear" w:color="auto" w:fill="auto"/>
            <w:vAlign w:val="center"/>
            <w:hideMark/>
          </w:tcPr>
          <w:p w14:paraId="0CA8A280"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c.</w:t>
            </w:r>
          </w:p>
        </w:tc>
        <w:tc>
          <w:tcPr>
            <w:tcW w:w="4695" w:type="dxa"/>
            <w:gridSpan w:val="2"/>
            <w:shd w:val="clear" w:color="auto" w:fill="auto"/>
            <w:vAlign w:val="center"/>
            <w:hideMark/>
          </w:tcPr>
          <w:p w14:paraId="3C6EB29C"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Financial Institutions / Banks</w:t>
            </w:r>
          </w:p>
        </w:tc>
        <w:tc>
          <w:tcPr>
            <w:tcW w:w="1276" w:type="dxa"/>
            <w:gridSpan w:val="2"/>
            <w:shd w:val="clear" w:color="auto" w:fill="auto"/>
            <w:noWrap/>
            <w:vAlign w:val="center"/>
            <w:hideMark/>
          </w:tcPr>
          <w:p w14:paraId="7DC6E7A8"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16</w:t>
            </w:r>
          </w:p>
        </w:tc>
        <w:tc>
          <w:tcPr>
            <w:tcW w:w="1843" w:type="dxa"/>
            <w:gridSpan w:val="2"/>
            <w:shd w:val="clear" w:color="auto" w:fill="auto"/>
            <w:noWrap/>
            <w:vAlign w:val="center"/>
            <w:hideMark/>
          </w:tcPr>
          <w:p w14:paraId="52B201D4"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4,31,27,24,898</w:t>
            </w:r>
          </w:p>
        </w:tc>
        <w:tc>
          <w:tcPr>
            <w:tcW w:w="975" w:type="dxa"/>
            <w:shd w:val="clear" w:color="auto" w:fill="auto"/>
            <w:noWrap/>
            <w:vAlign w:val="center"/>
            <w:hideMark/>
          </w:tcPr>
          <w:p w14:paraId="11FD0E24"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33.67</w:t>
            </w:r>
          </w:p>
        </w:tc>
      </w:tr>
      <w:tr w:rsidR="00130278" w:rsidRPr="00130278" w14:paraId="70DA3C9B" w14:textId="77777777" w:rsidTr="00EC0B59">
        <w:trPr>
          <w:trHeight w:val="360"/>
        </w:trPr>
        <w:tc>
          <w:tcPr>
            <w:tcW w:w="567" w:type="dxa"/>
            <w:gridSpan w:val="2"/>
            <w:shd w:val="clear" w:color="auto" w:fill="auto"/>
            <w:vAlign w:val="center"/>
            <w:hideMark/>
          </w:tcPr>
          <w:p w14:paraId="05E8E826"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d.</w:t>
            </w:r>
          </w:p>
        </w:tc>
        <w:tc>
          <w:tcPr>
            <w:tcW w:w="4695" w:type="dxa"/>
            <w:gridSpan w:val="2"/>
            <w:shd w:val="clear" w:color="auto" w:fill="auto"/>
            <w:vAlign w:val="center"/>
            <w:hideMark/>
          </w:tcPr>
          <w:p w14:paraId="531EB05A"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Insurance Companies</w:t>
            </w:r>
          </w:p>
        </w:tc>
        <w:tc>
          <w:tcPr>
            <w:tcW w:w="1276" w:type="dxa"/>
            <w:gridSpan w:val="2"/>
            <w:shd w:val="clear" w:color="auto" w:fill="auto"/>
            <w:noWrap/>
            <w:vAlign w:val="center"/>
            <w:hideMark/>
          </w:tcPr>
          <w:p w14:paraId="5B604F86"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w:t>
            </w:r>
          </w:p>
        </w:tc>
        <w:tc>
          <w:tcPr>
            <w:tcW w:w="1843" w:type="dxa"/>
            <w:gridSpan w:val="2"/>
            <w:shd w:val="clear" w:color="auto" w:fill="auto"/>
            <w:noWrap/>
            <w:vAlign w:val="center"/>
            <w:hideMark/>
          </w:tcPr>
          <w:p w14:paraId="18D7B7ED"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42,61,77,058</w:t>
            </w:r>
          </w:p>
        </w:tc>
        <w:tc>
          <w:tcPr>
            <w:tcW w:w="975" w:type="dxa"/>
            <w:shd w:val="clear" w:color="auto" w:fill="auto"/>
            <w:noWrap/>
            <w:vAlign w:val="center"/>
            <w:hideMark/>
          </w:tcPr>
          <w:p w14:paraId="26B7B652"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3.33</w:t>
            </w:r>
          </w:p>
        </w:tc>
      </w:tr>
      <w:tr w:rsidR="00130278" w:rsidRPr="00130278" w14:paraId="3E9A1E31" w14:textId="77777777" w:rsidTr="00EC0B59">
        <w:trPr>
          <w:trHeight w:val="360"/>
        </w:trPr>
        <w:tc>
          <w:tcPr>
            <w:tcW w:w="567" w:type="dxa"/>
            <w:gridSpan w:val="2"/>
            <w:shd w:val="clear" w:color="000000" w:fill="DCE6F1"/>
            <w:noWrap/>
            <w:vAlign w:val="center"/>
            <w:hideMark/>
          </w:tcPr>
          <w:p w14:paraId="7F53F7D2"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2</w:t>
            </w:r>
          </w:p>
        </w:tc>
        <w:tc>
          <w:tcPr>
            <w:tcW w:w="4695" w:type="dxa"/>
            <w:gridSpan w:val="2"/>
            <w:shd w:val="clear" w:color="000000" w:fill="DCE6F1"/>
            <w:vAlign w:val="center"/>
            <w:hideMark/>
          </w:tcPr>
          <w:p w14:paraId="53573AAF" w14:textId="77777777" w:rsidR="00130278" w:rsidRPr="00130278" w:rsidRDefault="00130278" w:rsidP="00130278">
            <w:pPr>
              <w:spacing w:after="0" w:line="240" w:lineRule="auto"/>
              <w:rPr>
                <w:rFonts w:asciiTheme="minorHAnsi" w:hAnsiTheme="minorHAnsi" w:cstheme="minorHAnsi"/>
                <w:b/>
                <w:bCs/>
                <w:i/>
                <w:iCs/>
                <w:sz w:val="22"/>
                <w:szCs w:val="22"/>
                <w:lang w:val="en-IN" w:eastAsia="en-IN"/>
              </w:rPr>
            </w:pPr>
            <w:r w:rsidRPr="00130278">
              <w:rPr>
                <w:rFonts w:asciiTheme="minorHAnsi" w:hAnsiTheme="minorHAnsi" w:cstheme="minorHAnsi"/>
                <w:b/>
                <w:bCs/>
                <w:i/>
                <w:iCs/>
                <w:sz w:val="22"/>
                <w:szCs w:val="22"/>
                <w:lang w:val="en-IN" w:eastAsia="en-IN"/>
              </w:rPr>
              <w:t>Public Institutions</w:t>
            </w:r>
          </w:p>
        </w:tc>
        <w:tc>
          <w:tcPr>
            <w:tcW w:w="1276" w:type="dxa"/>
            <w:gridSpan w:val="2"/>
            <w:shd w:val="clear" w:color="000000" w:fill="DCE6F1"/>
            <w:noWrap/>
            <w:vAlign w:val="center"/>
            <w:hideMark/>
          </w:tcPr>
          <w:p w14:paraId="54732E1B"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34</w:t>
            </w:r>
          </w:p>
        </w:tc>
        <w:tc>
          <w:tcPr>
            <w:tcW w:w="1843" w:type="dxa"/>
            <w:gridSpan w:val="2"/>
            <w:shd w:val="clear" w:color="000000" w:fill="DCE6F1"/>
            <w:noWrap/>
            <w:vAlign w:val="center"/>
            <w:hideMark/>
          </w:tcPr>
          <w:p w14:paraId="61BC962D"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4,75,40,76,458</w:t>
            </w:r>
          </w:p>
        </w:tc>
        <w:tc>
          <w:tcPr>
            <w:tcW w:w="975" w:type="dxa"/>
            <w:shd w:val="clear" w:color="000000" w:fill="DCE6F1"/>
            <w:noWrap/>
            <w:vAlign w:val="center"/>
            <w:hideMark/>
          </w:tcPr>
          <w:p w14:paraId="1ADA2A6B"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37.12</w:t>
            </w:r>
          </w:p>
        </w:tc>
      </w:tr>
      <w:tr w:rsidR="007F4165" w:rsidRPr="00130278" w14:paraId="4D353095" w14:textId="77777777" w:rsidTr="00EC0B59">
        <w:trPr>
          <w:trHeight w:val="360"/>
        </w:trPr>
        <w:tc>
          <w:tcPr>
            <w:tcW w:w="567" w:type="dxa"/>
            <w:gridSpan w:val="2"/>
            <w:shd w:val="clear" w:color="auto" w:fill="auto"/>
            <w:noWrap/>
            <w:vAlign w:val="center"/>
            <w:hideMark/>
          </w:tcPr>
          <w:p w14:paraId="3985170B"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3</w:t>
            </w:r>
          </w:p>
        </w:tc>
        <w:tc>
          <w:tcPr>
            <w:tcW w:w="4695" w:type="dxa"/>
            <w:gridSpan w:val="2"/>
            <w:shd w:val="clear" w:color="auto" w:fill="auto"/>
            <w:vAlign w:val="center"/>
            <w:hideMark/>
          </w:tcPr>
          <w:p w14:paraId="41D1C149" w14:textId="77777777" w:rsidR="00130278" w:rsidRPr="00130278" w:rsidRDefault="00130278" w:rsidP="00130278">
            <w:pPr>
              <w:spacing w:after="0" w:line="240" w:lineRule="auto"/>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Public - Non-Institutions</w:t>
            </w:r>
          </w:p>
        </w:tc>
        <w:tc>
          <w:tcPr>
            <w:tcW w:w="1276" w:type="dxa"/>
            <w:gridSpan w:val="2"/>
            <w:shd w:val="clear" w:color="auto" w:fill="auto"/>
            <w:vAlign w:val="center"/>
            <w:hideMark/>
          </w:tcPr>
          <w:p w14:paraId="26F0E184"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c>
          <w:tcPr>
            <w:tcW w:w="1843" w:type="dxa"/>
            <w:gridSpan w:val="2"/>
            <w:shd w:val="clear" w:color="auto" w:fill="auto"/>
            <w:vAlign w:val="center"/>
            <w:hideMark/>
          </w:tcPr>
          <w:p w14:paraId="0208502F"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c>
          <w:tcPr>
            <w:tcW w:w="975" w:type="dxa"/>
            <w:shd w:val="clear" w:color="auto" w:fill="auto"/>
            <w:vAlign w:val="center"/>
            <w:hideMark/>
          </w:tcPr>
          <w:p w14:paraId="13F8DCA4"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r>
      <w:tr w:rsidR="00130278" w:rsidRPr="00130278" w14:paraId="12BEBBAB" w14:textId="77777777" w:rsidTr="00EC0B59">
        <w:trPr>
          <w:trHeight w:val="360"/>
        </w:trPr>
        <w:tc>
          <w:tcPr>
            <w:tcW w:w="567" w:type="dxa"/>
            <w:gridSpan w:val="2"/>
            <w:shd w:val="clear" w:color="auto" w:fill="auto"/>
            <w:vAlign w:val="center"/>
            <w:hideMark/>
          </w:tcPr>
          <w:p w14:paraId="0C95AD08"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a.</w:t>
            </w:r>
          </w:p>
        </w:tc>
        <w:tc>
          <w:tcPr>
            <w:tcW w:w="4695" w:type="dxa"/>
            <w:gridSpan w:val="2"/>
            <w:shd w:val="clear" w:color="auto" w:fill="auto"/>
            <w:vAlign w:val="center"/>
            <w:hideMark/>
          </w:tcPr>
          <w:p w14:paraId="651BCAC5"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Resident Individuals / HUF</w:t>
            </w:r>
          </w:p>
        </w:tc>
        <w:tc>
          <w:tcPr>
            <w:tcW w:w="1276" w:type="dxa"/>
            <w:gridSpan w:val="2"/>
            <w:shd w:val="clear" w:color="auto" w:fill="auto"/>
            <w:noWrap/>
            <w:vAlign w:val="center"/>
            <w:hideMark/>
          </w:tcPr>
          <w:p w14:paraId="763ED09D"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27,63,673</w:t>
            </w:r>
          </w:p>
        </w:tc>
        <w:tc>
          <w:tcPr>
            <w:tcW w:w="1843" w:type="dxa"/>
            <w:gridSpan w:val="2"/>
            <w:shd w:val="clear" w:color="auto" w:fill="auto"/>
            <w:noWrap/>
            <w:vAlign w:val="center"/>
            <w:hideMark/>
          </w:tcPr>
          <w:p w14:paraId="62D60A33"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7,22,30,30,460</w:t>
            </w:r>
          </w:p>
        </w:tc>
        <w:tc>
          <w:tcPr>
            <w:tcW w:w="975" w:type="dxa"/>
            <w:shd w:val="clear" w:color="auto" w:fill="auto"/>
            <w:noWrap/>
            <w:vAlign w:val="center"/>
            <w:hideMark/>
          </w:tcPr>
          <w:p w14:paraId="48522769"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56.40</w:t>
            </w:r>
          </w:p>
        </w:tc>
      </w:tr>
      <w:tr w:rsidR="00130278" w:rsidRPr="00130278" w14:paraId="6D6B55E3" w14:textId="77777777" w:rsidTr="00EC0B59">
        <w:trPr>
          <w:trHeight w:val="360"/>
        </w:trPr>
        <w:tc>
          <w:tcPr>
            <w:tcW w:w="567" w:type="dxa"/>
            <w:gridSpan w:val="2"/>
            <w:shd w:val="clear" w:color="auto" w:fill="auto"/>
            <w:vAlign w:val="center"/>
            <w:hideMark/>
          </w:tcPr>
          <w:p w14:paraId="3A323E67"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b.</w:t>
            </w:r>
          </w:p>
        </w:tc>
        <w:tc>
          <w:tcPr>
            <w:tcW w:w="4695" w:type="dxa"/>
            <w:gridSpan w:val="2"/>
            <w:shd w:val="clear" w:color="auto" w:fill="auto"/>
            <w:vAlign w:val="center"/>
            <w:hideMark/>
          </w:tcPr>
          <w:p w14:paraId="3490C07F" w14:textId="72609A42"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xml:space="preserve">- Other </w:t>
            </w:r>
            <w:r w:rsidR="00A5218D">
              <w:rPr>
                <w:rFonts w:asciiTheme="minorHAnsi" w:hAnsiTheme="minorHAnsi" w:cstheme="minorHAnsi"/>
                <w:sz w:val="22"/>
                <w:szCs w:val="22"/>
                <w:lang w:val="en-IN" w:eastAsia="en-IN"/>
              </w:rPr>
              <w:t>–</w:t>
            </w:r>
            <w:r w:rsidRPr="00130278">
              <w:rPr>
                <w:rFonts w:asciiTheme="minorHAnsi" w:hAnsiTheme="minorHAnsi" w:cstheme="minorHAnsi"/>
                <w:sz w:val="22"/>
                <w:szCs w:val="22"/>
                <w:lang w:val="en-IN" w:eastAsia="en-IN"/>
              </w:rPr>
              <w:t xml:space="preserve"> Trusts</w:t>
            </w:r>
          </w:p>
        </w:tc>
        <w:tc>
          <w:tcPr>
            <w:tcW w:w="1276" w:type="dxa"/>
            <w:gridSpan w:val="2"/>
            <w:shd w:val="clear" w:color="auto" w:fill="auto"/>
            <w:noWrap/>
            <w:vAlign w:val="center"/>
            <w:hideMark/>
          </w:tcPr>
          <w:p w14:paraId="3035A220"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7</w:t>
            </w:r>
          </w:p>
        </w:tc>
        <w:tc>
          <w:tcPr>
            <w:tcW w:w="1843" w:type="dxa"/>
            <w:gridSpan w:val="2"/>
            <w:shd w:val="clear" w:color="auto" w:fill="auto"/>
            <w:noWrap/>
            <w:vAlign w:val="center"/>
            <w:hideMark/>
          </w:tcPr>
          <w:p w14:paraId="1499853D"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5,72,600</w:t>
            </w:r>
          </w:p>
        </w:tc>
        <w:tc>
          <w:tcPr>
            <w:tcW w:w="975" w:type="dxa"/>
            <w:shd w:val="clear" w:color="auto" w:fill="auto"/>
            <w:noWrap/>
            <w:vAlign w:val="center"/>
            <w:hideMark/>
          </w:tcPr>
          <w:p w14:paraId="60991FF1"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0.00</w:t>
            </w:r>
          </w:p>
        </w:tc>
      </w:tr>
      <w:tr w:rsidR="00130278" w:rsidRPr="00130278" w14:paraId="7A114C10" w14:textId="77777777" w:rsidTr="00EC0B59">
        <w:trPr>
          <w:trHeight w:val="360"/>
        </w:trPr>
        <w:tc>
          <w:tcPr>
            <w:tcW w:w="567" w:type="dxa"/>
            <w:gridSpan w:val="2"/>
            <w:shd w:val="clear" w:color="auto" w:fill="auto"/>
            <w:vAlign w:val="center"/>
            <w:hideMark/>
          </w:tcPr>
          <w:p w14:paraId="49CAD089"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c.</w:t>
            </w:r>
          </w:p>
        </w:tc>
        <w:tc>
          <w:tcPr>
            <w:tcW w:w="4695" w:type="dxa"/>
            <w:gridSpan w:val="2"/>
            <w:shd w:val="clear" w:color="auto" w:fill="auto"/>
            <w:vAlign w:val="center"/>
            <w:hideMark/>
          </w:tcPr>
          <w:p w14:paraId="04AF0757"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Bodies Corporate (Domestic)</w:t>
            </w:r>
          </w:p>
        </w:tc>
        <w:tc>
          <w:tcPr>
            <w:tcW w:w="1276" w:type="dxa"/>
            <w:gridSpan w:val="2"/>
            <w:shd w:val="clear" w:color="auto" w:fill="auto"/>
            <w:noWrap/>
            <w:vAlign w:val="center"/>
            <w:hideMark/>
          </w:tcPr>
          <w:p w14:paraId="49B959D7"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1,219</w:t>
            </w:r>
          </w:p>
        </w:tc>
        <w:tc>
          <w:tcPr>
            <w:tcW w:w="1843" w:type="dxa"/>
            <w:gridSpan w:val="2"/>
            <w:shd w:val="clear" w:color="auto" w:fill="auto"/>
            <w:noWrap/>
            <w:vAlign w:val="center"/>
            <w:hideMark/>
          </w:tcPr>
          <w:p w14:paraId="66B860A6"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13,88,56,153</w:t>
            </w:r>
          </w:p>
        </w:tc>
        <w:tc>
          <w:tcPr>
            <w:tcW w:w="975" w:type="dxa"/>
            <w:shd w:val="clear" w:color="auto" w:fill="auto"/>
            <w:noWrap/>
            <w:vAlign w:val="center"/>
            <w:hideMark/>
          </w:tcPr>
          <w:p w14:paraId="4A60AE73"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1.08</w:t>
            </w:r>
          </w:p>
        </w:tc>
      </w:tr>
      <w:tr w:rsidR="00130278" w:rsidRPr="00130278" w14:paraId="38864B9A" w14:textId="77777777" w:rsidTr="00EC0B59">
        <w:trPr>
          <w:trHeight w:val="360"/>
        </w:trPr>
        <w:tc>
          <w:tcPr>
            <w:tcW w:w="567" w:type="dxa"/>
            <w:gridSpan w:val="2"/>
            <w:shd w:val="clear" w:color="auto" w:fill="auto"/>
            <w:vAlign w:val="center"/>
            <w:hideMark/>
          </w:tcPr>
          <w:p w14:paraId="049FFD4C"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d.</w:t>
            </w:r>
          </w:p>
        </w:tc>
        <w:tc>
          <w:tcPr>
            <w:tcW w:w="4695" w:type="dxa"/>
            <w:gridSpan w:val="2"/>
            <w:shd w:val="clear" w:color="auto" w:fill="auto"/>
            <w:vAlign w:val="center"/>
            <w:hideMark/>
          </w:tcPr>
          <w:p w14:paraId="08C50D47"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Clearing Members</w:t>
            </w:r>
          </w:p>
        </w:tc>
        <w:tc>
          <w:tcPr>
            <w:tcW w:w="1276" w:type="dxa"/>
            <w:gridSpan w:val="2"/>
            <w:shd w:val="clear" w:color="auto" w:fill="auto"/>
            <w:noWrap/>
            <w:vAlign w:val="center"/>
            <w:hideMark/>
          </w:tcPr>
          <w:p w14:paraId="0A9B06E8"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132</w:t>
            </w:r>
          </w:p>
        </w:tc>
        <w:tc>
          <w:tcPr>
            <w:tcW w:w="1843" w:type="dxa"/>
            <w:gridSpan w:val="2"/>
            <w:shd w:val="clear" w:color="auto" w:fill="auto"/>
            <w:noWrap/>
            <w:vAlign w:val="center"/>
            <w:hideMark/>
          </w:tcPr>
          <w:p w14:paraId="7864A8E7"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1,72,41,604</w:t>
            </w:r>
          </w:p>
        </w:tc>
        <w:tc>
          <w:tcPr>
            <w:tcW w:w="975" w:type="dxa"/>
            <w:shd w:val="clear" w:color="auto" w:fill="auto"/>
            <w:noWrap/>
            <w:vAlign w:val="center"/>
            <w:hideMark/>
          </w:tcPr>
          <w:p w14:paraId="48B08FB7"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0.13</w:t>
            </w:r>
          </w:p>
        </w:tc>
      </w:tr>
      <w:tr w:rsidR="00130278" w:rsidRPr="00130278" w14:paraId="2EE266F1" w14:textId="77777777" w:rsidTr="00EC0B59">
        <w:trPr>
          <w:trHeight w:val="360"/>
        </w:trPr>
        <w:tc>
          <w:tcPr>
            <w:tcW w:w="567" w:type="dxa"/>
            <w:gridSpan w:val="2"/>
            <w:shd w:val="clear" w:color="auto" w:fill="auto"/>
            <w:vAlign w:val="center"/>
            <w:hideMark/>
          </w:tcPr>
          <w:p w14:paraId="130F30E9"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e.</w:t>
            </w:r>
          </w:p>
        </w:tc>
        <w:tc>
          <w:tcPr>
            <w:tcW w:w="4695" w:type="dxa"/>
            <w:gridSpan w:val="2"/>
            <w:shd w:val="clear" w:color="auto" w:fill="auto"/>
            <w:vAlign w:val="center"/>
            <w:hideMark/>
          </w:tcPr>
          <w:p w14:paraId="48D40594"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Non-resident Indians / Foreign National</w:t>
            </w:r>
          </w:p>
        </w:tc>
        <w:tc>
          <w:tcPr>
            <w:tcW w:w="1276" w:type="dxa"/>
            <w:gridSpan w:val="2"/>
            <w:shd w:val="clear" w:color="auto" w:fill="auto"/>
            <w:noWrap/>
            <w:vAlign w:val="center"/>
            <w:hideMark/>
          </w:tcPr>
          <w:p w14:paraId="08E6DBAE"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4,079</w:t>
            </w:r>
          </w:p>
        </w:tc>
        <w:tc>
          <w:tcPr>
            <w:tcW w:w="1843" w:type="dxa"/>
            <w:gridSpan w:val="2"/>
            <w:shd w:val="clear" w:color="auto" w:fill="auto"/>
            <w:noWrap/>
            <w:vAlign w:val="center"/>
            <w:hideMark/>
          </w:tcPr>
          <w:p w14:paraId="1B865EAE"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14,28,22,374</w:t>
            </w:r>
          </w:p>
        </w:tc>
        <w:tc>
          <w:tcPr>
            <w:tcW w:w="975" w:type="dxa"/>
            <w:shd w:val="clear" w:color="auto" w:fill="auto"/>
            <w:noWrap/>
            <w:vAlign w:val="center"/>
            <w:hideMark/>
          </w:tcPr>
          <w:p w14:paraId="0CEB0318"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1.12</w:t>
            </w:r>
          </w:p>
        </w:tc>
      </w:tr>
      <w:tr w:rsidR="00130278" w:rsidRPr="00130278" w14:paraId="1B8EDFDB" w14:textId="77777777" w:rsidTr="00EC0B59">
        <w:trPr>
          <w:trHeight w:val="360"/>
        </w:trPr>
        <w:tc>
          <w:tcPr>
            <w:tcW w:w="567" w:type="dxa"/>
            <w:gridSpan w:val="2"/>
            <w:shd w:val="clear" w:color="auto" w:fill="auto"/>
            <w:vAlign w:val="center"/>
            <w:hideMark/>
          </w:tcPr>
          <w:p w14:paraId="3E94005F"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f.</w:t>
            </w:r>
          </w:p>
        </w:tc>
        <w:tc>
          <w:tcPr>
            <w:tcW w:w="4695" w:type="dxa"/>
            <w:gridSpan w:val="2"/>
            <w:shd w:val="clear" w:color="auto" w:fill="auto"/>
            <w:vAlign w:val="center"/>
            <w:hideMark/>
          </w:tcPr>
          <w:p w14:paraId="4EDF07AA"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Overseas Corporate Bodies</w:t>
            </w:r>
          </w:p>
        </w:tc>
        <w:tc>
          <w:tcPr>
            <w:tcW w:w="1276" w:type="dxa"/>
            <w:gridSpan w:val="2"/>
            <w:shd w:val="clear" w:color="auto" w:fill="auto"/>
            <w:noWrap/>
            <w:vAlign w:val="center"/>
            <w:hideMark/>
          </w:tcPr>
          <w:p w14:paraId="5D35E5B7"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5</w:t>
            </w:r>
          </w:p>
        </w:tc>
        <w:tc>
          <w:tcPr>
            <w:tcW w:w="1843" w:type="dxa"/>
            <w:gridSpan w:val="2"/>
            <w:shd w:val="clear" w:color="auto" w:fill="auto"/>
            <w:noWrap/>
            <w:vAlign w:val="center"/>
            <w:hideMark/>
          </w:tcPr>
          <w:p w14:paraId="77BA78F7"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1,97,266</w:t>
            </w:r>
          </w:p>
        </w:tc>
        <w:tc>
          <w:tcPr>
            <w:tcW w:w="975" w:type="dxa"/>
            <w:shd w:val="clear" w:color="auto" w:fill="auto"/>
            <w:noWrap/>
            <w:vAlign w:val="center"/>
            <w:hideMark/>
          </w:tcPr>
          <w:p w14:paraId="47BF939E"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0.00</w:t>
            </w:r>
          </w:p>
        </w:tc>
      </w:tr>
      <w:tr w:rsidR="00130278" w:rsidRPr="00130278" w14:paraId="107ABE8D" w14:textId="77777777" w:rsidTr="00EC0B59">
        <w:trPr>
          <w:trHeight w:val="360"/>
        </w:trPr>
        <w:tc>
          <w:tcPr>
            <w:tcW w:w="567" w:type="dxa"/>
            <w:gridSpan w:val="2"/>
            <w:shd w:val="clear" w:color="auto" w:fill="auto"/>
            <w:vAlign w:val="center"/>
            <w:hideMark/>
          </w:tcPr>
          <w:p w14:paraId="532E84A9"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g.</w:t>
            </w:r>
          </w:p>
        </w:tc>
        <w:tc>
          <w:tcPr>
            <w:tcW w:w="4695" w:type="dxa"/>
            <w:gridSpan w:val="2"/>
            <w:shd w:val="clear" w:color="auto" w:fill="auto"/>
            <w:vAlign w:val="center"/>
            <w:hideMark/>
          </w:tcPr>
          <w:p w14:paraId="3AA438C3"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Foreign Companies</w:t>
            </w:r>
          </w:p>
        </w:tc>
        <w:tc>
          <w:tcPr>
            <w:tcW w:w="1276" w:type="dxa"/>
            <w:gridSpan w:val="2"/>
            <w:shd w:val="clear" w:color="auto" w:fill="auto"/>
            <w:noWrap/>
            <w:vAlign w:val="center"/>
            <w:hideMark/>
          </w:tcPr>
          <w:p w14:paraId="492263DC"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4</w:t>
            </w:r>
          </w:p>
        </w:tc>
        <w:tc>
          <w:tcPr>
            <w:tcW w:w="1843" w:type="dxa"/>
            <w:gridSpan w:val="2"/>
            <w:shd w:val="clear" w:color="auto" w:fill="auto"/>
            <w:noWrap/>
            <w:vAlign w:val="center"/>
            <w:hideMark/>
          </w:tcPr>
          <w:p w14:paraId="475DD2A7"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10,73,39,265</w:t>
            </w:r>
          </w:p>
        </w:tc>
        <w:tc>
          <w:tcPr>
            <w:tcW w:w="975" w:type="dxa"/>
            <w:shd w:val="clear" w:color="auto" w:fill="auto"/>
            <w:noWrap/>
            <w:vAlign w:val="center"/>
            <w:hideMark/>
          </w:tcPr>
          <w:p w14:paraId="75672170"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0.84</w:t>
            </w:r>
          </w:p>
        </w:tc>
      </w:tr>
      <w:tr w:rsidR="00130278" w:rsidRPr="00130278" w14:paraId="32824F49" w14:textId="77777777" w:rsidTr="00EC0B59">
        <w:trPr>
          <w:trHeight w:val="360"/>
        </w:trPr>
        <w:tc>
          <w:tcPr>
            <w:tcW w:w="567" w:type="dxa"/>
            <w:gridSpan w:val="2"/>
            <w:shd w:val="clear" w:color="auto" w:fill="auto"/>
            <w:vAlign w:val="center"/>
            <w:hideMark/>
          </w:tcPr>
          <w:p w14:paraId="4FECDA40"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h.</w:t>
            </w:r>
          </w:p>
        </w:tc>
        <w:tc>
          <w:tcPr>
            <w:tcW w:w="4695" w:type="dxa"/>
            <w:gridSpan w:val="2"/>
            <w:shd w:val="clear" w:color="auto" w:fill="auto"/>
            <w:vAlign w:val="center"/>
            <w:hideMark/>
          </w:tcPr>
          <w:p w14:paraId="4C7D977A"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Directors / Relatives / KMPs</w:t>
            </w:r>
          </w:p>
        </w:tc>
        <w:tc>
          <w:tcPr>
            <w:tcW w:w="1276" w:type="dxa"/>
            <w:gridSpan w:val="2"/>
            <w:shd w:val="clear" w:color="auto" w:fill="auto"/>
            <w:noWrap/>
            <w:vAlign w:val="center"/>
            <w:hideMark/>
          </w:tcPr>
          <w:p w14:paraId="0928EF14"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13</w:t>
            </w:r>
          </w:p>
        </w:tc>
        <w:tc>
          <w:tcPr>
            <w:tcW w:w="1843" w:type="dxa"/>
            <w:gridSpan w:val="2"/>
            <w:shd w:val="clear" w:color="auto" w:fill="auto"/>
            <w:noWrap/>
            <w:vAlign w:val="center"/>
            <w:hideMark/>
          </w:tcPr>
          <w:p w14:paraId="026877E2"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26,47,216</w:t>
            </w:r>
          </w:p>
        </w:tc>
        <w:tc>
          <w:tcPr>
            <w:tcW w:w="975" w:type="dxa"/>
            <w:shd w:val="clear" w:color="auto" w:fill="auto"/>
            <w:noWrap/>
            <w:vAlign w:val="center"/>
            <w:hideMark/>
          </w:tcPr>
          <w:p w14:paraId="7CCBD39E"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0.02</w:t>
            </w:r>
          </w:p>
        </w:tc>
      </w:tr>
      <w:tr w:rsidR="00130278" w:rsidRPr="00130278" w14:paraId="23939F81" w14:textId="77777777" w:rsidTr="00EC0B59">
        <w:trPr>
          <w:trHeight w:val="360"/>
        </w:trPr>
        <w:tc>
          <w:tcPr>
            <w:tcW w:w="567" w:type="dxa"/>
            <w:gridSpan w:val="2"/>
            <w:shd w:val="clear" w:color="auto" w:fill="auto"/>
            <w:vAlign w:val="center"/>
            <w:hideMark/>
          </w:tcPr>
          <w:p w14:paraId="4C2869E0"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proofErr w:type="spellStart"/>
            <w:r w:rsidRPr="00130278">
              <w:rPr>
                <w:rFonts w:asciiTheme="minorHAnsi" w:hAnsiTheme="minorHAnsi" w:cstheme="minorHAnsi"/>
                <w:sz w:val="22"/>
                <w:szCs w:val="22"/>
                <w:lang w:val="en-IN" w:eastAsia="en-IN"/>
              </w:rPr>
              <w:t>i</w:t>
            </w:r>
            <w:proofErr w:type="spellEnd"/>
            <w:r w:rsidRPr="00130278">
              <w:rPr>
                <w:rFonts w:asciiTheme="minorHAnsi" w:hAnsiTheme="minorHAnsi" w:cstheme="minorHAnsi"/>
                <w:sz w:val="22"/>
                <w:szCs w:val="22"/>
                <w:lang w:val="en-IN" w:eastAsia="en-IN"/>
              </w:rPr>
              <w:t>.</w:t>
            </w:r>
          </w:p>
        </w:tc>
        <w:tc>
          <w:tcPr>
            <w:tcW w:w="4695" w:type="dxa"/>
            <w:gridSpan w:val="2"/>
            <w:shd w:val="clear" w:color="auto" w:fill="auto"/>
            <w:vAlign w:val="center"/>
            <w:hideMark/>
          </w:tcPr>
          <w:p w14:paraId="4572A5B8" w14:textId="77777777"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Unclaimed Suspense Account</w:t>
            </w:r>
          </w:p>
        </w:tc>
        <w:tc>
          <w:tcPr>
            <w:tcW w:w="1276" w:type="dxa"/>
            <w:gridSpan w:val="2"/>
            <w:shd w:val="clear" w:color="auto" w:fill="auto"/>
            <w:noWrap/>
            <w:vAlign w:val="center"/>
            <w:hideMark/>
          </w:tcPr>
          <w:p w14:paraId="5A4C5A89"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w:t>
            </w:r>
          </w:p>
        </w:tc>
        <w:tc>
          <w:tcPr>
            <w:tcW w:w="1843" w:type="dxa"/>
            <w:gridSpan w:val="2"/>
            <w:shd w:val="clear" w:color="auto" w:fill="auto"/>
            <w:noWrap/>
            <w:vAlign w:val="center"/>
            <w:hideMark/>
          </w:tcPr>
          <w:p w14:paraId="3E3A19AE"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49,857</w:t>
            </w:r>
          </w:p>
        </w:tc>
        <w:tc>
          <w:tcPr>
            <w:tcW w:w="975" w:type="dxa"/>
            <w:shd w:val="clear" w:color="auto" w:fill="auto"/>
            <w:noWrap/>
            <w:vAlign w:val="center"/>
            <w:hideMark/>
          </w:tcPr>
          <w:p w14:paraId="55F7EEDE"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0.00</w:t>
            </w:r>
          </w:p>
        </w:tc>
      </w:tr>
      <w:tr w:rsidR="00130278" w:rsidRPr="00130278" w14:paraId="7BC32EE5" w14:textId="77777777" w:rsidTr="00EC0B59">
        <w:trPr>
          <w:trHeight w:val="360"/>
        </w:trPr>
        <w:tc>
          <w:tcPr>
            <w:tcW w:w="567" w:type="dxa"/>
            <w:gridSpan w:val="2"/>
            <w:shd w:val="clear" w:color="auto" w:fill="auto"/>
            <w:vAlign w:val="center"/>
            <w:hideMark/>
          </w:tcPr>
          <w:p w14:paraId="715ADE12" w14:textId="77777777" w:rsidR="00130278" w:rsidRPr="00130278" w:rsidRDefault="00130278" w:rsidP="00130278">
            <w:pPr>
              <w:spacing w:after="0" w:line="240" w:lineRule="auto"/>
              <w:jc w:val="right"/>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j.</w:t>
            </w:r>
          </w:p>
        </w:tc>
        <w:tc>
          <w:tcPr>
            <w:tcW w:w="4695" w:type="dxa"/>
            <w:gridSpan w:val="2"/>
            <w:shd w:val="clear" w:color="auto" w:fill="auto"/>
            <w:vAlign w:val="center"/>
            <w:hideMark/>
          </w:tcPr>
          <w:p w14:paraId="460639F2" w14:textId="4CBE77FD" w:rsidR="00130278" w:rsidRPr="00130278" w:rsidRDefault="00130278" w:rsidP="00130278">
            <w:pPr>
              <w:spacing w:after="0" w:line="240" w:lineRule="auto"/>
              <w:ind w:firstLineChars="100" w:firstLine="220"/>
              <w:rPr>
                <w:rFonts w:asciiTheme="minorHAnsi" w:hAnsiTheme="minorHAnsi" w:cstheme="minorHAnsi"/>
                <w:sz w:val="22"/>
                <w:szCs w:val="22"/>
                <w:lang w:val="en-IN" w:eastAsia="en-IN"/>
              </w:rPr>
            </w:pPr>
            <w:r w:rsidRPr="00130278">
              <w:rPr>
                <w:rFonts w:asciiTheme="minorHAnsi" w:hAnsiTheme="minorHAnsi" w:cstheme="minorHAnsi"/>
                <w:sz w:val="22"/>
                <w:szCs w:val="22"/>
                <w:lang w:val="en-IN" w:eastAsia="en-IN"/>
              </w:rPr>
              <w:t>- Other - Proprietary Firm</w:t>
            </w:r>
          </w:p>
        </w:tc>
        <w:tc>
          <w:tcPr>
            <w:tcW w:w="1276" w:type="dxa"/>
            <w:gridSpan w:val="2"/>
            <w:shd w:val="clear" w:color="auto" w:fill="auto"/>
            <w:noWrap/>
            <w:vAlign w:val="center"/>
            <w:hideMark/>
          </w:tcPr>
          <w:p w14:paraId="77E9D7D8"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1</w:t>
            </w:r>
          </w:p>
        </w:tc>
        <w:tc>
          <w:tcPr>
            <w:tcW w:w="1843" w:type="dxa"/>
            <w:gridSpan w:val="2"/>
            <w:shd w:val="clear" w:color="auto" w:fill="auto"/>
            <w:noWrap/>
            <w:vAlign w:val="center"/>
            <w:hideMark/>
          </w:tcPr>
          <w:p w14:paraId="610A7EFD"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43,678</w:t>
            </w:r>
          </w:p>
        </w:tc>
        <w:tc>
          <w:tcPr>
            <w:tcW w:w="975" w:type="dxa"/>
            <w:shd w:val="clear" w:color="auto" w:fill="auto"/>
            <w:noWrap/>
            <w:vAlign w:val="center"/>
            <w:hideMark/>
          </w:tcPr>
          <w:p w14:paraId="6AB6A41F" w14:textId="77777777" w:rsidR="00130278" w:rsidRPr="00130278" w:rsidRDefault="00130278" w:rsidP="00130278">
            <w:pPr>
              <w:spacing w:after="0" w:line="240" w:lineRule="auto"/>
              <w:jc w:val="center"/>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0.00</w:t>
            </w:r>
          </w:p>
        </w:tc>
      </w:tr>
      <w:tr w:rsidR="00130278" w:rsidRPr="00130278" w14:paraId="4B9A5675" w14:textId="77777777" w:rsidTr="00EC0B59">
        <w:trPr>
          <w:trHeight w:val="360"/>
        </w:trPr>
        <w:tc>
          <w:tcPr>
            <w:tcW w:w="567" w:type="dxa"/>
            <w:gridSpan w:val="2"/>
            <w:shd w:val="clear" w:color="000000" w:fill="DCE6F1"/>
            <w:noWrap/>
            <w:vAlign w:val="center"/>
            <w:hideMark/>
          </w:tcPr>
          <w:p w14:paraId="09EB0E24"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3</w:t>
            </w:r>
          </w:p>
        </w:tc>
        <w:tc>
          <w:tcPr>
            <w:tcW w:w="4695" w:type="dxa"/>
            <w:gridSpan w:val="2"/>
            <w:shd w:val="clear" w:color="000000" w:fill="DCE6F1"/>
            <w:vAlign w:val="center"/>
            <w:hideMark/>
          </w:tcPr>
          <w:p w14:paraId="198A33CD" w14:textId="77777777" w:rsidR="00130278" w:rsidRPr="00130278" w:rsidRDefault="00130278" w:rsidP="00130278">
            <w:pPr>
              <w:spacing w:after="0" w:line="240" w:lineRule="auto"/>
              <w:rPr>
                <w:rFonts w:asciiTheme="minorHAnsi" w:hAnsiTheme="minorHAnsi" w:cstheme="minorHAnsi"/>
                <w:b/>
                <w:bCs/>
                <w:i/>
                <w:iCs/>
                <w:sz w:val="22"/>
                <w:szCs w:val="22"/>
                <w:lang w:val="en-IN" w:eastAsia="en-IN"/>
              </w:rPr>
            </w:pPr>
            <w:r w:rsidRPr="00130278">
              <w:rPr>
                <w:rFonts w:asciiTheme="minorHAnsi" w:hAnsiTheme="minorHAnsi" w:cstheme="minorHAnsi"/>
                <w:b/>
                <w:bCs/>
                <w:i/>
                <w:iCs/>
                <w:sz w:val="22"/>
                <w:szCs w:val="22"/>
                <w:lang w:val="en-IN" w:eastAsia="en-IN"/>
              </w:rPr>
              <w:t>Public Non-Institutions</w:t>
            </w:r>
          </w:p>
        </w:tc>
        <w:tc>
          <w:tcPr>
            <w:tcW w:w="1276" w:type="dxa"/>
            <w:gridSpan w:val="2"/>
            <w:shd w:val="clear" w:color="000000" w:fill="DCE6F1"/>
            <w:noWrap/>
            <w:vAlign w:val="center"/>
            <w:hideMark/>
          </w:tcPr>
          <w:p w14:paraId="65F20634"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27,69,134</w:t>
            </w:r>
          </w:p>
        </w:tc>
        <w:tc>
          <w:tcPr>
            <w:tcW w:w="1843" w:type="dxa"/>
            <w:gridSpan w:val="2"/>
            <w:shd w:val="clear" w:color="000000" w:fill="DCE6F1"/>
            <w:noWrap/>
            <w:vAlign w:val="center"/>
            <w:hideMark/>
          </w:tcPr>
          <w:p w14:paraId="10E4E4B7"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7,63,28,00,473</w:t>
            </w:r>
          </w:p>
        </w:tc>
        <w:tc>
          <w:tcPr>
            <w:tcW w:w="975" w:type="dxa"/>
            <w:shd w:val="clear" w:color="000000" w:fill="DCE6F1"/>
            <w:noWrap/>
            <w:vAlign w:val="center"/>
            <w:hideMark/>
          </w:tcPr>
          <w:p w14:paraId="38270291" w14:textId="77777777" w:rsidR="00130278" w:rsidRPr="00130278" w:rsidRDefault="00130278" w:rsidP="00130278">
            <w:pPr>
              <w:spacing w:after="0" w:line="240" w:lineRule="auto"/>
              <w:jc w:val="center"/>
              <w:rPr>
                <w:rFonts w:asciiTheme="minorHAnsi" w:hAnsiTheme="minorHAnsi" w:cstheme="minorHAnsi"/>
                <w:b/>
                <w:bCs/>
                <w:i/>
                <w:iCs/>
                <w:color w:val="000000"/>
                <w:sz w:val="22"/>
                <w:szCs w:val="22"/>
                <w:lang w:val="en-IN" w:eastAsia="en-IN"/>
              </w:rPr>
            </w:pPr>
            <w:r w:rsidRPr="00130278">
              <w:rPr>
                <w:rFonts w:asciiTheme="minorHAnsi" w:hAnsiTheme="minorHAnsi" w:cstheme="minorHAnsi"/>
                <w:b/>
                <w:bCs/>
                <w:i/>
                <w:iCs/>
                <w:color w:val="000000"/>
                <w:sz w:val="22"/>
                <w:szCs w:val="22"/>
                <w:lang w:val="en-IN" w:eastAsia="en-IN"/>
              </w:rPr>
              <w:t>59.59</w:t>
            </w:r>
          </w:p>
        </w:tc>
      </w:tr>
      <w:tr w:rsidR="00130278" w:rsidRPr="00130278" w14:paraId="4F8DE8E9" w14:textId="77777777" w:rsidTr="00EC0B59">
        <w:trPr>
          <w:trHeight w:val="360"/>
        </w:trPr>
        <w:tc>
          <w:tcPr>
            <w:tcW w:w="567" w:type="dxa"/>
            <w:gridSpan w:val="2"/>
            <w:shd w:val="clear" w:color="000000" w:fill="DCE6F1"/>
            <w:vAlign w:val="center"/>
            <w:hideMark/>
          </w:tcPr>
          <w:p w14:paraId="303E1BBB" w14:textId="77777777" w:rsidR="00130278" w:rsidRPr="00130278" w:rsidRDefault="00130278" w:rsidP="00130278">
            <w:pPr>
              <w:spacing w:after="0" w:line="240" w:lineRule="auto"/>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c>
          <w:tcPr>
            <w:tcW w:w="4695" w:type="dxa"/>
            <w:gridSpan w:val="2"/>
            <w:shd w:val="clear" w:color="000000" w:fill="DCE6F1"/>
            <w:vAlign w:val="center"/>
            <w:hideMark/>
          </w:tcPr>
          <w:p w14:paraId="59BAA628" w14:textId="77777777" w:rsidR="00130278" w:rsidRPr="00130278" w:rsidRDefault="00130278" w:rsidP="00130278">
            <w:pPr>
              <w:spacing w:after="0" w:line="240" w:lineRule="auto"/>
              <w:rPr>
                <w:rFonts w:asciiTheme="minorHAnsi" w:hAnsiTheme="minorHAnsi" w:cstheme="minorHAnsi"/>
                <w:b/>
                <w:bCs/>
                <w:sz w:val="22"/>
                <w:szCs w:val="22"/>
                <w:lang w:val="en-IN" w:eastAsia="en-IN"/>
              </w:rPr>
            </w:pPr>
            <w:r w:rsidRPr="00130278">
              <w:rPr>
                <w:rFonts w:asciiTheme="minorHAnsi" w:hAnsiTheme="minorHAnsi" w:cstheme="minorHAnsi"/>
                <w:b/>
                <w:bCs/>
                <w:sz w:val="22"/>
                <w:szCs w:val="22"/>
                <w:lang w:val="en-IN" w:eastAsia="en-IN"/>
              </w:rPr>
              <w:t>Total:</w:t>
            </w:r>
          </w:p>
        </w:tc>
        <w:tc>
          <w:tcPr>
            <w:tcW w:w="1276" w:type="dxa"/>
            <w:gridSpan w:val="2"/>
            <w:shd w:val="clear" w:color="000000" w:fill="DCE6F1"/>
            <w:noWrap/>
            <w:vAlign w:val="center"/>
            <w:hideMark/>
          </w:tcPr>
          <w:p w14:paraId="68852279"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27,69,169</w:t>
            </w:r>
          </w:p>
        </w:tc>
        <w:tc>
          <w:tcPr>
            <w:tcW w:w="1843" w:type="dxa"/>
            <w:gridSpan w:val="2"/>
            <w:shd w:val="clear" w:color="000000" w:fill="DCE6F1"/>
            <w:noWrap/>
            <w:vAlign w:val="center"/>
            <w:hideMark/>
          </w:tcPr>
          <w:p w14:paraId="568862E8"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12,80,70,20,947</w:t>
            </w:r>
          </w:p>
        </w:tc>
        <w:tc>
          <w:tcPr>
            <w:tcW w:w="975" w:type="dxa"/>
            <w:shd w:val="clear" w:color="000000" w:fill="DCE6F1"/>
            <w:noWrap/>
            <w:vAlign w:val="center"/>
            <w:hideMark/>
          </w:tcPr>
          <w:p w14:paraId="49474E26"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100.00</w:t>
            </w:r>
          </w:p>
        </w:tc>
      </w:tr>
      <w:tr w:rsidR="00130278" w:rsidRPr="00130278" w14:paraId="1C606D5F" w14:textId="77777777" w:rsidTr="00EC0B59">
        <w:trPr>
          <w:trHeight w:val="360"/>
        </w:trPr>
        <w:tc>
          <w:tcPr>
            <w:tcW w:w="567" w:type="dxa"/>
            <w:gridSpan w:val="2"/>
            <w:shd w:val="clear" w:color="000000" w:fill="DCE6F1"/>
            <w:vAlign w:val="center"/>
            <w:hideMark/>
          </w:tcPr>
          <w:p w14:paraId="18ACE873" w14:textId="77777777" w:rsidR="00130278" w:rsidRPr="00130278" w:rsidRDefault="00130278" w:rsidP="00130278">
            <w:pPr>
              <w:spacing w:after="0" w:line="240" w:lineRule="auto"/>
              <w:rPr>
                <w:rFonts w:asciiTheme="minorHAnsi" w:hAnsiTheme="minorHAnsi" w:cstheme="minorHAnsi"/>
                <w:color w:val="000000"/>
                <w:sz w:val="22"/>
                <w:szCs w:val="22"/>
                <w:lang w:val="en-IN" w:eastAsia="en-IN"/>
              </w:rPr>
            </w:pPr>
            <w:r w:rsidRPr="00130278">
              <w:rPr>
                <w:rFonts w:asciiTheme="minorHAnsi" w:hAnsiTheme="minorHAnsi" w:cstheme="minorHAnsi"/>
                <w:color w:val="000000"/>
                <w:sz w:val="22"/>
                <w:szCs w:val="22"/>
                <w:lang w:val="en-IN" w:eastAsia="en-IN"/>
              </w:rPr>
              <w:t> </w:t>
            </w:r>
          </w:p>
        </w:tc>
        <w:tc>
          <w:tcPr>
            <w:tcW w:w="4695" w:type="dxa"/>
            <w:gridSpan w:val="2"/>
            <w:shd w:val="clear" w:color="000000" w:fill="DCE6F1"/>
            <w:vAlign w:val="center"/>
            <w:hideMark/>
          </w:tcPr>
          <w:p w14:paraId="3C5E3AA0" w14:textId="77777777" w:rsidR="00130278" w:rsidRPr="00130278" w:rsidRDefault="00130278" w:rsidP="00130278">
            <w:pPr>
              <w:spacing w:after="0" w:line="240" w:lineRule="auto"/>
              <w:rPr>
                <w:rFonts w:asciiTheme="minorHAnsi" w:hAnsiTheme="minorHAnsi" w:cstheme="minorHAnsi"/>
                <w:b/>
                <w:bCs/>
                <w:sz w:val="22"/>
                <w:szCs w:val="22"/>
                <w:lang w:val="en-IN" w:eastAsia="en-IN"/>
              </w:rPr>
            </w:pPr>
            <w:r w:rsidRPr="00130278">
              <w:rPr>
                <w:rFonts w:asciiTheme="minorHAnsi" w:hAnsiTheme="minorHAnsi" w:cstheme="minorHAnsi"/>
                <w:b/>
                <w:bCs/>
                <w:sz w:val="22"/>
                <w:szCs w:val="22"/>
                <w:lang w:val="en-IN" w:eastAsia="en-IN"/>
              </w:rPr>
              <w:t>Foreign Shareholding (2b, 3e, 3f and 3g above)</w:t>
            </w:r>
          </w:p>
        </w:tc>
        <w:tc>
          <w:tcPr>
            <w:tcW w:w="1276" w:type="dxa"/>
            <w:gridSpan w:val="2"/>
            <w:shd w:val="clear" w:color="000000" w:fill="DCE6F1"/>
            <w:noWrap/>
            <w:vAlign w:val="center"/>
            <w:hideMark/>
          </w:tcPr>
          <w:p w14:paraId="05FBE478"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4,103</w:t>
            </w:r>
          </w:p>
        </w:tc>
        <w:tc>
          <w:tcPr>
            <w:tcW w:w="1843" w:type="dxa"/>
            <w:gridSpan w:val="2"/>
            <w:shd w:val="clear" w:color="000000" w:fill="DCE6F1"/>
            <w:noWrap/>
            <w:vAlign w:val="center"/>
            <w:hideMark/>
          </w:tcPr>
          <w:p w14:paraId="2B7888FE"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26,55,33,193</w:t>
            </w:r>
          </w:p>
        </w:tc>
        <w:tc>
          <w:tcPr>
            <w:tcW w:w="975" w:type="dxa"/>
            <w:shd w:val="clear" w:color="000000" w:fill="DCE6F1"/>
            <w:noWrap/>
            <w:vAlign w:val="center"/>
            <w:hideMark/>
          </w:tcPr>
          <w:p w14:paraId="4A2C30FE" w14:textId="77777777" w:rsidR="00130278" w:rsidRPr="00130278" w:rsidRDefault="00130278" w:rsidP="00130278">
            <w:pPr>
              <w:spacing w:after="0" w:line="240" w:lineRule="auto"/>
              <w:jc w:val="center"/>
              <w:rPr>
                <w:rFonts w:asciiTheme="minorHAnsi" w:hAnsiTheme="minorHAnsi" w:cstheme="minorHAnsi"/>
                <w:b/>
                <w:bCs/>
                <w:color w:val="000000"/>
                <w:sz w:val="22"/>
                <w:szCs w:val="22"/>
                <w:lang w:val="en-IN" w:eastAsia="en-IN"/>
              </w:rPr>
            </w:pPr>
            <w:r w:rsidRPr="00130278">
              <w:rPr>
                <w:rFonts w:asciiTheme="minorHAnsi" w:hAnsiTheme="minorHAnsi" w:cstheme="minorHAnsi"/>
                <w:b/>
                <w:bCs/>
                <w:color w:val="000000"/>
                <w:sz w:val="22"/>
                <w:szCs w:val="22"/>
                <w:lang w:val="en-IN" w:eastAsia="en-IN"/>
              </w:rPr>
              <w:t>2.07</w:t>
            </w:r>
          </w:p>
        </w:tc>
      </w:tr>
      <w:tr w:rsidR="00130278" w:rsidRPr="00130278" w14:paraId="4156048B" w14:textId="77777777" w:rsidTr="00EC0B59">
        <w:trPr>
          <w:trHeight w:val="240"/>
        </w:trPr>
        <w:tc>
          <w:tcPr>
            <w:tcW w:w="9356" w:type="dxa"/>
            <w:gridSpan w:val="9"/>
            <w:shd w:val="clear" w:color="auto" w:fill="auto"/>
            <w:vAlign w:val="bottom"/>
            <w:hideMark/>
          </w:tcPr>
          <w:p w14:paraId="3A509AF9" w14:textId="73601542" w:rsidR="00130278" w:rsidRPr="00130278" w:rsidRDefault="00130278" w:rsidP="00130278">
            <w:pPr>
              <w:spacing w:after="0" w:line="240" w:lineRule="auto"/>
              <w:rPr>
                <w:rFonts w:ascii="Calibri" w:hAnsi="Calibri" w:cs="Calibri"/>
                <w:color w:val="000000"/>
                <w:sz w:val="22"/>
                <w:szCs w:val="22"/>
                <w:lang w:val="en-IN" w:eastAsia="en-IN"/>
              </w:rPr>
            </w:pPr>
          </w:p>
        </w:tc>
      </w:tr>
      <w:tr w:rsidR="007F4165" w:rsidRPr="00130278" w14:paraId="5F039AB4" w14:textId="77777777" w:rsidTr="00EC0B59">
        <w:trPr>
          <w:trHeight w:val="240"/>
        </w:trPr>
        <w:tc>
          <w:tcPr>
            <w:tcW w:w="561" w:type="dxa"/>
            <w:shd w:val="clear" w:color="000000" w:fill="DCE6F1"/>
            <w:vAlign w:val="center"/>
            <w:hideMark/>
          </w:tcPr>
          <w:p w14:paraId="1BF92A48" w14:textId="77777777" w:rsidR="00130278" w:rsidRPr="00130278" w:rsidRDefault="00130278" w:rsidP="00130278">
            <w:pPr>
              <w:spacing w:after="0" w:line="240" w:lineRule="auto"/>
              <w:rPr>
                <w:rFonts w:ascii="Calibri" w:hAnsi="Calibri" w:cs="Calibri"/>
                <w:color w:val="000000"/>
                <w:sz w:val="22"/>
                <w:szCs w:val="22"/>
                <w:lang w:val="en-IN" w:eastAsia="en-IN"/>
              </w:rPr>
            </w:pPr>
            <w:r w:rsidRPr="00130278">
              <w:rPr>
                <w:rFonts w:ascii="Calibri" w:hAnsi="Calibri" w:cs="Calibri"/>
                <w:color w:val="000000"/>
                <w:sz w:val="22"/>
                <w:szCs w:val="22"/>
                <w:lang w:val="en-IN" w:eastAsia="en-IN"/>
              </w:rPr>
              <w:t> </w:t>
            </w:r>
          </w:p>
        </w:tc>
        <w:tc>
          <w:tcPr>
            <w:tcW w:w="4684" w:type="dxa"/>
            <w:gridSpan w:val="2"/>
            <w:shd w:val="clear" w:color="000000" w:fill="DCE6F1"/>
            <w:vAlign w:val="center"/>
            <w:hideMark/>
          </w:tcPr>
          <w:p w14:paraId="40D7C135" w14:textId="77777777" w:rsidR="00130278" w:rsidRPr="00130278" w:rsidRDefault="00130278" w:rsidP="00130278">
            <w:pPr>
              <w:spacing w:after="0" w:line="240" w:lineRule="auto"/>
              <w:rPr>
                <w:rFonts w:ascii="Calibri" w:hAnsi="Calibri" w:cs="Calibri"/>
                <w:i/>
                <w:iCs/>
                <w:sz w:val="22"/>
                <w:szCs w:val="22"/>
                <w:lang w:val="en-IN" w:eastAsia="en-IN"/>
              </w:rPr>
            </w:pPr>
            <w:r w:rsidRPr="00130278">
              <w:rPr>
                <w:rFonts w:ascii="Calibri" w:hAnsi="Calibri" w:cs="Calibri"/>
                <w:i/>
                <w:iCs/>
                <w:sz w:val="22"/>
                <w:szCs w:val="22"/>
                <w:lang w:val="en-IN" w:eastAsia="en-IN"/>
              </w:rPr>
              <w:t>Total in Physical Form</w:t>
            </w:r>
          </w:p>
        </w:tc>
        <w:tc>
          <w:tcPr>
            <w:tcW w:w="1275" w:type="dxa"/>
            <w:gridSpan w:val="2"/>
            <w:shd w:val="clear" w:color="000000" w:fill="DCE6F1"/>
            <w:noWrap/>
            <w:vAlign w:val="center"/>
            <w:hideMark/>
          </w:tcPr>
          <w:p w14:paraId="301BD8CF" w14:textId="77777777" w:rsidR="00130278" w:rsidRPr="00130278" w:rsidRDefault="00130278" w:rsidP="00130278">
            <w:pPr>
              <w:spacing w:after="0" w:line="240" w:lineRule="auto"/>
              <w:jc w:val="center"/>
              <w:rPr>
                <w:rFonts w:ascii="Calibri" w:hAnsi="Calibri" w:cs="Calibri"/>
                <w:i/>
                <w:iCs/>
                <w:color w:val="000000"/>
                <w:sz w:val="22"/>
                <w:szCs w:val="22"/>
                <w:lang w:val="en-IN" w:eastAsia="en-IN"/>
              </w:rPr>
            </w:pPr>
            <w:r w:rsidRPr="00130278">
              <w:rPr>
                <w:rFonts w:ascii="Calibri" w:hAnsi="Calibri" w:cs="Calibri"/>
                <w:i/>
                <w:iCs/>
                <w:color w:val="000000"/>
                <w:sz w:val="22"/>
                <w:szCs w:val="22"/>
                <w:lang w:val="en-IN" w:eastAsia="en-IN"/>
              </w:rPr>
              <w:t>2,695</w:t>
            </w:r>
          </w:p>
        </w:tc>
        <w:tc>
          <w:tcPr>
            <w:tcW w:w="1801" w:type="dxa"/>
            <w:gridSpan w:val="2"/>
            <w:shd w:val="clear" w:color="000000" w:fill="DCE6F1"/>
            <w:noWrap/>
            <w:vAlign w:val="center"/>
            <w:hideMark/>
          </w:tcPr>
          <w:p w14:paraId="37594CC6" w14:textId="77777777" w:rsidR="00130278" w:rsidRPr="00130278" w:rsidRDefault="00130278" w:rsidP="00130278">
            <w:pPr>
              <w:spacing w:after="0" w:line="240" w:lineRule="auto"/>
              <w:jc w:val="center"/>
              <w:rPr>
                <w:rFonts w:ascii="Calibri" w:hAnsi="Calibri" w:cs="Calibri"/>
                <w:i/>
                <w:iCs/>
                <w:color w:val="000000"/>
                <w:sz w:val="22"/>
                <w:szCs w:val="22"/>
                <w:lang w:val="en-IN" w:eastAsia="en-IN"/>
              </w:rPr>
            </w:pPr>
            <w:r w:rsidRPr="00130278">
              <w:rPr>
                <w:rFonts w:ascii="Calibri" w:hAnsi="Calibri" w:cs="Calibri"/>
                <w:i/>
                <w:iCs/>
                <w:color w:val="000000"/>
                <w:sz w:val="22"/>
                <w:szCs w:val="22"/>
                <w:lang w:val="en-IN" w:eastAsia="en-IN"/>
              </w:rPr>
              <w:t>9,44,23,813</w:t>
            </w:r>
          </w:p>
        </w:tc>
        <w:tc>
          <w:tcPr>
            <w:tcW w:w="1035" w:type="dxa"/>
            <w:gridSpan w:val="2"/>
            <w:shd w:val="clear" w:color="000000" w:fill="DCE6F1"/>
            <w:noWrap/>
            <w:vAlign w:val="center"/>
            <w:hideMark/>
          </w:tcPr>
          <w:p w14:paraId="77E31E05" w14:textId="77777777" w:rsidR="00130278" w:rsidRPr="00130278" w:rsidRDefault="00130278" w:rsidP="00130278">
            <w:pPr>
              <w:spacing w:after="0" w:line="240" w:lineRule="auto"/>
              <w:jc w:val="center"/>
              <w:rPr>
                <w:rFonts w:ascii="Calibri" w:hAnsi="Calibri" w:cs="Calibri"/>
                <w:i/>
                <w:iCs/>
                <w:color w:val="000000"/>
                <w:sz w:val="22"/>
                <w:szCs w:val="22"/>
                <w:lang w:val="en-IN" w:eastAsia="en-IN"/>
              </w:rPr>
            </w:pPr>
            <w:r w:rsidRPr="00130278">
              <w:rPr>
                <w:rFonts w:ascii="Calibri" w:hAnsi="Calibri" w:cs="Calibri"/>
                <w:i/>
                <w:iCs/>
                <w:color w:val="000000"/>
                <w:sz w:val="22"/>
                <w:szCs w:val="22"/>
                <w:lang w:val="en-IN" w:eastAsia="en-IN"/>
              </w:rPr>
              <w:t>0.74</w:t>
            </w:r>
          </w:p>
        </w:tc>
      </w:tr>
      <w:tr w:rsidR="007F4165" w:rsidRPr="00130278" w14:paraId="0D6DF77D" w14:textId="77777777" w:rsidTr="00EC0B59">
        <w:trPr>
          <w:trHeight w:val="240"/>
        </w:trPr>
        <w:tc>
          <w:tcPr>
            <w:tcW w:w="561" w:type="dxa"/>
            <w:shd w:val="clear" w:color="000000" w:fill="DCE6F1"/>
            <w:vAlign w:val="center"/>
            <w:hideMark/>
          </w:tcPr>
          <w:p w14:paraId="2852D305" w14:textId="77777777" w:rsidR="00130278" w:rsidRPr="00130278" w:rsidRDefault="00130278" w:rsidP="00130278">
            <w:pPr>
              <w:spacing w:after="0" w:line="240" w:lineRule="auto"/>
              <w:rPr>
                <w:rFonts w:ascii="Calibri" w:hAnsi="Calibri" w:cs="Calibri"/>
                <w:color w:val="000000"/>
                <w:sz w:val="22"/>
                <w:szCs w:val="22"/>
                <w:lang w:val="en-IN" w:eastAsia="en-IN"/>
              </w:rPr>
            </w:pPr>
            <w:r w:rsidRPr="00130278">
              <w:rPr>
                <w:rFonts w:ascii="Calibri" w:hAnsi="Calibri" w:cs="Calibri"/>
                <w:color w:val="000000"/>
                <w:sz w:val="22"/>
                <w:szCs w:val="22"/>
                <w:lang w:val="en-IN" w:eastAsia="en-IN"/>
              </w:rPr>
              <w:t> </w:t>
            </w:r>
          </w:p>
        </w:tc>
        <w:tc>
          <w:tcPr>
            <w:tcW w:w="4684" w:type="dxa"/>
            <w:gridSpan w:val="2"/>
            <w:shd w:val="clear" w:color="000000" w:fill="DCE6F1"/>
            <w:vAlign w:val="center"/>
            <w:hideMark/>
          </w:tcPr>
          <w:p w14:paraId="0C762250" w14:textId="77777777" w:rsidR="00130278" w:rsidRPr="00130278" w:rsidRDefault="00130278" w:rsidP="00130278">
            <w:pPr>
              <w:spacing w:after="0" w:line="240" w:lineRule="auto"/>
              <w:rPr>
                <w:rFonts w:ascii="Calibri" w:hAnsi="Calibri" w:cs="Calibri"/>
                <w:i/>
                <w:iCs/>
                <w:sz w:val="22"/>
                <w:szCs w:val="22"/>
                <w:lang w:val="en-IN" w:eastAsia="en-IN"/>
              </w:rPr>
            </w:pPr>
            <w:r w:rsidRPr="00130278">
              <w:rPr>
                <w:rFonts w:ascii="Calibri" w:hAnsi="Calibri" w:cs="Calibri"/>
                <w:i/>
                <w:iCs/>
                <w:sz w:val="22"/>
                <w:szCs w:val="22"/>
                <w:lang w:val="en-IN" w:eastAsia="en-IN"/>
              </w:rPr>
              <w:t>Total in Electronic Form</w:t>
            </w:r>
          </w:p>
        </w:tc>
        <w:tc>
          <w:tcPr>
            <w:tcW w:w="1275" w:type="dxa"/>
            <w:gridSpan w:val="2"/>
            <w:shd w:val="clear" w:color="000000" w:fill="DCE6F1"/>
            <w:noWrap/>
            <w:vAlign w:val="center"/>
            <w:hideMark/>
          </w:tcPr>
          <w:p w14:paraId="2B0F1315" w14:textId="77777777" w:rsidR="00130278" w:rsidRPr="00130278" w:rsidRDefault="00130278" w:rsidP="00130278">
            <w:pPr>
              <w:spacing w:after="0" w:line="240" w:lineRule="auto"/>
              <w:jc w:val="center"/>
              <w:rPr>
                <w:rFonts w:ascii="Calibri" w:hAnsi="Calibri" w:cs="Calibri"/>
                <w:i/>
                <w:iCs/>
                <w:color w:val="000000"/>
                <w:sz w:val="22"/>
                <w:szCs w:val="22"/>
                <w:lang w:val="en-IN" w:eastAsia="en-IN"/>
              </w:rPr>
            </w:pPr>
            <w:r w:rsidRPr="00130278">
              <w:rPr>
                <w:rFonts w:ascii="Calibri" w:hAnsi="Calibri" w:cs="Calibri"/>
                <w:i/>
                <w:iCs/>
                <w:color w:val="000000"/>
                <w:sz w:val="22"/>
                <w:szCs w:val="22"/>
                <w:lang w:val="en-IN" w:eastAsia="en-IN"/>
              </w:rPr>
              <w:t>27,66,475</w:t>
            </w:r>
          </w:p>
        </w:tc>
        <w:tc>
          <w:tcPr>
            <w:tcW w:w="1801" w:type="dxa"/>
            <w:gridSpan w:val="2"/>
            <w:shd w:val="clear" w:color="000000" w:fill="DCE6F1"/>
            <w:noWrap/>
            <w:vAlign w:val="center"/>
            <w:hideMark/>
          </w:tcPr>
          <w:p w14:paraId="7C5BD30F" w14:textId="77777777" w:rsidR="00130278" w:rsidRPr="00130278" w:rsidRDefault="00130278" w:rsidP="00130278">
            <w:pPr>
              <w:spacing w:after="0" w:line="240" w:lineRule="auto"/>
              <w:jc w:val="center"/>
              <w:rPr>
                <w:rFonts w:ascii="Calibri" w:hAnsi="Calibri" w:cs="Calibri"/>
                <w:i/>
                <w:iCs/>
                <w:color w:val="000000"/>
                <w:sz w:val="22"/>
                <w:szCs w:val="22"/>
                <w:lang w:val="en-IN" w:eastAsia="en-IN"/>
              </w:rPr>
            </w:pPr>
            <w:r w:rsidRPr="00130278">
              <w:rPr>
                <w:rFonts w:ascii="Calibri" w:hAnsi="Calibri" w:cs="Calibri"/>
                <w:i/>
                <w:iCs/>
                <w:color w:val="000000"/>
                <w:sz w:val="22"/>
                <w:szCs w:val="22"/>
                <w:lang w:val="en-IN" w:eastAsia="en-IN"/>
              </w:rPr>
              <w:t>12,71,25,97,134</w:t>
            </w:r>
          </w:p>
        </w:tc>
        <w:tc>
          <w:tcPr>
            <w:tcW w:w="1035" w:type="dxa"/>
            <w:gridSpan w:val="2"/>
            <w:shd w:val="clear" w:color="000000" w:fill="DCE6F1"/>
            <w:noWrap/>
            <w:vAlign w:val="center"/>
            <w:hideMark/>
          </w:tcPr>
          <w:p w14:paraId="69BCDCC2" w14:textId="77777777" w:rsidR="00130278" w:rsidRPr="00130278" w:rsidRDefault="00130278" w:rsidP="00130278">
            <w:pPr>
              <w:spacing w:after="0" w:line="240" w:lineRule="auto"/>
              <w:jc w:val="center"/>
              <w:rPr>
                <w:rFonts w:ascii="Calibri" w:hAnsi="Calibri" w:cs="Calibri"/>
                <w:i/>
                <w:iCs/>
                <w:color w:val="000000"/>
                <w:sz w:val="22"/>
                <w:szCs w:val="22"/>
                <w:lang w:val="en-IN" w:eastAsia="en-IN"/>
              </w:rPr>
            </w:pPr>
            <w:r w:rsidRPr="00130278">
              <w:rPr>
                <w:rFonts w:ascii="Calibri" w:hAnsi="Calibri" w:cs="Calibri"/>
                <w:i/>
                <w:iCs/>
                <w:color w:val="000000"/>
                <w:sz w:val="22"/>
                <w:szCs w:val="22"/>
                <w:lang w:val="en-IN" w:eastAsia="en-IN"/>
              </w:rPr>
              <w:t>99.26</w:t>
            </w:r>
          </w:p>
        </w:tc>
      </w:tr>
      <w:tr w:rsidR="007F4165" w:rsidRPr="00130278" w14:paraId="2B1C3869" w14:textId="77777777" w:rsidTr="00EC0B59">
        <w:trPr>
          <w:trHeight w:val="240"/>
        </w:trPr>
        <w:tc>
          <w:tcPr>
            <w:tcW w:w="561" w:type="dxa"/>
            <w:shd w:val="clear" w:color="000000" w:fill="DCE6F1"/>
            <w:vAlign w:val="center"/>
            <w:hideMark/>
          </w:tcPr>
          <w:p w14:paraId="4EBC374C" w14:textId="77777777" w:rsidR="00130278" w:rsidRPr="00130278" w:rsidRDefault="00130278" w:rsidP="00130278">
            <w:pPr>
              <w:spacing w:after="0" w:line="240" w:lineRule="auto"/>
              <w:rPr>
                <w:rFonts w:ascii="Calibri" w:hAnsi="Calibri" w:cs="Calibri"/>
                <w:color w:val="000000"/>
                <w:sz w:val="22"/>
                <w:szCs w:val="22"/>
                <w:lang w:val="en-IN" w:eastAsia="en-IN"/>
              </w:rPr>
            </w:pPr>
            <w:r w:rsidRPr="00130278">
              <w:rPr>
                <w:rFonts w:ascii="Calibri" w:hAnsi="Calibri" w:cs="Calibri"/>
                <w:color w:val="000000"/>
                <w:sz w:val="22"/>
                <w:szCs w:val="22"/>
                <w:lang w:val="en-IN" w:eastAsia="en-IN"/>
              </w:rPr>
              <w:t> </w:t>
            </w:r>
          </w:p>
        </w:tc>
        <w:tc>
          <w:tcPr>
            <w:tcW w:w="4684" w:type="dxa"/>
            <w:gridSpan w:val="2"/>
            <w:shd w:val="clear" w:color="000000" w:fill="DCE6F1"/>
            <w:vAlign w:val="center"/>
            <w:hideMark/>
          </w:tcPr>
          <w:p w14:paraId="25A243FD" w14:textId="77777777" w:rsidR="00130278" w:rsidRPr="00130278" w:rsidRDefault="00130278" w:rsidP="00130278">
            <w:pPr>
              <w:spacing w:after="0" w:line="240" w:lineRule="auto"/>
              <w:rPr>
                <w:rFonts w:ascii="Calibri" w:hAnsi="Calibri" w:cs="Calibri"/>
                <w:b/>
                <w:bCs/>
                <w:i/>
                <w:iCs/>
                <w:sz w:val="22"/>
                <w:szCs w:val="22"/>
                <w:lang w:val="en-IN" w:eastAsia="en-IN"/>
              </w:rPr>
            </w:pPr>
            <w:r w:rsidRPr="00130278">
              <w:rPr>
                <w:rFonts w:ascii="Calibri" w:hAnsi="Calibri" w:cs="Calibri"/>
                <w:b/>
                <w:bCs/>
                <w:i/>
                <w:iCs/>
                <w:sz w:val="22"/>
                <w:szCs w:val="22"/>
                <w:lang w:val="en-IN" w:eastAsia="en-IN"/>
              </w:rPr>
              <w:t>Total in Physical + Electronic</w:t>
            </w:r>
          </w:p>
        </w:tc>
        <w:tc>
          <w:tcPr>
            <w:tcW w:w="1275" w:type="dxa"/>
            <w:gridSpan w:val="2"/>
            <w:shd w:val="clear" w:color="000000" w:fill="DCE6F1"/>
            <w:noWrap/>
            <w:vAlign w:val="center"/>
            <w:hideMark/>
          </w:tcPr>
          <w:p w14:paraId="5D171188" w14:textId="77777777" w:rsidR="00130278" w:rsidRPr="00130278" w:rsidRDefault="00130278" w:rsidP="00130278">
            <w:pPr>
              <w:spacing w:after="0" w:line="240" w:lineRule="auto"/>
              <w:jc w:val="center"/>
              <w:rPr>
                <w:rFonts w:ascii="Calibri" w:hAnsi="Calibri" w:cs="Calibri"/>
                <w:b/>
                <w:bCs/>
                <w:i/>
                <w:iCs/>
                <w:color w:val="000000"/>
                <w:sz w:val="22"/>
                <w:szCs w:val="22"/>
                <w:lang w:val="en-IN" w:eastAsia="en-IN"/>
              </w:rPr>
            </w:pPr>
            <w:r w:rsidRPr="00130278">
              <w:rPr>
                <w:rFonts w:ascii="Calibri" w:hAnsi="Calibri" w:cs="Calibri"/>
                <w:b/>
                <w:bCs/>
                <w:i/>
                <w:iCs/>
                <w:color w:val="000000"/>
                <w:sz w:val="22"/>
                <w:szCs w:val="22"/>
                <w:lang w:val="en-IN" w:eastAsia="en-IN"/>
              </w:rPr>
              <w:t>27,69,170</w:t>
            </w:r>
          </w:p>
        </w:tc>
        <w:tc>
          <w:tcPr>
            <w:tcW w:w="1801" w:type="dxa"/>
            <w:gridSpan w:val="2"/>
            <w:shd w:val="clear" w:color="000000" w:fill="DCE6F1"/>
            <w:noWrap/>
            <w:vAlign w:val="center"/>
            <w:hideMark/>
          </w:tcPr>
          <w:p w14:paraId="59087954" w14:textId="77777777" w:rsidR="00130278" w:rsidRPr="00130278" w:rsidRDefault="00130278" w:rsidP="00130278">
            <w:pPr>
              <w:spacing w:after="0" w:line="240" w:lineRule="auto"/>
              <w:jc w:val="center"/>
              <w:rPr>
                <w:rFonts w:ascii="Calibri" w:hAnsi="Calibri" w:cs="Calibri"/>
                <w:b/>
                <w:bCs/>
                <w:i/>
                <w:iCs/>
                <w:color w:val="000000"/>
                <w:sz w:val="22"/>
                <w:szCs w:val="22"/>
                <w:lang w:val="en-IN" w:eastAsia="en-IN"/>
              </w:rPr>
            </w:pPr>
            <w:r w:rsidRPr="00130278">
              <w:rPr>
                <w:rFonts w:ascii="Calibri" w:hAnsi="Calibri" w:cs="Calibri"/>
                <w:b/>
                <w:bCs/>
                <w:i/>
                <w:iCs/>
                <w:color w:val="000000"/>
                <w:sz w:val="22"/>
                <w:szCs w:val="22"/>
                <w:lang w:val="en-IN" w:eastAsia="en-IN"/>
              </w:rPr>
              <w:t>12,80,70,20,947</w:t>
            </w:r>
          </w:p>
        </w:tc>
        <w:tc>
          <w:tcPr>
            <w:tcW w:w="1035" w:type="dxa"/>
            <w:gridSpan w:val="2"/>
            <w:shd w:val="clear" w:color="000000" w:fill="DCE6F1"/>
            <w:noWrap/>
            <w:vAlign w:val="center"/>
            <w:hideMark/>
          </w:tcPr>
          <w:p w14:paraId="35236D13" w14:textId="77777777" w:rsidR="00130278" w:rsidRPr="00130278" w:rsidRDefault="00130278" w:rsidP="00130278">
            <w:pPr>
              <w:spacing w:after="0" w:line="240" w:lineRule="auto"/>
              <w:jc w:val="center"/>
              <w:rPr>
                <w:rFonts w:ascii="Calibri" w:hAnsi="Calibri" w:cs="Calibri"/>
                <w:b/>
                <w:bCs/>
                <w:i/>
                <w:iCs/>
                <w:color w:val="000000"/>
                <w:sz w:val="22"/>
                <w:szCs w:val="22"/>
                <w:lang w:val="en-IN" w:eastAsia="en-IN"/>
              </w:rPr>
            </w:pPr>
            <w:r w:rsidRPr="00130278">
              <w:rPr>
                <w:rFonts w:ascii="Calibri" w:hAnsi="Calibri" w:cs="Calibri"/>
                <w:b/>
                <w:bCs/>
                <w:i/>
                <w:iCs/>
                <w:color w:val="000000"/>
                <w:sz w:val="22"/>
                <w:szCs w:val="22"/>
                <w:lang w:val="en-IN" w:eastAsia="en-IN"/>
              </w:rPr>
              <w:t>100.00</w:t>
            </w:r>
          </w:p>
        </w:tc>
      </w:tr>
    </w:tbl>
    <w:p w14:paraId="6CED2E15" w14:textId="1F01BFF8" w:rsidR="00130278" w:rsidRDefault="004C1C3E" w:rsidP="004C1C3E">
      <w:pPr>
        <w:pStyle w:val="ListParagraph"/>
        <w:spacing w:after="0" w:line="360" w:lineRule="auto"/>
        <w:ind w:left="142" w:right="-23"/>
        <w:jc w:val="right"/>
        <w:rPr>
          <w:rFonts w:ascii="Arial" w:hAnsi="Arial" w:cs="Arial"/>
          <w:bCs/>
          <w:sz w:val="22"/>
          <w:szCs w:val="22"/>
          <w:lang w:val="en-IN"/>
        </w:rPr>
      </w:pPr>
      <w:r w:rsidRPr="003301E0">
        <w:rPr>
          <w:rFonts w:ascii="Arial" w:hAnsi="Arial" w:cs="Arial"/>
          <w:b/>
          <w:i/>
          <w:sz w:val="20"/>
          <w:szCs w:val="22"/>
        </w:rPr>
        <w:t>Source:</w:t>
      </w:r>
      <w:r w:rsidRPr="003301E0">
        <w:rPr>
          <w:rFonts w:ascii="Arial" w:hAnsi="Arial" w:cs="Arial"/>
          <w:i/>
          <w:sz w:val="20"/>
          <w:szCs w:val="22"/>
        </w:rPr>
        <w:t xml:space="preserve"> Information provided by the client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811"/>
        <w:gridCol w:w="2464"/>
        <w:gridCol w:w="1485"/>
        <w:gridCol w:w="1061"/>
      </w:tblGrid>
      <w:tr w:rsidR="00757C92" w:rsidRPr="00757C92" w14:paraId="1B07032D" w14:textId="77777777" w:rsidTr="007F4165">
        <w:trPr>
          <w:trHeight w:val="300"/>
        </w:trPr>
        <w:tc>
          <w:tcPr>
            <w:tcW w:w="535" w:type="dxa"/>
            <w:shd w:val="clear" w:color="auto" w:fill="002060"/>
            <w:noWrap/>
            <w:vAlign w:val="center"/>
            <w:hideMark/>
          </w:tcPr>
          <w:p w14:paraId="6C87E550" w14:textId="568A57BA" w:rsidR="00757C92" w:rsidRPr="00757C92" w:rsidRDefault="00757C92" w:rsidP="00757C92">
            <w:pPr>
              <w:spacing w:after="0" w:line="276" w:lineRule="auto"/>
              <w:ind w:left="-106" w:right="-146"/>
              <w:jc w:val="center"/>
              <w:rPr>
                <w:rFonts w:asciiTheme="minorHAnsi" w:hAnsiTheme="minorHAnsi" w:cstheme="minorHAnsi"/>
                <w:b/>
                <w:bCs/>
                <w:color w:val="FFFFFF" w:themeColor="background1"/>
                <w:sz w:val="22"/>
                <w:szCs w:val="22"/>
                <w:lang w:val="en-IN" w:eastAsia="en-IN"/>
              </w:rPr>
            </w:pPr>
            <w:r w:rsidRPr="00757C92">
              <w:rPr>
                <w:rFonts w:asciiTheme="minorHAnsi" w:hAnsiTheme="minorHAnsi" w:cstheme="minorHAnsi"/>
                <w:b/>
                <w:bCs/>
                <w:color w:val="FFFFFF" w:themeColor="background1"/>
                <w:sz w:val="22"/>
                <w:szCs w:val="22"/>
                <w:lang w:val="en-IN" w:eastAsia="en-IN"/>
              </w:rPr>
              <w:t>S. No.</w:t>
            </w:r>
          </w:p>
        </w:tc>
        <w:tc>
          <w:tcPr>
            <w:tcW w:w="3811" w:type="dxa"/>
            <w:shd w:val="clear" w:color="auto" w:fill="002060"/>
            <w:noWrap/>
            <w:vAlign w:val="center"/>
            <w:hideMark/>
          </w:tcPr>
          <w:p w14:paraId="34751637" w14:textId="77777777" w:rsidR="00757C92" w:rsidRPr="00757C92" w:rsidRDefault="00757C92" w:rsidP="00757C92">
            <w:pPr>
              <w:spacing w:after="0" w:line="276" w:lineRule="auto"/>
              <w:jc w:val="center"/>
              <w:rPr>
                <w:rFonts w:asciiTheme="minorHAnsi" w:hAnsiTheme="minorHAnsi" w:cstheme="minorHAnsi"/>
                <w:b/>
                <w:bCs/>
                <w:color w:val="FFFFFF" w:themeColor="background1"/>
                <w:sz w:val="22"/>
                <w:szCs w:val="22"/>
                <w:lang w:val="en-IN" w:eastAsia="en-IN"/>
              </w:rPr>
            </w:pPr>
            <w:r w:rsidRPr="00757C92">
              <w:rPr>
                <w:rFonts w:asciiTheme="minorHAnsi" w:hAnsiTheme="minorHAnsi" w:cstheme="minorHAnsi"/>
                <w:b/>
                <w:bCs/>
                <w:color w:val="FFFFFF" w:themeColor="background1"/>
                <w:sz w:val="22"/>
                <w:szCs w:val="22"/>
                <w:lang w:val="en-IN" w:eastAsia="en-IN"/>
              </w:rPr>
              <w:t>Name of Shareholder</w:t>
            </w:r>
          </w:p>
        </w:tc>
        <w:tc>
          <w:tcPr>
            <w:tcW w:w="2464" w:type="dxa"/>
            <w:shd w:val="clear" w:color="auto" w:fill="002060"/>
            <w:noWrap/>
            <w:vAlign w:val="center"/>
            <w:hideMark/>
          </w:tcPr>
          <w:p w14:paraId="0AE2020B" w14:textId="77777777" w:rsidR="00757C92" w:rsidRPr="00757C92" w:rsidRDefault="00757C92" w:rsidP="00757C92">
            <w:pPr>
              <w:spacing w:after="0" w:line="276" w:lineRule="auto"/>
              <w:jc w:val="center"/>
              <w:rPr>
                <w:rFonts w:asciiTheme="minorHAnsi" w:hAnsiTheme="minorHAnsi" w:cstheme="minorHAnsi"/>
                <w:b/>
                <w:bCs/>
                <w:color w:val="FFFFFF" w:themeColor="background1"/>
                <w:sz w:val="22"/>
                <w:szCs w:val="22"/>
                <w:lang w:val="en-IN" w:eastAsia="en-IN"/>
              </w:rPr>
            </w:pPr>
            <w:r w:rsidRPr="00757C92">
              <w:rPr>
                <w:rFonts w:asciiTheme="minorHAnsi" w:hAnsiTheme="minorHAnsi" w:cstheme="minorHAnsi"/>
                <w:b/>
                <w:bCs/>
                <w:color w:val="FFFFFF" w:themeColor="background1"/>
                <w:sz w:val="22"/>
                <w:szCs w:val="22"/>
                <w:lang w:val="en-IN" w:eastAsia="en-IN"/>
              </w:rPr>
              <w:t>Category</w:t>
            </w:r>
          </w:p>
        </w:tc>
        <w:tc>
          <w:tcPr>
            <w:tcW w:w="1485" w:type="dxa"/>
            <w:shd w:val="clear" w:color="auto" w:fill="002060"/>
            <w:noWrap/>
            <w:vAlign w:val="center"/>
            <w:hideMark/>
          </w:tcPr>
          <w:p w14:paraId="1B750D1B" w14:textId="33BE9BFB" w:rsidR="00757C92" w:rsidRPr="00757C92" w:rsidRDefault="00757C92" w:rsidP="00757C92">
            <w:pPr>
              <w:spacing w:after="0" w:line="276" w:lineRule="auto"/>
              <w:jc w:val="center"/>
              <w:rPr>
                <w:rFonts w:asciiTheme="minorHAnsi" w:hAnsiTheme="minorHAnsi" w:cstheme="minorHAnsi"/>
                <w:b/>
                <w:bCs/>
                <w:color w:val="FFFFFF" w:themeColor="background1"/>
                <w:sz w:val="22"/>
                <w:szCs w:val="22"/>
                <w:lang w:val="en-IN" w:eastAsia="en-IN"/>
              </w:rPr>
            </w:pPr>
            <w:r w:rsidRPr="00757C92">
              <w:rPr>
                <w:rFonts w:asciiTheme="minorHAnsi" w:hAnsiTheme="minorHAnsi" w:cstheme="minorHAnsi"/>
                <w:b/>
                <w:bCs/>
                <w:color w:val="FFFFFF" w:themeColor="background1"/>
                <w:sz w:val="22"/>
                <w:szCs w:val="22"/>
                <w:lang w:val="en-IN" w:eastAsia="en-IN"/>
              </w:rPr>
              <w:t>No. of Shares</w:t>
            </w:r>
          </w:p>
        </w:tc>
        <w:tc>
          <w:tcPr>
            <w:tcW w:w="1061" w:type="dxa"/>
            <w:shd w:val="clear" w:color="auto" w:fill="002060"/>
            <w:noWrap/>
            <w:vAlign w:val="center"/>
            <w:hideMark/>
          </w:tcPr>
          <w:p w14:paraId="7484859E" w14:textId="77777777" w:rsidR="00757C92" w:rsidRPr="00757C92" w:rsidRDefault="00757C92" w:rsidP="00757C92">
            <w:pPr>
              <w:spacing w:after="0" w:line="276" w:lineRule="auto"/>
              <w:ind w:left="-149" w:right="-137"/>
              <w:jc w:val="center"/>
              <w:rPr>
                <w:rFonts w:asciiTheme="minorHAnsi" w:hAnsiTheme="minorHAnsi" w:cstheme="minorHAnsi"/>
                <w:b/>
                <w:bCs/>
                <w:color w:val="FFFFFF" w:themeColor="background1"/>
                <w:sz w:val="22"/>
                <w:szCs w:val="22"/>
                <w:lang w:val="en-IN" w:eastAsia="en-IN"/>
              </w:rPr>
            </w:pPr>
            <w:r w:rsidRPr="00757C92">
              <w:rPr>
                <w:rFonts w:asciiTheme="minorHAnsi" w:hAnsiTheme="minorHAnsi" w:cstheme="minorHAnsi"/>
                <w:b/>
                <w:bCs/>
                <w:color w:val="FFFFFF" w:themeColor="background1"/>
                <w:sz w:val="22"/>
                <w:szCs w:val="22"/>
                <w:lang w:val="en-IN" w:eastAsia="en-IN"/>
              </w:rPr>
              <w:t>% Capital</w:t>
            </w:r>
          </w:p>
        </w:tc>
      </w:tr>
      <w:tr w:rsidR="00757C92" w:rsidRPr="00757C92" w14:paraId="4531D901" w14:textId="77777777" w:rsidTr="007F4165">
        <w:trPr>
          <w:trHeight w:val="300"/>
        </w:trPr>
        <w:tc>
          <w:tcPr>
            <w:tcW w:w="535" w:type="dxa"/>
            <w:shd w:val="clear" w:color="auto" w:fill="auto"/>
            <w:noWrap/>
            <w:vAlign w:val="center"/>
            <w:hideMark/>
          </w:tcPr>
          <w:p w14:paraId="771183BA"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w:t>
            </w:r>
          </w:p>
        </w:tc>
        <w:tc>
          <w:tcPr>
            <w:tcW w:w="3811" w:type="dxa"/>
            <w:shd w:val="clear" w:color="auto" w:fill="auto"/>
            <w:noWrap/>
            <w:vAlign w:val="center"/>
            <w:hideMark/>
          </w:tcPr>
          <w:p w14:paraId="75F7611E" w14:textId="476D3951"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Union Bank of India</w:t>
            </w:r>
          </w:p>
        </w:tc>
        <w:tc>
          <w:tcPr>
            <w:tcW w:w="2464" w:type="dxa"/>
            <w:shd w:val="clear" w:color="auto" w:fill="auto"/>
            <w:vAlign w:val="center"/>
            <w:hideMark/>
          </w:tcPr>
          <w:p w14:paraId="2E55A121"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BANKS</w:t>
            </w:r>
          </w:p>
        </w:tc>
        <w:tc>
          <w:tcPr>
            <w:tcW w:w="1485" w:type="dxa"/>
            <w:shd w:val="clear" w:color="auto" w:fill="auto"/>
            <w:noWrap/>
            <w:vAlign w:val="center"/>
            <w:hideMark/>
          </w:tcPr>
          <w:p w14:paraId="261331C0" w14:textId="770712A7" w:rsidR="00757C92" w:rsidRPr="00757C92" w:rsidRDefault="00757C92" w:rsidP="00757C92">
            <w:pPr>
              <w:spacing w:after="0" w:line="276" w:lineRule="auto"/>
              <w:ind w:left="-66" w:right="-60"/>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1,54,62,71,529</w:t>
            </w:r>
          </w:p>
        </w:tc>
        <w:tc>
          <w:tcPr>
            <w:tcW w:w="1061" w:type="dxa"/>
            <w:shd w:val="clear" w:color="auto" w:fill="auto"/>
            <w:noWrap/>
            <w:vAlign w:val="center"/>
            <w:hideMark/>
          </w:tcPr>
          <w:p w14:paraId="49686685" w14:textId="77777777" w:rsidR="00757C92" w:rsidRPr="00757C92" w:rsidRDefault="00757C92" w:rsidP="00757C92">
            <w:pPr>
              <w:spacing w:after="0" w:line="276" w:lineRule="auto"/>
              <w:ind w:left="-149" w:right="-137"/>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12.0736</w:t>
            </w:r>
          </w:p>
        </w:tc>
      </w:tr>
      <w:tr w:rsidR="00757C92" w:rsidRPr="00757C92" w14:paraId="5390D7E4" w14:textId="77777777" w:rsidTr="007F4165">
        <w:trPr>
          <w:trHeight w:val="300"/>
        </w:trPr>
        <w:tc>
          <w:tcPr>
            <w:tcW w:w="535" w:type="dxa"/>
            <w:shd w:val="clear" w:color="auto" w:fill="auto"/>
            <w:noWrap/>
            <w:vAlign w:val="center"/>
            <w:hideMark/>
          </w:tcPr>
          <w:p w14:paraId="245EC94A"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2</w:t>
            </w:r>
          </w:p>
        </w:tc>
        <w:tc>
          <w:tcPr>
            <w:tcW w:w="3811" w:type="dxa"/>
            <w:shd w:val="clear" w:color="auto" w:fill="auto"/>
            <w:noWrap/>
            <w:vAlign w:val="center"/>
            <w:hideMark/>
          </w:tcPr>
          <w:p w14:paraId="635CF220" w14:textId="6844C43A"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Central Bank of India</w:t>
            </w:r>
          </w:p>
        </w:tc>
        <w:tc>
          <w:tcPr>
            <w:tcW w:w="2464" w:type="dxa"/>
            <w:shd w:val="clear" w:color="auto" w:fill="auto"/>
            <w:vAlign w:val="center"/>
            <w:hideMark/>
          </w:tcPr>
          <w:p w14:paraId="7FC19215"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BANKS</w:t>
            </w:r>
          </w:p>
        </w:tc>
        <w:tc>
          <w:tcPr>
            <w:tcW w:w="1485" w:type="dxa"/>
            <w:shd w:val="clear" w:color="auto" w:fill="auto"/>
            <w:noWrap/>
            <w:vAlign w:val="center"/>
            <w:hideMark/>
          </w:tcPr>
          <w:p w14:paraId="400E3560" w14:textId="358EC5CB"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93,71,54,365</w:t>
            </w:r>
          </w:p>
        </w:tc>
        <w:tc>
          <w:tcPr>
            <w:tcW w:w="1061" w:type="dxa"/>
            <w:shd w:val="clear" w:color="auto" w:fill="auto"/>
            <w:noWrap/>
            <w:vAlign w:val="center"/>
            <w:hideMark/>
          </w:tcPr>
          <w:p w14:paraId="7C22868D"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7.3175</w:t>
            </w:r>
          </w:p>
        </w:tc>
      </w:tr>
      <w:tr w:rsidR="00757C92" w:rsidRPr="00757C92" w14:paraId="6628B5A3" w14:textId="77777777" w:rsidTr="007F4165">
        <w:trPr>
          <w:trHeight w:val="300"/>
        </w:trPr>
        <w:tc>
          <w:tcPr>
            <w:tcW w:w="535" w:type="dxa"/>
            <w:shd w:val="clear" w:color="auto" w:fill="auto"/>
            <w:noWrap/>
            <w:vAlign w:val="center"/>
            <w:hideMark/>
          </w:tcPr>
          <w:p w14:paraId="76B72BA7"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3</w:t>
            </w:r>
          </w:p>
        </w:tc>
        <w:tc>
          <w:tcPr>
            <w:tcW w:w="3811" w:type="dxa"/>
            <w:shd w:val="clear" w:color="auto" w:fill="auto"/>
            <w:noWrap/>
            <w:vAlign w:val="center"/>
            <w:hideMark/>
          </w:tcPr>
          <w:p w14:paraId="6C12A019" w14:textId="7CC272A1"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 Of Baroda</w:t>
            </w:r>
          </w:p>
        </w:tc>
        <w:tc>
          <w:tcPr>
            <w:tcW w:w="2464" w:type="dxa"/>
            <w:shd w:val="clear" w:color="auto" w:fill="auto"/>
            <w:vAlign w:val="center"/>
            <w:hideMark/>
          </w:tcPr>
          <w:p w14:paraId="2194D7CB"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BANKS</w:t>
            </w:r>
          </w:p>
        </w:tc>
        <w:tc>
          <w:tcPr>
            <w:tcW w:w="1485" w:type="dxa"/>
            <w:shd w:val="clear" w:color="auto" w:fill="auto"/>
            <w:noWrap/>
            <w:vAlign w:val="center"/>
            <w:hideMark/>
          </w:tcPr>
          <w:p w14:paraId="66275232" w14:textId="561EA49A"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72,79,74,981</w:t>
            </w:r>
          </w:p>
        </w:tc>
        <w:tc>
          <w:tcPr>
            <w:tcW w:w="1061" w:type="dxa"/>
            <w:shd w:val="clear" w:color="auto" w:fill="auto"/>
            <w:noWrap/>
            <w:vAlign w:val="center"/>
            <w:hideMark/>
          </w:tcPr>
          <w:p w14:paraId="0D8944FF"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5.6842</w:t>
            </w:r>
          </w:p>
        </w:tc>
      </w:tr>
      <w:tr w:rsidR="00757C92" w:rsidRPr="00757C92" w14:paraId="5EC6B993" w14:textId="77777777" w:rsidTr="007F4165">
        <w:trPr>
          <w:trHeight w:val="300"/>
        </w:trPr>
        <w:tc>
          <w:tcPr>
            <w:tcW w:w="535" w:type="dxa"/>
            <w:shd w:val="clear" w:color="auto" w:fill="auto"/>
            <w:noWrap/>
            <w:vAlign w:val="center"/>
            <w:hideMark/>
          </w:tcPr>
          <w:p w14:paraId="42CD2799"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4</w:t>
            </w:r>
          </w:p>
        </w:tc>
        <w:tc>
          <w:tcPr>
            <w:tcW w:w="3811" w:type="dxa"/>
            <w:shd w:val="clear" w:color="auto" w:fill="auto"/>
            <w:noWrap/>
            <w:vAlign w:val="center"/>
            <w:hideMark/>
          </w:tcPr>
          <w:p w14:paraId="5374FC50" w14:textId="096AAEF3"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Canara Bank</w:t>
            </w:r>
          </w:p>
        </w:tc>
        <w:tc>
          <w:tcPr>
            <w:tcW w:w="2464" w:type="dxa"/>
            <w:shd w:val="clear" w:color="auto" w:fill="auto"/>
            <w:vAlign w:val="center"/>
            <w:hideMark/>
          </w:tcPr>
          <w:p w14:paraId="4A0059D6"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BANKS</w:t>
            </w:r>
          </w:p>
        </w:tc>
        <w:tc>
          <w:tcPr>
            <w:tcW w:w="1485" w:type="dxa"/>
            <w:shd w:val="clear" w:color="auto" w:fill="auto"/>
            <w:noWrap/>
            <w:vAlign w:val="center"/>
            <w:hideMark/>
          </w:tcPr>
          <w:p w14:paraId="0A83393E" w14:textId="67A8153F"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51,91,15,328</w:t>
            </w:r>
          </w:p>
        </w:tc>
        <w:tc>
          <w:tcPr>
            <w:tcW w:w="1061" w:type="dxa"/>
            <w:shd w:val="clear" w:color="auto" w:fill="auto"/>
            <w:noWrap/>
            <w:vAlign w:val="center"/>
            <w:hideMark/>
          </w:tcPr>
          <w:p w14:paraId="6737B279"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4.0534</w:t>
            </w:r>
          </w:p>
        </w:tc>
      </w:tr>
      <w:tr w:rsidR="00757C92" w:rsidRPr="00757C92" w14:paraId="745401D0" w14:textId="77777777" w:rsidTr="007F4165">
        <w:trPr>
          <w:trHeight w:val="70"/>
        </w:trPr>
        <w:tc>
          <w:tcPr>
            <w:tcW w:w="535" w:type="dxa"/>
            <w:shd w:val="clear" w:color="auto" w:fill="auto"/>
            <w:noWrap/>
            <w:vAlign w:val="center"/>
            <w:hideMark/>
          </w:tcPr>
          <w:p w14:paraId="08CA32A5"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5</w:t>
            </w:r>
          </w:p>
        </w:tc>
        <w:tc>
          <w:tcPr>
            <w:tcW w:w="3811" w:type="dxa"/>
            <w:shd w:val="clear" w:color="auto" w:fill="auto"/>
            <w:noWrap/>
            <w:vAlign w:val="center"/>
            <w:hideMark/>
          </w:tcPr>
          <w:p w14:paraId="5005892E" w14:textId="0F622419"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Life Insurance Corporation of India</w:t>
            </w:r>
          </w:p>
        </w:tc>
        <w:tc>
          <w:tcPr>
            <w:tcW w:w="2464" w:type="dxa"/>
            <w:shd w:val="clear" w:color="auto" w:fill="auto"/>
            <w:vAlign w:val="center"/>
            <w:hideMark/>
          </w:tcPr>
          <w:p w14:paraId="7F6C8E1C"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INSURANCE COMPANIES</w:t>
            </w:r>
          </w:p>
        </w:tc>
        <w:tc>
          <w:tcPr>
            <w:tcW w:w="1485" w:type="dxa"/>
            <w:shd w:val="clear" w:color="auto" w:fill="auto"/>
            <w:noWrap/>
            <w:vAlign w:val="center"/>
            <w:hideMark/>
          </w:tcPr>
          <w:p w14:paraId="0294D7AA" w14:textId="6AAAE2B8"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42,61,77,058</w:t>
            </w:r>
          </w:p>
        </w:tc>
        <w:tc>
          <w:tcPr>
            <w:tcW w:w="1061" w:type="dxa"/>
            <w:shd w:val="clear" w:color="auto" w:fill="auto"/>
            <w:noWrap/>
            <w:vAlign w:val="center"/>
            <w:hideMark/>
          </w:tcPr>
          <w:p w14:paraId="2322423E"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3.3277</w:t>
            </w:r>
          </w:p>
        </w:tc>
      </w:tr>
      <w:tr w:rsidR="00757C92" w:rsidRPr="00757C92" w14:paraId="67C6D0C1" w14:textId="77777777" w:rsidTr="007F4165">
        <w:trPr>
          <w:trHeight w:val="123"/>
        </w:trPr>
        <w:tc>
          <w:tcPr>
            <w:tcW w:w="535" w:type="dxa"/>
            <w:shd w:val="clear" w:color="auto" w:fill="auto"/>
            <w:noWrap/>
            <w:vAlign w:val="center"/>
            <w:hideMark/>
          </w:tcPr>
          <w:p w14:paraId="55D68FBB"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6</w:t>
            </w:r>
          </w:p>
        </w:tc>
        <w:tc>
          <w:tcPr>
            <w:tcW w:w="3811" w:type="dxa"/>
            <w:shd w:val="clear" w:color="auto" w:fill="auto"/>
            <w:noWrap/>
            <w:vAlign w:val="center"/>
            <w:hideMark/>
          </w:tcPr>
          <w:p w14:paraId="2354ECDA" w14:textId="2459EC9E"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Global Holding Corporation Private Limited</w:t>
            </w:r>
          </w:p>
        </w:tc>
        <w:tc>
          <w:tcPr>
            <w:tcW w:w="2464" w:type="dxa"/>
            <w:shd w:val="clear" w:color="auto" w:fill="auto"/>
            <w:vAlign w:val="center"/>
            <w:hideMark/>
          </w:tcPr>
          <w:p w14:paraId="0C0F1A9A" w14:textId="116F0E55"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 xml:space="preserve">CORPORATE BODIES </w:t>
            </w:r>
            <w:r>
              <w:rPr>
                <w:rFonts w:asciiTheme="minorHAnsi" w:hAnsiTheme="minorHAnsi" w:cstheme="minorHAnsi"/>
                <w:color w:val="000000"/>
                <w:sz w:val="22"/>
                <w:szCs w:val="22"/>
                <w:lang w:val="en-IN" w:eastAsia="en-IN"/>
              </w:rPr>
              <w:t>(</w:t>
            </w:r>
            <w:r w:rsidRPr="00757C92">
              <w:rPr>
                <w:rFonts w:asciiTheme="minorHAnsi" w:hAnsiTheme="minorHAnsi" w:cstheme="minorHAnsi"/>
                <w:color w:val="000000"/>
                <w:sz w:val="22"/>
                <w:szCs w:val="22"/>
                <w:lang w:val="en-IN" w:eastAsia="en-IN"/>
              </w:rPr>
              <w:t>PROMOTER COMPANY)</w:t>
            </w:r>
          </w:p>
        </w:tc>
        <w:tc>
          <w:tcPr>
            <w:tcW w:w="1485" w:type="dxa"/>
            <w:shd w:val="clear" w:color="auto" w:fill="auto"/>
            <w:noWrap/>
            <w:vAlign w:val="center"/>
            <w:hideMark/>
          </w:tcPr>
          <w:p w14:paraId="3A7C2A49" w14:textId="00E66D9C"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42,01,44,016</w:t>
            </w:r>
          </w:p>
        </w:tc>
        <w:tc>
          <w:tcPr>
            <w:tcW w:w="1061" w:type="dxa"/>
            <w:shd w:val="clear" w:color="auto" w:fill="auto"/>
            <w:noWrap/>
            <w:vAlign w:val="center"/>
            <w:hideMark/>
          </w:tcPr>
          <w:p w14:paraId="486F1008"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3.2805</w:t>
            </w:r>
          </w:p>
        </w:tc>
      </w:tr>
      <w:tr w:rsidR="00757C92" w:rsidRPr="00757C92" w14:paraId="57DCAE2F" w14:textId="77777777" w:rsidTr="007F4165">
        <w:trPr>
          <w:trHeight w:val="300"/>
        </w:trPr>
        <w:tc>
          <w:tcPr>
            <w:tcW w:w="535" w:type="dxa"/>
            <w:shd w:val="clear" w:color="auto" w:fill="auto"/>
            <w:noWrap/>
            <w:vAlign w:val="center"/>
            <w:hideMark/>
          </w:tcPr>
          <w:p w14:paraId="514371C0"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7</w:t>
            </w:r>
          </w:p>
        </w:tc>
        <w:tc>
          <w:tcPr>
            <w:tcW w:w="3811" w:type="dxa"/>
            <w:shd w:val="clear" w:color="auto" w:fill="auto"/>
            <w:noWrap/>
            <w:vAlign w:val="center"/>
            <w:hideMark/>
          </w:tcPr>
          <w:p w14:paraId="236FB356" w14:textId="047593B5"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ICICI Bank Ltd</w:t>
            </w:r>
          </w:p>
        </w:tc>
        <w:tc>
          <w:tcPr>
            <w:tcW w:w="2464" w:type="dxa"/>
            <w:shd w:val="clear" w:color="auto" w:fill="auto"/>
            <w:vAlign w:val="center"/>
            <w:hideMark/>
          </w:tcPr>
          <w:p w14:paraId="0F3FA2E4"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BANKS</w:t>
            </w:r>
          </w:p>
        </w:tc>
        <w:tc>
          <w:tcPr>
            <w:tcW w:w="1485" w:type="dxa"/>
            <w:shd w:val="clear" w:color="auto" w:fill="auto"/>
            <w:noWrap/>
            <w:vAlign w:val="center"/>
            <w:hideMark/>
          </w:tcPr>
          <w:p w14:paraId="1758C498" w14:textId="7A61C744"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30,00,00,000</w:t>
            </w:r>
          </w:p>
        </w:tc>
        <w:tc>
          <w:tcPr>
            <w:tcW w:w="1061" w:type="dxa"/>
            <w:shd w:val="clear" w:color="auto" w:fill="auto"/>
            <w:noWrap/>
            <w:vAlign w:val="center"/>
            <w:hideMark/>
          </w:tcPr>
          <w:p w14:paraId="437AC4CC"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2.3425</w:t>
            </w:r>
          </w:p>
        </w:tc>
      </w:tr>
      <w:tr w:rsidR="00757C92" w:rsidRPr="00757C92" w14:paraId="18F9B453" w14:textId="77777777" w:rsidTr="007F4165">
        <w:trPr>
          <w:trHeight w:val="300"/>
        </w:trPr>
        <w:tc>
          <w:tcPr>
            <w:tcW w:w="535" w:type="dxa"/>
            <w:shd w:val="clear" w:color="auto" w:fill="auto"/>
            <w:noWrap/>
            <w:vAlign w:val="center"/>
            <w:hideMark/>
          </w:tcPr>
          <w:p w14:paraId="48132661"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8</w:t>
            </w:r>
          </w:p>
        </w:tc>
        <w:tc>
          <w:tcPr>
            <w:tcW w:w="3811" w:type="dxa"/>
            <w:shd w:val="clear" w:color="auto" w:fill="auto"/>
            <w:noWrap/>
            <w:vAlign w:val="center"/>
            <w:hideMark/>
          </w:tcPr>
          <w:p w14:paraId="21B420E5" w14:textId="489F9011"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Indian Overseas Bank</w:t>
            </w:r>
          </w:p>
        </w:tc>
        <w:tc>
          <w:tcPr>
            <w:tcW w:w="2464" w:type="dxa"/>
            <w:shd w:val="clear" w:color="auto" w:fill="auto"/>
            <w:vAlign w:val="center"/>
            <w:hideMark/>
          </w:tcPr>
          <w:p w14:paraId="165EB9E0"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BANKS</w:t>
            </w:r>
          </w:p>
        </w:tc>
        <w:tc>
          <w:tcPr>
            <w:tcW w:w="1485" w:type="dxa"/>
            <w:shd w:val="clear" w:color="auto" w:fill="auto"/>
            <w:noWrap/>
            <w:vAlign w:val="center"/>
            <w:hideMark/>
          </w:tcPr>
          <w:p w14:paraId="4B0D8132" w14:textId="2187EADC"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20,00,00,000</w:t>
            </w:r>
          </w:p>
        </w:tc>
        <w:tc>
          <w:tcPr>
            <w:tcW w:w="1061" w:type="dxa"/>
            <w:shd w:val="clear" w:color="auto" w:fill="auto"/>
            <w:noWrap/>
            <w:vAlign w:val="center"/>
            <w:hideMark/>
          </w:tcPr>
          <w:p w14:paraId="60222531"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1.5616</w:t>
            </w:r>
          </w:p>
        </w:tc>
      </w:tr>
      <w:tr w:rsidR="00757C92" w:rsidRPr="00757C92" w14:paraId="16AE4EB7" w14:textId="77777777" w:rsidTr="007F4165">
        <w:trPr>
          <w:trHeight w:val="300"/>
        </w:trPr>
        <w:tc>
          <w:tcPr>
            <w:tcW w:w="535" w:type="dxa"/>
            <w:shd w:val="clear" w:color="auto" w:fill="auto"/>
            <w:noWrap/>
            <w:vAlign w:val="center"/>
            <w:hideMark/>
          </w:tcPr>
          <w:p w14:paraId="3E87A0BB"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9</w:t>
            </w:r>
          </w:p>
        </w:tc>
        <w:tc>
          <w:tcPr>
            <w:tcW w:w="3811" w:type="dxa"/>
            <w:shd w:val="clear" w:color="auto" w:fill="auto"/>
            <w:noWrap/>
            <w:vAlign w:val="center"/>
            <w:hideMark/>
          </w:tcPr>
          <w:p w14:paraId="742DF1D5" w14:textId="7B070490"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Series A Bondholder’s Benefit Trust</w:t>
            </w:r>
          </w:p>
        </w:tc>
        <w:tc>
          <w:tcPr>
            <w:tcW w:w="2464" w:type="dxa"/>
            <w:shd w:val="clear" w:color="auto" w:fill="auto"/>
            <w:vAlign w:val="center"/>
            <w:hideMark/>
          </w:tcPr>
          <w:p w14:paraId="21A378A9"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TRUST</w:t>
            </w:r>
          </w:p>
        </w:tc>
        <w:tc>
          <w:tcPr>
            <w:tcW w:w="1485" w:type="dxa"/>
            <w:shd w:val="clear" w:color="auto" w:fill="auto"/>
            <w:noWrap/>
            <w:vAlign w:val="center"/>
            <w:hideMark/>
          </w:tcPr>
          <w:p w14:paraId="17589DAD" w14:textId="05A1BBCE"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9,40,62,121</w:t>
            </w:r>
          </w:p>
        </w:tc>
        <w:tc>
          <w:tcPr>
            <w:tcW w:w="1061" w:type="dxa"/>
            <w:shd w:val="clear" w:color="auto" w:fill="auto"/>
            <w:noWrap/>
            <w:vAlign w:val="center"/>
            <w:hideMark/>
          </w:tcPr>
          <w:p w14:paraId="3DA5A4C1"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0.7345</w:t>
            </w:r>
          </w:p>
        </w:tc>
      </w:tr>
      <w:tr w:rsidR="00757C92" w:rsidRPr="00757C92" w14:paraId="198B79E9" w14:textId="77777777" w:rsidTr="007F4165">
        <w:trPr>
          <w:trHeight w:val="300"/>
        </w:trPr>
        <w:tc>
          <w:tcPr>
            <w:tcW w:w="535" w:type="dxa"/>
            <w:shd w:val="clear" w:color="auto" w:fill="auto"/>
            <w:noWrap/>
            <w:vAlign w:val="center"/>
            <w:hideMark/>
          </w:tcPr>
          <w:p w14:paraId="380E8AB6"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10</w:t>
            </w:r>
          </w:p>
        </w:tc>
        <w:tc>
          <w:tcPr>
            <w:tcW w:w="3811" w:type="dxa"/>
            <w:shd w:val="clear" w:color="auto" w:fill="auto"/>
            <w:noWrap/>
            <w:vAlign w:val="center"/>
            <w:hideMark/>
          </w:tcPr>
          <w:p w14:paraId="20EC45DB" w14:textId="5BD96510" w:rsidR="00757C92" w:rsidRPr="00757C92" w:rsidRDefault="00757C92" w:rsidP="00757C92">
            <w:pPr>
              <w:spacing w:after="0" w:line="276"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UCO Bank</w:t>
            </w:r>
          </w:p>
        </w:tc>
        <w:tc>
          <w:tcPr>
            <w:tcW w:w="2464" w:type="dxa"/>
            <w:shd w:val="clear" w:color="auto" w:fill="auto"/>
            <w:vAlign w:val="center"/>
            <w:hideMark/>
          </w:tcPr>
          <w:p w14:paraId="23409EF4"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BANKS</w:t>
            </w:r>
          </w:p>
        </w:tc>
        <w:tc>
          <w:tcPr>
            <w:tcW w:w="1485" w:type="dxa"/>
            <w:shd w:val="clear" w:color="auto" w:fill="auto"/>
            <w:noWrap/>
            <w:vAlign w:val="center"/>
            <w:hideMark/>
          </w:tcPr>
          <w:p w14:paraId="011EB98E" w14:textId="4A5023F9"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6,91,05,232</w:t>
            </w:r>
          </w:p>
        </w:tc>
        <w:tc>
          <w:tcPr>
            <w:tcW w:w="1061" w:type="dxa"/>
            <w:shd w:val="clear" w:color="auto" w:fill="auto"/>
            <w:noWrap/>
            <w:vAlign w:val="center"/>
            <w:hideMark/>
          </w:tcPr>
          <w:p w14:paraId="12C137EF" w14:textId="77777777" w:rsidR="00757C92" w:rsidRPr="00757C92" w:rsidRDefault="00757C92" w:rsidP="00757C92">
            <w:pPr>
              <w:spacing w:after="0" w:line="276"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0.5396</w:t>
            </w:r>
          </w:p>
        </w:tc>
      </w:tr>
    </w:tbl>
    <w:p w14:paraId="5F9F82F5" w14:textId="212E4345" w:rsidR="00FD0625" w:rsidRDefault="004C1C3E" w:rsidP="004C1C3E">
      <w:pPr>
        <w:pStyle w:val="ListParagraph"/>
        <w:spacing w:after="0" w:line="240" w:lineRule="auto"/>
        <w:ind w:left="142" w:right="-23"/>
        <w:jc w:val="right"/>
        <w:rPr>
          <w:rFonts w:ascii="Arial" w:hAnsi="Arial" w:cs="Arial"/>
          <w:i/>
          <w:sz w:val="20"/>
          <w:szCs w:val="22"/>
        </w:rPr>
      </w:pPr>
      <w:r w:rsidRPr="003301E0">
        <w:rPr>
          <w:rFonts w:ascii="Arial" w:hAnsi="Arial" w:cs="Arial"/>
          <w:b/>
          <w:i/>
          <w:sz w:val="20"/>
          <w:szCs w:val="22"/>
        </w:rPr>
        <w:t>Source:</w:t>
      </w:r>
      <w:r w:rsidRPr="003301E0">
        <w:rPr>
          <w:rFonts w:ascii="Arial" w:hAnsi="Arial" w:cs="Arial"/>
          <w:i/>
          <w:sz w:val="20"/>
          <w:szCs w:val="22"/>
        </w:rPr>
        <w:t xml:space="preserve"> Information provided by the client</w:t>
      </w:r>
    </w:p>
    <w:p w14:paraId="06D76E0F" w14:textId="77777777" w:rsidR="004C1C3E" w:rsidRPr="006A0EB3" w:rsidRDefault="004C1C3E" w:rsidP="004C1C3E">
      <w:pPr>
        <w:pStyle w:val="ListParagraph"/>
        <w:spacing w:after="0" w:line="240" w:lineRule="auto"/>
        <w:ind w:left="142" w:right="-23"/>
        <w:jc w:val="right"/>
        <w:rPr>
          <w:rFonts w:ascii="Arial" w:hAnsi="Arial" w:cs="Arial"/>
          <w:bCs/>
          <w:sz w:val="22"/>
          <w:szCs w:val="22"/>
          <w:lang w:val="en-IN"/>
        </w:rPr>
      </w:pPr>
    </w:p>
    <w:p w14:paraId="70FB4387" w14:textId="00F4FE7E" w:rsidR="00E42FAB" w:rsidRPr="00757C92" w:rsidRDefault="00E42FAB" w:rsidP="00B07001">
      <w:pPr>
        <w:pStyle w:val="ListParagraph"/>
        <w:numPr>
          <w:ilvl w:val="0"/>
          <w:numId w:val="10"/>
        </w:numPr>
        <w:spacing w:line="360" w:lineRule="auto"/>
        <w:ind w:left="142" w:right="-23" w:hanging="426"/>
        <w:jc w:val="both"/>
        <w:rPr>
          <w:rFonts w:ascii="Arial" w:hAnsi="Arial" w:cs="Arial"/>
          <w:b/>
          <w:bCs/>
          <w:sz w:val="22"/>
          <w:szCs w:val="22"/>
        </w:rPr>
      </w:pPr>
      <w:r w:rsidRPr="00ED4DA7">
        <w:rPr>
          <w:rFonts w:ascii="Arial" w:hAnsi="Arial" w:cs="Arial"/>
          <w:b/>
          <w:bCs/>
          <w:sz w:val="22"/>
          <w:szCs w:val="22"/>
          <w:lang w:val="en-IN"/>
        </w:rPr>
        <w:t xml:space="preserve">SNAPSHOT OF THE OUTSTANDING DEBT OF THE COMPANY: </w:t>
      </w:r>
      <w:r w:rsidRPr="00ED4DA7">
        <w:rPr>
          <w:rFonts w:ascii="Arial" w:hAnsi="Arial" w:cs="Arial"/>
          <w:sz w:val="22"/>
          <w:szCs w:val="22"/>
          <w:lang w:val="en-IN"/>
        </w:rPr>
        <w:t>As per the information shared by the client/compan</w:t>
      </w:r>
      <w:r w:rsidR="00ED4DA7" w:rsidRPr="00ED4DA7">
        <w:rPr>
          <w:rFonts w:ascii="Arial" w:hAnsi="Arial" w:cs="Arial"/>
          <w:sz w:val="22"/>
          <w:szCs w:val="22"/>
          <w:lang w:val="en-IN"/>
        </w:rPr>
        <w:t>y</w:t>
      </w:r>
      <w:r w:rsidRPr="00ED4DA7">
        <w:rPr>
          <w:rFonts w:ascii="Arial" w:hAnsi="Arial" w:cs="Arial"/>
          <w:sz w:val="22"/>
          <w:szCs w:val="22"/>
          <w:lang w:val="en-IN"/>
        </w:rPr>
        <w:t xml:space="preserve">, </w:t>
      </w:r>
      <w:r w:rsidR="00ED4DA7" w:rsidRPr="00ED4DA7">
        <w:rPr>
          <w:rFonts w:ascii="Arial" w:hAnsi="Arial" w:cs="Arial"/>
          <w:sz w:val="22"/>
          <w:szCs w:val="22"/>
          <w:lang w:val="en-IN"/>
        </w:rPr>
        <w:t>the outstanding debt of the company</w:t>
      </w:r>
      <w:r w:rsidR="00757C92">
        <w:rPr>
          <w:rFonts w:ascii="Arial" w:hAnsi="Arial" w:cs="Arial"/>
          <w:sz w:val="22"/>
          <w:szCs w:val="22"/>
          <w:lang w:val="en-IN"/>
        </w:rPr>
        <w:t xml:space="preserve"> as on 31</w:t>
      </w:r>
      <w:r w:rsidR="00757C92" w:rsidRPr="00757C92">
        <w:rPr>
          <w:rFonts w:ascii="Arial" w:hAnsi="Arial" w:cs="Arial"/>
          <w:sz w:val="22"/>
          <w:szCs w:val="22"/>
          <w:vertAlign w:val="superscript"/>
          <w:lang w:val="en-IN"/>
        </w:rPr>
        <w:t>st</w:t>
      </w:r>
      <w:r w:rsidR="00757C92">
        <w:rPr>
          <w:rFonts w:ascii="Arial" w:hAnsi="Arial" w:cs="Arial"/>
          <w:sz w:val="22"/>
          <w:szCs w:val="22"/>
          <w:lang w:val="en-IN"/>
        </w:rPr>
        <w:t xml:space="preserve"> December 2024</w:t>
      </w:r>
      <w:r w:rsidR="00ED4DA7" w:rsidRPr="00ED4DA7">
        <w:rPr>
          <w:rFonts w:ascii="Arial" w:hAnsi="Arial" w:cs="Arial"/>
          <w:sz w:val="22"/>
          <w:szCs w:val="22"/>
          <w:lang w:val="en-IN"/>
        </w:rPr>
        <w:t xml:space="preserve"> is as follows</w:t>
      </w:r>
      <w:r w:rsidRPr="00ED4DA7">
        <w:rPr>
          <w:rFonts w:ascii="Arial" w:hAnsi="Arial" w:cs="Arial"/>
          <w:sz w:val="22"/>
          <w:szCs w:val="22"/>
          <w:lang w:val="en-IN"/>
        </w:rPr>
        <w:t>:</w:t>
      </w:r>
    </w:p>
    <w:tbl>
      <w:tblPr>
        <w:tblW w:w="594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1929"/>
      </w:tblGrid>
      <w:tr w:rsidR="00757C92" w:rsidRPr="00757C92" w14:paraId="4BE58392" w14:textId="77777777" w:rsidTr="00757C92">
        <w:trPr>
          <w:trHeight w:val="255"/>
        </w:trPr>
        <w:tc>
          <w:tcPr>
            <w:tcW w:w="4020" w:type="dxa"/>
            <w:shd w:val="clear" w:color="auto" w:fill="002060"/>
            <w:noWrap/>
            <w:vAlign w:val="center"/>
            <w:hideMark/>
          </w:tcPr>
          <w:p w14:paraId="3FE7ED7A" w14:textId="77777777" w:rsidR="00757C92" w:rsidRPr="00757C92" w:rsidRDefault="00757C92" w:rsidP="00757C92">
            <w:pPr>
              <w:spacing w:after="0" w:line="360" w:lineRule="auto"/>
              <w:jc w:val="center"/>
              <w:rPr>
                <w:rFonts w:asciiTheme="minorHAnsi" w:hAnsiTheme="minorHAnsi" w:cstheme="minorHAnsi"/>
                <w:b/>
                <w:bCs/>
                <w:color w:val="FFFFFF" w:themeColor="background1"/>
                <w:sz w:val="22"/>
                <w:szCs w:val="22"/>
                <w:lang w:val="en-IN" w:eastAsia="en-IN"/>
              </w:rPr>
            </w:pPr>
            <w:r w:rsidRPr="00757C92">
              <w:rPr>
                <w:rFonts w:asciiTheme="minorHAnsi" w:hAnsiTheme="minorHAnsi" w:cstheme="minorHAnsi"/>
                <w:b/>
                <w:bCs/>
                <w:color w:val="FFFFFF" w:themeColor="background1"/>
                <w:sz w:val="22"/>
                <w:szCs w:val="22"/>
                <w:lang w:val="en-IN" w:eastAsia="en-IN"/>
              </w:rPr>
              <w:t>Lender</w:t>
            </w:r>
          </w:p>
        </w:tc>
        <w:tc>
          <w:tcPr>
            <w:tcW w:w="1929" w:type="dxa"/>
            <w:shd w:val="clear" w:color="auto" w:fill="002060"/>
            <w:noWrap/>
            <w:vAlign w:val="center"/>
            <w:hideMark/>
          </w:tcPr>
          <w:p w14:paraId="3F8E29C7" w14:textId="3F77F664" w:rsidR="00757C92" w:rsidRPr="00757C92" w:rsidRDefault="00757C92" w:rsidP="00757C92">
            <w:pPr>
              <w:spacing w:after="0" w:line="360" w:lineRule="auto"/>
              <w:jc w:val="center"/>
              <w:rPr>
                <w:rFonts w:asciiTheme="minorHAnsi" w:hAnsiTheme="minorHAnsi" w:cstheme="minorHAnsi"/>
                <w:b/>
                <w:bCs/>
                <w:color w:val="FFFFFF" w:themeColor="background1"/>
                <w:sz w:val="22"/>
                <w:szCs w:val="22"/>
                <w:lang w:val="en-IN" w:eastAsia="en-IN"/>
              </w:rPr>
            </w:pPr>
            <w:r w:rsidRPr="00757C92">
              <w:rPr>
                <w:rFonts w:asciiTheme="minorHAnsi" w:hAnsiTheme="minorHAnsi" w:cstheme="minorHAnsi"/>
                <w:b/>
                <w:bCs/>
                <w:color w:val="FFFFFF" w:themeColor="background1"/>
                <w:sz w:val="22"/>
                <w:szCs w:val="22"/>
                <w:lang w:val="en-IN" w:eastAsia="en-IN"/>
              </w:rPr>
              <w:t>Amount (in Cr)</w:t>
            </w:r>
          </w:p>
        </w:tc>
      </w:tr>
      <w:tr w:rsidR="00757C92" w:rsidRPr="00757C92" w14:paraId="0D1CEC91" w14:textId="77777777" w:rsidTr="00757C92">
        <w:trPr>
          <w:trHeight w:val="255"/>
        </w:trPr>
        <w:tc>
          <w:tcPr>
            <w:tcW w:w="4020" w:type="dxa"/>
            <w:shd w:val="clear" w:color="auto" w:fill="auto"/>
            <w:noWrap/>
            <w:vAlign w:val="center"/>
            <w:hideMark/>
          </w:tcPr>
          <w:p w14:paraId="3EF54E6F" w14:textId="77777777" w:rsidR="00757C92" w:rsidRPr="00757C92" w:rsidRDefault="00757C92" w:rsidP="00757C92">
            <w:pPr>
              <w:spacing w:after="0" w:line="360" w:lineRule="auto"/>
              <w:rPr>
                <w:rFonts w:asciiTheme="minorHAnsi" w:hAnsiTheme="minorHAnsi" w:cstheme="minorHAnsi"/>
                <w:sz w:val="22"/>
                <w:szCs w:val="22"/>
                <w:lang w:val="en-IN" w:eastAsia="en-IN"/>
              </w:rPr>
            </w:pPr>
            <w:r w:rsidRPr="00757C92">
              <w:rPr>
                <w:rFonts w:asciiTheme="minorHAnsi" w:hAnsiTheme="minorHAnsi" w:cstheme="minorHAnsi"/>
                <w:sz w:val="22"/>
                <w:szCs w:val="22"/>
                <w:lang w:val="en-IN" w:eastAsia="en-IN"/>
              </w:rPr>
              <w:t>Corporation Bank</w:t>
            </w:r>
          </w:p>
        </w:tc>
        <w:tc>
          <w:tcPr>
            <w:tcW w:w="1929" w:type="dxa"/>
            <w:shd w:val="clear" w:color="auto" w:fill="auto"/>
            <w:noWrap/>
            <w:vAlign w:val="center"/>
            <w:hideMark/>
          </w:tcPr>
          <w:p w14:paraId="63CEBC5B" w14:textId="5FEEF254" w:rsidR="00757C92" w:rsidRPr="00757C92" w:rsidRDefault="00757C92" w:rsidP="00757C92">
            <w:pPr>
              <w:spacing w:after="0" w:line="360"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110</w:t>
            </w:r>
          </w:p>
        </w:tc>
      </w:tr>
      <w:tr w:rsidR="00757C92" w:rsidRPr="00757C92" w14:paraId="1427F89D" w14:textId="77777777" w:rsidTr="00757C92">
        <w:trPr>
          <w:trHeight w:val="255"/>
        </w:trPr>
        <w:tc>
          <w:tcPr>
            <w:tcW w:w="4020" w:type="dxa"/>
            <w:shd w:val="clear" w:color="auto" w:fill="auto"/>
            <w:noWrap/>
            <w:vAlign w:val="center"/>
            <w:hideMark/>
          </w:tcPr>
          <w:p w14:paraId="29AC33AB" w14:textId="77777777" w:rsidR="00757C92" w:rsidRPr="00757C92" w:rsidRDefault="00757C92" w:rsidP="00757C92">
            <w:pPr>
              <w:spacing w:after="0" w:line="360" w:lineRule="auto"/>
              <w:rPr>
                <w:rFonts w:asciiTheme="minorHAnsi" w:hAnsiTheme="minorHAnsi" w:cstheme="minorHAnsi"/>
                <w:sz w:val="22"/>
                <w:szCs w:val="22"/>
                <w:lang w:val="en-IN" w:eastAsia="en-IN"/>
              </w:rPr>
            </w:pPr>
            <w:r w:rsidRPr="00757C92">
              <w:rPr>
                <w:rFonts w:asciiTheme="minorHAnsi" w:hAnsiTheme="minorHAnsi" w:cstheme="minorHAnsi"/>
                <w:sz w:val="22"/>
                <w:szCs w:val="22"/>
                <w:lang w:val="en-IN" w:eastAsia="en-IN"/>
              </w:rPr>
              <w:t>Canara Bank</w:t>
            </w:r>
          </w:p>
        </w:tc>
        <w:tc>
          <w:tcPr>
            <w:tcW w:w="1929" w:type="dxa"/>
            <w:shd w:val="clear" w:color="auto" w:fill="auto"/>
            <w:noWrap/>
            <w:vAlign w:val="center"/>
            <w:hideMark/>
          </w:tcPr>
          <w:p w14:paraId="4E46FB6A" w14:textId="042F9BDF" w:rsidR="00757C92" w:rsidRPr="00757C92" w:rsidRDefault="00757C92" w:rsidP="00757C92">
            <w:pPr>
              <w:spacing w:after="0" w:line="360"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188</w:t>
            </w:r>
          </w:p>
        </w:tc>
      </w:tr>
      <w:tr w:rsidR="00757C92" w:rsidRPr="00757C92" w14:paraId="58F0D03A" w14:textId="77777777" w:rsidTr="00757C92">
        <w:trPr>
          <w:trHeight w:val="255"/>
        </w:trPr>
        <w:tc>
          <w:tcPr>
            <w:tcW w:w="4020" w:type="dxa"/>
            <w:shd w:val="clear" w:color="auto" w:fill="auto"/>
            <w:noWrap/>
            <w:vAlign w:val="center"/>
            <w:hideMark/>
          </w:tcPr>
          <w:p w14:paraId="5C79501D" w14:textId="4DCED284" w:rsidR="00757C92" w:rsidRPr="00757C92" w:rsidRDefault="00757C92" w:rsidP="00757C92">
            <w:pPr>
              <w:spacing w:after="0" w:line="360" w:lineRule="auto"/>
              <w:rPr>
                <w:rFonts w:asciiTheme="minorHAnsi" w:hAnsiTheme="minorHAnsi" w:cstheme="minorHAnsi"/>
                <w:sz w:val="22"/>
                <w:szCs w:val="22"/>
                <w:lang w:val="en-IN" w:eastAsia="en-IN"/>
              </w:rPr>
            </w:pPr>
            <w:r w:rsidRPr="00757C92">
              <w:rPr>
                <w:rFonts w:asciiTheme="minorHAnsi" w:hAnsiTheme="minorHAnsi" w:cstheme="minorHAnsi"/>
                <w:sz w:val="22"/>
                <w:szCs w:val="22"/>
                <w:lang w:val="en-IN" w:eastAsia="en-IN"/>
              </w:rPr>
              <w:t>IDBI Bank</w:t>
            </w:r>
          </w:p>
        </w:tc>
        <w:tc>
          <w:tcPr>
            <w:tcW w:w="1929" w:type="dxa"/>
            <w:shd w:val="clear" w:color="auto" w:fill="auto"/>
            <w:noWrap/>
            <w:vAlign w:val="center"/>
            <w:hideMark/>
          </w:tcPr>
          <w:p w14:paraId="35034167" w14:textId="66F62826" w:rsidR="00757C92" w:rsidRPr="00757C92" w:rsidRDefault="00757C92" w:rsidP="00757C92">
            <w:pPr>
              <w:spacing w:after="0" w:line="360"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107</w:t>
            </w:r>
          </w:p>
        </w:tc>
      </w:tr>
      <w:tr w:rsidR="00757C92" w:rsidRPr="00757C92" w14:paraId="5D872F46" w14:textId="77777777" w:rsidTr="00757C92">
        <w:trPr>
          <w:trHeight w:val="255"/>
        </w:trPr>
        <w:tc>
          <w:tcPr>
            <w:tcW w:w="4020" w:type="dxa"/>
            <w:shd w:val="clear" w:color="auto" w:fill="auto"/>
            <w:noWrap/>
            <w:vAlign w:val="center"/>
            <w:hideMark/>
          </w:tcPr>
          <w:p w14:paraId="297129AC" w14:textId="77777777" w:rsidR="00757C92" w:rsidRPr="00757C92" w:rsidRDefault="00757C92" w:rsidP="00757C92">
            <w:pPr>
              <w:spacing w:after="0" w:line="360" w:lineRule="auto"/>
              <w:rPr>
                <w:rFonts w:asciiTheme="minorHAnsi" w:hAnsiTheme="minorHAnsi" w:cstheme="minorHAnsi"/>
                <w:sz w:val="22"/>
                <w:szCs w:val="22"/>
                <w:lang w:val="en-IN" w:eastAsia="en-IN"/>
              </w:rPr>
            </w:pPr>
            <w:r w:rsidRPr="00757C92">
              <w:rPr>
                <w:rFonts w:asciiTheme="minorHAnsi" w:hAnsiTheme="minorHAnsi" w:cstheme="minorHAnsi"/>
                <w:sz w:val="22"/>
                <w:szCs w:val="22"/>
                <w:lang w:val="en-IN" w:eastAsia="en-IN"/>
              </w:rPr>
              <w:t>Indian Bank</w:t>
            </w:r>
          </w:p>
        </w:tc>
        <w:tc>
          <w:tcPr>
            <w:tcW w:w="1929" w:type="dxa"/>
            <w:shd w:val="clear" w:color="auto" w:fill="auto"/>
            <w:noWrap/>
            <w:vAlign w:val="center"/>
            <w:hideMark/>
          </w:tcPr>
          <w:p w14:paraId="755874D6" w14:textId="206203CD" w:rsidR="00757C92" w:rsidRPr="00757C92" w:rsidRDefault="00757C92" w:rsidP="00757C92">
            <w:pPr>
              <w:spacing w:after="0" w:line="360"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36</w:t>
            </w:r>
          </w:p>
        </w:tc>
      </w:tr>
      <w:tr w:rsidR="00757C92" w:rsidRPr="00757C92" w14:paraId="51714B10" w14:textId="77777777" w:rsidTr="00757C92">
        <w:trPr>
          <w:trHeight w:val="255"/>
        </w:trPr>
        <w:tc>
          <w:tcPr>
            <w:tcW w:w="4020" w:type="dxa"/>
            <w:shd w:val="clear" w:color="auto" w:fill="auto"/>
            <w:noWrap/>
            <w:vAlign w:val="center"/>
            <w:hideMark/>
          </w:tcPr>
          <w:p w14:paraId="262D823F" w14:textId="45F0CA0E" w:rsidR="00757C92" w:rsidRPr="00757C92" w:rsidRDefault="00757C92" w:rsidP="00757C92">
            <w:pPr>
              <w:spacing w:after="0" w:line="360"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EARC Loan</w:t>
            </w:r>
          </w:p>
        </w:tc>
        <w:tc>
          <w:tcPr>
            <w:tcW w:w="1929" w:type="dxa"/>
            <w:shd w:val="clear" w:color="auto" w:fill="auto"/>
            <w:noWrap/>
            <w:vAlign w:val="center"/>
            <w:hideMark/>
          </w:tcPr>
          <w:p w14:paraId="3AEA815B" w14:textId="7299EF39" w:rsidR="00757C92" w:rsidRPr="00757C92" w:rsidRDefault="00757C92" w:rsidP="00757C92">
            <w:pPr>
              <w:spacing w:after="0" w:line="360"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2,278</w:t>
            </w:r>
          </w:p>
        </w:tc>
      </w:tr>
      <w:tr w:rsidR="00757C92" w:rsidRPr="00757C92" w14:paraId="4F2BA4F2" w14:textId="77777777" w:rsidTr="00757C92">
        <w:trPr>
          <w:trHeight w:val="255"/>
        </w:trPr>
        <w:tc>
          <w:tcPr>
            <w:tcW w:w="4020" w:type="dxa"/>
            <w:shd w:val="clear" w:color="auto" w:fill="auto"/>
            <w:noWrap/>
            <w:vAlign w:val="center"/>
            <w:hideMark/>
          </w:tcPr>
          <w:p w14:paraId="025977D6" w14:textId="0B33EB5D" w:rsidR="00757C92" w:rsidRPr="00757C92" w:rsidRDefault="00757C92" w:rsidP="00757C92">
            <w:pPr>
              <w:spacing w:after="0" w:line="360" w:lineRule="auto"/>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Life Insurance Corporation of India</w:t>
            </w:r>
          </w:p>
        </w:tc>
        <w:tc>
          <w:tcPr>
            <w:tcW w:w="1929" w:type="dxa"/>
            <w:shd w:val="clear" w:color="auto" w:fill="auto"/>
            <w:noWrap/>
            <w:vAlign w:val="center"/>
            <w:hideMark/>
          </w:tcPr>
          <w:p w14:paraId="3D570A1C" w14:textId="1264ACB6" w:rsidR="00757C92" w:rsidRPr="00757C92" w:rsidRDefault="00757C92" w:rsidP="00757C92">
            <w:pPr>
              <w:spacing w:after="0" w:line="360" w:lineRule="auto"/>
              <w:jc w:val="center"/>
              <w:rPr>
                <w:rFonts w:asciiTheme="minorHAnsi" w:hAnsiTheme="minorHAnsi" w:cstheme="minorHAnsi"/>
                <w:color w:val="000000"/>
                <w:sz w:val="22"/>
                <w:szCs w:val="22"/>
                <w:lang w:val="en-IN" w:eastAsia="en-IN"/>
              </w:rPr>
            </w:pPr>
            <w:r w:rsidRPr="00757C92">
              <w:rPr>
                <w:rFonts w:asciiTheme="minorHAnsi" w:hAnsiTheme="minorHAnsi" w:cstheme="minorHAnsi"/>
                <w:color w:val="000000"/>
                <w:sz w:val="22"/>
                <w:szCs w:val="22"/>
                <w:lang w:val="en-IN" w:eastAsia="en-IN"/>
              </w:rPr>
              <w:t>152</w:t>
            </w:r>
          </w:p>
        </w:tc>
      </w:tr>
      <w:tr w:rsidR="00757C92" w:rsidRPr="00757C92" w14:paraId="41D20D8F" w14:textId="77777777" w:rsidTr="00757C92">
        <w:trPr>
          <w:trHeight w:val="255"/>
        </w:trPr>
        <w:tc>
          <w:tcPr>
            <w:tcW w:w="4020" w:type="dxa"/>
            <w:shd w:val="clear" w:color="auto" w:fill="DEEAF6" w:themeFill="accent1" w:themeFillTint="33"/>
            <w:noWrap/>
            <w:vAlign w:val="center"/>
            <w:hideMark/>
          </w:tcPr>
          <w:p w14:paraId="5863C169" w14:textId="77777777" w:rsidR="00757C92" w:rsidRPr="00757C92" w:rsidRDefault="00757C92" w:rsidP="00757C92">
            <w:pPr>
              <w:spacing w:after="0" w:line="360" w:lineRule="auto"/>
              <w:rPr>
                <w:rFonts w:asciiTheme="minorHAnsi" w:hAnsiTheme="minorHAnsi" w:cstheme="minorHAnsi"/>
                <w:b/>
                <w:bCs/>
                <w:color w:val="000000"/>
                <w:sz w:val="22"/>
                <w:szCs w:val="22"/>
                <w:lang w:val="en-IN" w:eastAsia="en-IN"/>
              </w:rPr>
            </w:pPr>
            <w:r w:rsidRPr="00757C92">
              <w:rPr>
                <w:rFonts w:asciiTheme="minorHAnsi" w:hAnsiTheme="minorHAnsi" w:cstheme="minorHAnsi"/>
                <w:b/>
                <w:bCs/>
                <w:color w:val="000000"/>
                <w:sz w:val="22"/>
                <w:szCs w:val="22"/>
                <w:lang w:val="en-IN" w:eastAsia="en-IN"/>
              </w:rPr>
              <w:t>Total</w:t>
            </w:r>
          </w:p>
        </w:tc>
        <w:tc>
          <w:tcPr>
            <w:tcW w:w="1929" w:type="dxa"/>
            <w:shd w:val="clear" w:color="auto" w:fill="DEEAF6" w:themeFill="accent1" w:themeFillTint="33"/>
            <w:noWrap/>
            <w:vAlign w:val="center"/>
            <w:hideMark/>
          </w:tcPr>
          <w:p w14:paraId="05FFCFC3" w14:textId="7EA64566" w:rsidR="00757C92" w:rsidRPr="00757C92" w:rsidRDefault="00757C92" w:rsidP="00757C92">
            <w:pPr>
              <w:spacing w:after="0" w:line="360" w:lineRule="auto"/>
              <w:jc w:val="center"/>
              <w:rPr>
                <w:rFonts w:asciiTheme="minorHAnsi" w:hAnsiTheme="minorHAnsi" w:cstheme="minorHAnsi"/>
                <w:b/>
                <w:bCs/>
                <w:color w:val="000000"/>
                <w:sz w:val="22"/>
                <w:szCs w:val="22"/>
                <w:lang w:val="en-IN" w:eastAsia="en-IN"/>
              </w:rPr>
            </w:pPr>
            <w:r w:rsidRPr="00757C92">
              <w:rPr>
                <w:rFonts w:asciiTheme="minorHAnsi" w:hAnsiTheme="minorHAnsi" w:cstheme="minorHAnsi"/>
                <w:b/>
                <w:bCs/>
                <w:color w:val="000000"/>
                <w:sz w:val="22"/>
                <w:szCs w:val="22"/>
                <w:lang w:val="en-IN" w:eastAsia="en-IN"/>
              </w:rPr>
              <w:t>2,871</w:t>
            </w:r>
          </w:p>
        </w:tc>
      </w:tr>
    </w:tbl>
    <w:p w14:paraId="51D3D7CD" w14:textId="315129A5" w:rsidR="00757C92" w:rsidRDefault="00757C92" w:rsidP="007F4165">
      <w:pPr>
        <w:pStyle w:val="ListParagraph"/>
        <w:spacing w:after="0" w:line="360" w:lineRule="auto"/>
        <w:ind w:left="1843" w:right="1678"/>
        <w:jc w:val="both"/>
        <w:rPr>
          <w:rFonts w:ascii="Arial" w:hAnsi="Arial" w:cs="Arial"/>
          <w:sz w:val="20"/>
          <w:szCs w:val="20"/>
        </w:rPr>
      </w:pPr>
      <w:r w:rsidRPr="00757C92">
        <w:rPr>
          <w:rFonts w:ascii="Arial" w:hAnsi="Arial" w:cs="Arial"/>
          <w:sz w:val="20"/>
          <w:szCs w:val="20"/>
        </w:rPr>
        <w:t>Note: Amount debited by IDBI Trusteeship and amount recovered by sale of pledged shares has bee</w:t>
      </w:r>
      <w:r>
        <w:rPr>
          <w:rFonts w:ascii="Arial" w:hAnsi="Arial" w:cs="Arial"/>
          <w:sz w:val="20"/>
          <w:szCs w:val="20"/>
        </w:rPr>
        <w:t>n</w:t>
      </w:r>
      <w:r w:rsidRPr="00757C92">
        <w:rPr>
          <w:rFonts w:ascii="Arial" w:hAnsi="Arial" w:cs="Arial"/>
          <w:sz w:val="20"/>
          <w:szCs w:val="20"/>
        </w:rPr>
        <w:t xml:space="preserve"> reduced from the respective lender's balance.</w:t>
      </w:r>
    </w:p>
    <w:p w14:paraId="11B76B99" w14:textId="77777777" w:rsidR="007F4165" w:rsidRPr="00757C92" w:rsidRDefault="007F4165" w:rsidP="007F4165">
      <w:pPr>
        <w:pStyle w:val="ListParagraph"/>
        <w:spacing w:after="0" w:line="360" w:lineRule="auto"/>
        <w:ind w:left="1843" w:right="1678"/>
        <w:jc w:val="both"/>
        <w:rPr>
          <w:rFonts w:ascii="Arial" w:hAnsi="Arial" w:cs="Arial"/>
          <w:sz w:val="20"/>
          <w:szCs w:val="20"/>
        </w:rPr>
      </w:pPr>
    </w:p>
    <w:p w14:paraId="12459EB7" w14:textId="77777777" w:rsidR="00422150" w:rsidRPr="007F48CC" w:rsidRDefault="00422150" w:rsidP="00B07001">
      <w:pPr>
        <w:pStyle w:val="ListParagraph"/>
        <w:numPr>
          <w:ilvl w:val="0"/>
          <w:numId w:val="10"/>
        </w:numPr>
        <w:spacing w:line="360" w:lineRule="auto"/>
        <w:ind w:left="142" w:right="-23" w:hanging="426"/>
        <w:jc w:val="both"/>
        <w:rPr>
          <w:rFonts w:ascii="Arial" w:hAnsi="Arial" w:cs="Arial"/>
          <w:bCs/>
          <w:sz w:val="22"/>
          <w:szCs w:val="22"/>
          <w:lang w:val="en-IN"/>
        </w:rPr>
      </w:pPr>
      <w:r>
        <w:rPr>
          <w:rFonts w:ascii="Arial" w:hAnsi="Arial" w:cs="Arial"/>
          <w:b/>
          <w:sz w:val="22"/>
          <w:szCs w:val="22"/>
          <w:lang w:val="en-IN"/>
        </w:rPr>
        <w:t>ORGANIZATIONAL STRUCTURE:</w:t>
      </w:r>
    </w:p>
    <w:p w14:paraId="13E690F9" w14:textId="77777777" w:rsidR="00422150" w:rsidRDefault="00422150" w:rsidP="00422150">
      <w:pPr>
        <w:pStyle w:val="ListParagraph"/>
        <w:spacing w:after="0" w:line="240" w:lineRule="auto"/>
        <w:ind w:left="142" w:right="-23"/>
        <w:jc w:val="both"/>
        <w:rPr>
          <w:rFonts w:ascii="Arial" w:hAnsi="Arial" w:cs="Arial"/>
          <w:bCs/>
          <w:sz w:val="22"/>
          <w:szCs w:val="22"/>
          <w:lang w:val="en-IN"/>
        </w:rPr>
      </w:pPr>
      <w:r>
        <w:rPr>
          <w:rFonts w:ascii="Arial" w:hAnsi="Arial" w:cs="Arial"/>
          <w:bCs/>
          <w:noProof/>
          <w:sz w:val="22"/>
          <w:szCs w:val="22"/>
          <w:lang w:val="en-IN" w:eastAsia="en-IN"/>
        </w:rPr>
        <w:drawing>
          <wp:inline distT="0" distB="0" distL="0" distR="0" wp14:anchorId="33F3692A" wp14:editId="1C164F32">
            <wp:extent cx="5905500" cy="3629660"/>
            <wp:effectExtent l="19050" t="19050" r="19050"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905500" cy="3629660"/>
                    </a:xfrm>
                    <a:prstGeom prst="rect">
                      <a:avLst/>
                    </a:prstGeom>
                    <a:ln>
                      <a:solidFill>
                        <a:schemeClr val="tx1"/>
                      </a:solidFill>
                    </a:ln>
                  </pic:spPr>
                </pic:pic>
              </a:graphicData>
            </a:graphic>
          </wp:inline>
        </w:drawing>
      </w:r>
    </w:p>
    <w:p w14:paraId="1A38DB66" w14:textId="749530FC" w:rsidR="00422150" w:rsidRDefault="00422150" w:rsidP="00422150">
      <w:pPr>
        <w:pStyle w:val="ListParagraph"/>
        <w:spacing w:after="0" w:line="240" w:lineRule="auto"/>
        <w:ind w:left="142" w:right="-23"/>
        <w:jc w:val="right"/>
        <w:rPr>
          <w:rFonts w:ascii="Arial" w:hAnsi="Arial" w:cs="Arial"/>
          <w:bCs/>
          <w:sz w:val="20"/>
          <w:szCs w:val="20"/>
          <w:lang w:val="en-IN"/>
        </w:rPr>
      </w:pPr>
      <w:r w:rsidRPr="007F48CC">
        <w:rPr>
          <w:rFonts w:ascii="Arial" w:hAnsi="Arial" w:cs="Arial"/>
          <w:bCs/>
          <w:sz w:val="20"/>
          <w:szCs w:val="20"/>
          <w:lang w:val="en-IN"/>
        </w:rPr>
        <w:t>Source: Data shared by the client/company</w:t>
      </w:r>
    </w:p>
    <w:p w14:paraId="1A853A7F" w14:textId="77777777" w:rsidR="00422150" w:rsidRPr="00422150" w:rsidRDefault="00422150" w:rsidP="00422150">
      <w:pPr>
        <w:pStyle w:val="ListParagraph"/>
        <w:spacing w:after="0" w:line="240" w:lineRule="auto"/>
        <w:ind w:left="142" w:right="-23"/>
        <w:jc w:val="right"/>
        <w:rPr>
          <w:rFonts w:ascii="Arial" w:hAnsi="Arial" w:cs="Arial"/>
          <w:bCs/>
          <w:sz w:val="20"/>
          <w:szCs w:val="20"/>
          <w:lang w:val="en-IN"/>
        </w:rPr>
      </w:pPr>
    </w:p>
    <w:p w14:paraId="42F7E440" w14:textId="3D0F97A1" w:rsidR="00F00807" w:rsidRPr="00273F0B" w:rsidRDefault="00A8417C" w:rsidP="00B07001">
      <w:pPr>
        <w:pStyle w:val="ListParagraph"/>
        <w:numPr>
          <w:ilvl w:val="0"/>
          <w:numId w:val="10"/>
        </w:numPr>
        <w:spacing w:line="360" w:lineRule="auto"/>
        <w:ind w:left="142" w:right="-23" w:hanging="426"/>
        <w:jc w:val="both"/>
      </w:pPr>
      <w:r w:rsidRPr="005430BF">
        <w:rPr>
          <w:rFonts w:ascii="Arial" w:hAnsi="Arial" w:cs="Arial"/>
          <w:b/>
          <w:bCs/>
          <w:sz w:val="22"/>
          <w:szCs w:val="22"/>
        </w:rPr>
        <w:t>CURRENT STATUS OF THE PROJEC</w:t>
      </w:r>
      <w:r w:rsidRPr="00273F0B">
        <w:rPr>
          <w:rFonts w:ascii="Arial" w:hAnsi="Arial" w:cs="Arial"/>
          <w:b/>
          <w:bCs/>
          <w:sz w:val="22"/>
          <w:szCs w:val="22"/>
        </w:rPr>
        <w:t>T:</w:t>
      </w:r>
      <w:r w:rsidRPr="005430BF">
        <w:rPr>
          <w:rFonts w:ascii="Arial" w:hAnsi="Arial" w:cs="Arial"/>
          <w:sz w:val="22"/>
          <w:szCs w:val="22"/>
        </w:rPr>
        <w:t xml:space="preserve">  </w:t>
      </w:r>
    </w:p>
    <w:p w14:paraId="498FA8BF" w14:textId="77777777" w:rsidR="00273F0B" w:rsidRPr="00273F0B" w:rsidRDefault="00273F0B" w:rsidP="00273F0B">
      <w:pPr>
        <w:pStyle w:val="ListParagraph"/>
        <w:spacing w:line="360" w:lineRule="auto"/>
        <w:ind w:left="142" w:right="-23"/>
        <w:jc w:val="both"/>
        <w:rPr>
          <w:rFonts w:ascii="Arial" w:hAnsi="Arial" w:cs="Arial"/>
          <w:sz w:val="22"/>
          <w:szCs w:val="22"/>
        </w:rPr>
      </w:pPr>
      <w:r w:rsidRPr="00273F0B">
        <w:rPr>
          <w:rFonts w:ascii="Arial" w:hAnsi="Arial" w:cs="Arial"/>
          <w:sz w:val="22"/>
          <w:szCs w:val="22"/>
        </w:rPr>
        <w:t xml:space="preserve">According to information provided by the client/company, GTL Infrastructure Limited has experienced a significant loss of tenancies over the past few years due to factors beyond management's control. These include the shutdown or exit of 14 telecom operators, such as </w:t>
      </w:r>
      <w:proofErr w:type="spellStart"/>
      <w:r w:rsidRPr="00273F0B">
        <w:rPr>
          <w:rFonts w:ascii="Arial" w:hAnsi="Arial" w:cs="Arial"/>
          <w:sz w:val="22"/>
          <w:szCs w:val="22"/>
        </w:rPr>
        <w:t>Aircel</w:t>
      </w:r>
      <w:proofErr w:type="spellEnd"/>
      <w:r w:rsidRPr="00273F0B">
        <w:rPr>
          <w:rFonts w:ascii="Arial" w:hAnsi="Arial" w:cs="Arial"/>
          <w:sz w:val="22"/>
          <w:szCs w:val="22"/>
        </w:rPr>
        <w:t xml:space="preserve"> Group, Reliance Communications, </w:t>
      </w:r>
      <w:proofErr w:type="spellStart"/>
      <w:r w:rsidRPr="00273F0B">
        <w:rPr>
          <w:rFonts w:ascii="Arial" w:hAnsi="Arial" w:cs="Arial"/>
          <w:sz w:val="22"/>
          <w:szCs w:val="22"/>
        </w:rPr>
        <w:t>Shyam</w:t>
      </w:r>
      <w:proofErr w:type="spellEnd"/>
      <w:r w:rsidRPr="00273F0B">
        <w:rPr>
          <w:rFonts w:ascii="Arial" w:hAnsi="Arial" w:cs="Arial"/>
          <w:sz w:val="22"/>
          <w:szCs w:val="22"/>
        </w:rPr>
        <w:t xml:space="preserve"> Sistema, and Tata Tele, as well as industry consolidations, including the Vodafone-Idea merger and Telenor-Airtel business combination.</w:t>
      </w:r>
    </w:p>
    <w:p w14:paraId="179C4874" w14:textId="77777777" w:rsidR="001D273A" w:rsidRDefault="001D273A" w:rsidP="00273F0B">
      <w:pPr>
        <w:pStyle w:val="ListParagraph"/>
        <w:spacing w:line="360" w:lineRule="auto"/>
        <w:ind w:left="142" w:right="-23"/>
        <w:jc w:val="both"/>
        <w:rPr>
          <w:rFonts w:ascii="Arial" w:eastAsiaTheme="minorHAnsi" w:hAnsi="Arial" w:cs="Arial"/>
          <w:sz w:val="22"/>
          <w:szCs w:val="22"/>
        </w:rPr>
      </w:pPr>
      <w:r w:rsidRPr="001D273A">
        <w:rPr>
          <w:rFonts w:ascii="Arial" w:eastAsiaTheme="minorHAnsi" w:hAnsi="Arial" w:cs="Arial"/>
          <w:sz w:val="22"/>
          <w:szCs w:val="22"/>
        </w:rPr>
        <w:t xml:space="preserve">These events have led to a decline in revenue and earnings, cash losses, erosion of the company’s net worth, and the need for impairment provisions on property, plant, and equipment. As a result, rental payments to landlords, taxes, and other dues for unoccupied sites have remained unpaid. </w:t>
      </w:r>
      <w:r w:rsidRPr="001D273A">
        <w:rPr>
          <w:rFonts w:ascii="Arial" w:eastAsiaTheme="minorHAnsi" w:hAnsi="Arial" w:cs="Arial"/>
          <w:b/>
          <w:bCs/>
          <w:sz w:val="22"/>
          <w:szCs w:val="22"/>
        </w:rPr>
        <w:t>GTL Infrastructure Limited</w:t>
      </w:r>
      <w:r w:rsidRPr="001D273A">
        <w:rPr>
          <w:rFonts w:ascii="Arial" w:eastAsiaTheme="minorHAnsi" w:hAnsi="Arial" w:cs="Arial"/>
          <w:sz w:val="22"/>
          <w:szCs w:val="22"/>
        </w:rPr>
        <w:t xml:space="preserve"> had approached </w:t>
      </w:r>
      <w:r w:rsidRPr="001D273A">
        <w:rPr>
          <w:rFonts w:ascii="Arial" w:eastAsiaTheme="minorHAnsi" w:hAnsi="Arial" w:cs="Arial"/>
          <w:b/>
          <w:bCs/>
          <w:sz w:val="22"/>
          <w:szCs w:val="22"/>
        </w:rPr>
        <w:t>Edelweiss Asset Reconstruction Company Limited (EARC),</w:t>
      </w:r>
      <w:r w:rsidRPr="001D273A">
        <w:rPr>
          <w:rFonts w:ascii="Arial" w:eastAsiaTheme="minorHAnsi" w:hAnsi="Arial" w:cs="Arial"/>
          <w:sz w:val="22"/>
          <w:szCs w:val="22"/>
        </w:rPr>
        <w:t xml:space="preserve"> the Monitoring Institution, </w:t>
      </w:r>
      <w:proofErr w:type="gramStart"/>
      <w:r w:rsidRPr="001D273A">
        <w:rPr>
          <w:rFonts w:ascii="Arial" w:eastAsiaTheme="minorHAnsi" w:hAnsi="Arial" w:cs="Arial"/>
          <w:sz w:val="22"/>
          <w:szCs w:val="22"/>
        </w:rPr>
        <w:t>seeking</w:t>
      </w:r>
      <w:proofErr w:type="gramEnd"/>
      <w:r w:rsidRPr="001D273A">
        <w:rPr>
          <w:rFonts w:ascii="Arial" w:eastAsiaTheme="minorHAnsi" w:hAnsi="Arial" w:cs="Arial"/>
          <w:sz w:val="22"/>
          <w:szCs w:val="22"/>
        </w:rPr>
        <w:t xml:space="preserve"> approval for rent payments to landlords of unoccupied sites; however, the approval is still pending. Due to non-payment of rents, some landlords have restricted access to sites, leading to unauthorized dismantling of </w:t>
      </w:r>
      <w:r w:rsidRPr="001D273A">
        <w:rPr>
          <w:rFonts w:ascii="Arial" w:eastAsiaTheme="minorHAnsi" w:hAnsi="Arial" w:cs="Arial"/>
          <w:b/>
          <w:bCs/>
          <w:sz w:val="22"/>
          <w:szCs w:val="22"/>
        </w:rPr>
        <w:t>903 sites</w:t>
      </w:r>
      <w:r w:rsidRPr="001D273A">
        <w:rPr>
          <w:rFonts w:ascii="Arial" w:eastAsiaTheme="minorHAnsi" w:hAnsi="Arial" w:cs="Arial"/>
          <w:sz w:val="22"/>
          <w:szCs w:val="22"/>
        </w:rPr>
        <w:t xml:space="preserve"> in the financial year ended </w:t>
      </w:r>
      <w:r w:rsidRPr="001D273A">
        <w:rPr>
          <w:rFonts w:ascii="Arial" w:eastAsiaTheme="minorHAnsi" w:hAnsi="Arial" w:cs="Arial"/>
          <w:b/>
          <w:bCs/>
          <w:sz w:val="22"/>
          <w:szCs w:val="22"/>
        </w:rPr>
        <w:t>March 31, 2024</w:t>
      </w:r>
      <w:r w:rsidRPr="001D273A">
        <w:rPr>
          <w:rFonts w:ascii="Arial" w:eastAsiaTheme="minorHAnsi" w:hAnsi="Arial" w:cs="Arial"/>
          <w:sz w:val="22"/>
          <w:szCs w:val="22"/>
        </w:rPr>
        <w:t xml:space="preserve"> (compared to </w:t>
      </w:r>
      <w:r w:rsidRPr="001D273A">
        <w:rPr>
          <w:rFonts w:ascii="Arial" w:eastAsiaTheme="minorHAnsi" w:hAnsi="Arial" w:cs="Arial"/>
          <w:b/>
          <w:bCs/>
          <w:sz w:val="22"/>
          <w:szCs w:val="22"/>
        </w:rPr>
        <w:t>2,932 sites</w:t>
      </w:r>
      <w:r w:rsidRPr="001D273A">
        <w:rPr>
          <w:rFonts w:ascii="Arial" w:eastAsiaTheme="minorHAnsi" w:hAnsi="Arial" w:cs="Arial"/>
          <w:sz w:val="22"/>
          <w:szCs w:val="22"/>
        </w:rPr>
        <w:t xml:space="preserve"> in the previous year). Additionally, </w:t>
      </w:r>
      <w:r w:rsidRPr="001D273A">
        <w:rPr>
          <w:rFonts w:ascii="Arial" w:eastAsiaTheme="minorHAnsi" w:hAnsi="Arial" w:cs="Arial"/>
          <w:b/>
          <w:bCs/>
          <w:sz w:val="22"/>
          <w:szCs w:val="22"/>
        </w:rPr>
        <w:t>82 sites</w:t>
      </w:r>
      <w:r w:rsidRPr="001D273A">
        <w:rPr>
          <w:rFonts w:ascii="Arial" w:eastAsiaTheme="minorHAnsi" w:hAnsi="Arial" w:cs="Arial"/>
          <w:sz w:val="22"/>
          <w:szCs w:val="22"/>
        </w:rPr>
        <w:t xml:space="preserve"> were reported as stolen or dismantled as of </w:t>
      </w:r>
      <w:r w:rsidRPr="001D273A">
        <w:rPr>
          <w:rFonts w:ascii="Arial" w:eastAsiaTheme="minorHAnsi" w:hAnsi="Arial" w:cs="Arial"/>
          <w:b/>
          <w:bCs/>
          <w:sz w:val="22"/>
          <w:szCs w:val="22"/>
        </w:rPr>
        <w:t>June 2024</w:t>
      </w:r>
      <w:r w:rsidRPr="001D273A">
        <w:rPr>
          <w:rFonts w:ascii="Arial" w:eastAsiaTheme="minorHAnsi" w:hAnsi="Arial" w:cs="Arial"/>
          <w:sz w:val="22"/>
          <w:szCs w:val="22"/>
        </w:rPr>
        <w:t>.</w:t>
      </w:r>
    </w:p>
    <w:p w14:paraId="39221CD2" w14:textId="77777777" w:rsidR="001D273A" w:rsidRPr="001D273A" w:rsidRDefault="001D273A" w:rsidP="001D273A">
      <w:pPr>
        <w:pStyle w:val="ListParagraph"/>
        <w:spacing w:line="360" w:lineRule="auto"/>
        <w:ind w:left="142" w:right="-23"/>
        <w:jc w:val="both"/>
        <w:rPr>
          <w:rFonts w:ascii="Arial" w:eastAsiaTheme="minorHAnsi" w:hAnsi="Arial" w:cs="Arial"/>
          <w:sz w:val="22"/>
          <w:szCs w:val="22"/>
          <w:lang w:val="en-IN"/>
        </w:rPr>
      </w:pPr>
      <w:r w:rsidRPr="001D273A">
        <w:rPr>
          <w:rFonts w:ascii="Arial" w:eastAsiaTheme="minorHAnsi" w:hAnsi="Arial" w:cs="Arial"/>
          <w:sz w:val="22"/>
          <w:szCs w:val="22"/>
          <w:lang w:val="en-IN"/>
        </w:rPr>
        <w:t>The company has been actively implementing various measures to safeguard its assets, including:</w:t>
      </w:r>
    </w:p>
    <w:p w14:paraId="6CB86DDE" w14:textId="77777777" w:rsidR="001D273A" w:rsidRPr="001D273A" w:rsidRDefault="001D273A" w:rsidP="00B07001">
      <w:pPr>
        <w:pStyle w:val="ListParagraph"/>
        <w:numPr>
          <w:ilvl w:val="0"/>
          <w:numId w:val="29"/>
        </w:numPr>
        <w:spacing w:line="360" w:lineRule="auto"/>
        <w:ind w:right="-23"/>
        <w:jc w:val="both"/>
        <w:rPr>
          <w:rFonts w:ascii="Arial" w:eastAsiaTheme="minorHAnsi" w:hAnsi="Arial" w:cs="Arial"/>
          <w:sz w:val="22"/>
          <w:szCs w:val="22"/>
          <w:lang w:val="en-IN"/>
        </w:rPr>
      </w:pPr>
      <w:r w:rsidRPr="001D273A">
        <w:rPr>
          <w:rFonts w:ascii="Arial" w:eastAsiaTheme="minorHAnsi" w:hAnsi="Arial" w:cs="Arial"/>
          <w:sz w:val="22"/>
          <w:szCs w:val="22"/>
          <w:lang w:val="en-IN"/>
        </w:rPr>
        <w:t>Conducting additional site surveys to assess and monitor conditions.</w:t>
      </w:r>
    </w:p>
    <w:p w14:paraId="7A5BC5B8" w14:textId="77777777" w:rsidR="001D273A" w:rsidRPr="001D273A" w:rsidRDefault="001D273A" w:rsidP="00B07001">
      <w:pPr>
        <w:pStyle w:val="ListParagraph"/>
        <w:numPr>
          <w:ilvl w:val="0"/>
          <w:numId w:val="29"/>
        </w:numPr>
        <w:spacing w:line="360" w:lineRule="auto"/>
        <w:ind w:right="-23"/>
        <w:jc w:val="both"/>
        <w:rPr>
          <w:rFonts w:ascii="Arial" w:eastAsiaTheme="minorHAnsi" w:hAnsi="Arial" w:cs="Arial"/>
          <w:sz w:val="22"/>
          <w:szCs w:val="22"/>
          <w:lang w:val="en-IN"/>
        </w:rPr>
      </w:pPr>
      <w:r w:rsidRPr="001D273A">
        <w:rPr>
          <w:rFonts w:ascii="Arial" w:eastAsiaTheme="minorHAnsi" w:hAnsi="Arial" w:cs="Arial"/>
          <w:sz w:val="22"/>
          <w:szCs w:val="22"/>
          <w:lang w:val="en-IN"/>
        </w:rPr>
        <w:t>Engaging in discussions with landowners to dissuade them from taking adverse actions.</w:t>
      </w:r>
    </w:p>
    <w:p w14:paraId="2DBD2F96" w14:textId="77777777" w:rsidR="001D273A" w:rsidRPr="001D273A" w:rsidRDefault="001D273A" w:rsidP="00B07001">
      <w:pPr>
        <w:pStyle w:val="ListParagraph"/>
        <w:numPr>
          <w:ilvl w:val="0"/>
          <w:numId w:val="29"/>
        </w:numPr>
        <w:spacing w:line="360" w:lineRule="auto"/>
        <w:ind w:right="-23"/>
        <w:jc w:val="both"/>
        <w:rPr>
          <w:rFonts w:ascii="Arial" w:eastAsiaTheme="minorHAnsi" w:hAnsi="Arial" w:cs="Arial"/>
          <w:sz w:val="22"/>
          <w:szCs w:val="22"/>
          <w:lang w:val="en-IN"/>
        </w:rPr>
      </w:pPr>
      <w:r w:rsidRPr="001D273A">
        <w:rPr>
          <w:rFonts w:ascii="Arial" w:eastAsiaTheme="minorHAnsi" w:hAnsi="Arial" w:cs="Arial"/>
          <w:sz w:val="22"/>
          <w:szCs w:val="22"/>
          <w:lang w:val="en-IN"/>
        </w:rPr>
        <w:t>Negotiating with telecom operators to secure new tenants for unoccupied towers.</w:t>
      </w:r>
    </w:p>
    <w:p w14:paraId="4DD75E30" w14:textId="77777777" w:rsidR="001D273A" w:rsidRPr="001D273A" w:rsidRDefault="001D273A" w:rsidP="00B07001">
      <w:pPr>
        <w:pStyle w:val="ListParagraph"/>
        <w:numPr>
          <w:ilvl w:val="0"/>
          <w:numId w:val="29"/>
        </w:numPr>
        <w:spacing w:line="360" w:lineRule="auto"/>
        <w:ind w:right="-23"/>
        <w:jc w:val="both"/>
        <w:rPr>
          <w:rFonts w:ascii="Arial" w:eastAsiaTheme="minorHAnsi" w:hAnsi="Arial" w:cs="Arial"/>
          <w:sz w:val="22"/>
          <w:szCs w:val="22"/>
          <w:lang w:val="en-IN"/>
        </w:rPr>
      </w:pPr>
      <w:r w:rsidRPr="001D273A">
        <w:rPr>
          <w:rFonts w:ascii="Arial" w:eastAsiaTheme="minorHAnsi" w:hAnsi="Arial" w:cs="Arial"/>
          <w:sz w:val="22"/>
          <w:szCs w:val="22"/>
          <w:lang w:val="en-IN"/>
        </w:rPr>
        <w:t>Requesting lenders to approve rent payments and submitting proposals for unviable sites.</w:t>
      </w:r>
    </w:p>
    <w:p w14:paraId="5A454954" w14:textId="77777777" w:rsidR="001D273A" w:rsidRPr="001D273A" w:rsidRDefault="001D273A" w:rsidP="00B07001">
      <w:pPr>
        <w:pStyle w:val="ListParagraph"/>
        <w:numPr>
          <w:ilvl w:val="0"/>
          <w:numId w:val="29"/>
        </w:numPr>
        <w:spacing w:line="360" w:lineRule="auto"/>
        <w:ind w:right="-23"/>
        <w:jc w:val="both"/>
        <w:rPr>
          <w:rFonts w:ascii="Arial" w:eastAsiaTheme="minorHAnsi" w:hAnsi="Arial" w:cs="Arial"/>
          <w:sz w:val="22"/>
          <w:szCs w:val="22"/>
          <w:lang w:val="en-IN"/>
        </w:rPr>
      </w:pPr>
      <w:r w:rsidRPr="001D273A">
        <w:rPr>
          <w:rFonts w:ascii="Arial" w:eastAsiaTheme="minorHAnsi" w:hAnsi="Arial" w:cs="Arial"/>
          <w:sz w:val="22"/>
          <w:szCs w:val="22"/>
          <w:lang w:val="en-IN"/>
        </w:rPr>
        <w:t>Initiating legal proceedings and filing FIRs against landowners or individuals involved in unauthorized dismantling or theft of tower infrastructure.</w:t>
      </w:r>
    </w:p>
    <w:p w14:paraId="2F1AF8F4" w14:textId="77777777" w:rsidR="001D273A" w:rsidRPr="001D273A" w:rsidRDefault="001D273A" w:rsidP="001D273A">
      <w:pPr>
        <w:pStyle w:val="ListParagraph"/>
        <w:spacing w:line="360" w:lineRule="auto"/>
        <w:ind w:left="142" w:right="-23"/>
        <w:jc w:val="both"/>
        <w:rPr>
          <w:rFonts w:ascii="Arial" w:eastAsiaTheme="minorHAnsi" w:hAnsi="Arial" w:cs="Arial"/>
          <w:sz w:val="22"/>
          <w:szCs w:val="22"/>
          <w:lang w:val="en-IN"/>
        </w:rPr>
      </w:pPr>
      <w:r w:rsidRPr="001D273A">
        <w:rPr>
          <w:rFonts w:ascii="Arial" w:eastAsiaTheme="minorHAnsi" w:hAnsi="Arial" w:cs="Arial"/>
          <w:sz w:val="22"/>
          <w:szCs w:val="22"/>
          <w:lang w:val="en-IN"/>
        </w:rPr>
        <w:t>Additionally, the company has established a 24/7 surveillance system through a dedicated Tower Vigilance Team (TVT) to mitigate theft and unauthorized dismantling of tower assets. Currently, TVT has been deployed at over 50% of unoccupied sites, resulting in a noticeable reduction in such incidents. The company also attempted to salvage unoccupied tower sites by submitting resolution plans to lenders, which included provisions for rent payments to landowners, as well as settlements for vendors and employees. However, none of these proposals were approved or acknowledged by the lenders.</w:t>
      </w:r>
    </w:p>
    <w:p w14:paraId="41C51790" w14:textId="63ABE856" w:rsidR="00A8417C" w:rsidRPr="005430BF" w:rsidRDefault="00A743B1" w:rsidP="00A743B1">
      <w:pPr>
        <w:pStyle w:val="ListParagraph"/>
        <w:spacing w:line="360" w:lineRule="auto"/>
        <w:ind w:left="142" w:right="-23"/>
        <w:jc w:val="both"/>
      </w:pPr>
      <w:r w:rsidRPr="005430BF">
        <w:rPr>
          <w:rFonts w:ascii="Arial" w:eastAsiaTheme="minorHAnsi" w:hAnsi="Arial" w:cs="Arial"/>
          <w:sz w:val="22"/>
          <w:szCs w:val="22"/>
          <w:lang w:val="en-IN"/>
        </w:rPr>
        <w:t xml:space="preserve">As per the details shared with us by the company/client, </w:t>
      </w:r>
      <w:r w:rsidR="005430BF" w:rsidRPr="005430BF">
        <w:rPr>
          <w:rFonts w:ascii="Arial" w:eastAsiaTheme="minorHAnsi" w:hAnsi="Arial" w:cs="Arial"/>
          <w:sz w:val="22"/>
          <w:szCs w:val="22"/>
          <w:lang w:val="en-IN"/>
        </w:rPr>
        <w:t xml:space="preserve">the financial condition of the M/s </w:t>
      </w:r>
      <w:r w:rsidR="00273F0B">
        <w:rPr>
          <w:rFonts w:ascii="Arial" w:eastAsiaTheme="minorHAnsi" w:hAnsi="Arial" w:cs="Arial"/>
          <w:sz w:val="22"/>
          <w:szCs w:val="22"/>
          <w:lang w:val="en-IN"/>
        </w:rPr>
        <w:t>GTL Infrastructure</w:t>
      </w:r>
      <w:r w:rsidR="005430BF" w:rsidRPr="005430BF">
        <w:rPr>
          <w:rFonts w:ascii="Arial" w:eastAsiaTheme="minorHAnsi" w:hAnsi="Arial" w:cs="Arial"/>
          <w:sz w:val="22"/>
          <w:szCs w:val="22"/>
          <w:lang w:val="en-IN"/>
        </w:rPr>
        <w:t xml:space="preserve"> Limited is under stress as the account </w:t>
      </w:r>
      <w:r w:rsidR="00273F0B">
        <w:rPr>
          <w:rFonts w:ascii="Arial" w:eastAsiaTheme="minorHAnsi" w:hAnsi="Arial" w:cs="Arial"/>
          <w:sz w:val="22"/>
          <w:szCs w:val="22"/>
          <w:lang w:val="en-IN"/>
        </w:rPr>
        <w:t>has</w:t>
      </w:r>
      <w:r w:rsidR="005430BF" w:rsidRPr="005430BF">
        <w:rPr>
          <w:rFonts w:ascii="Arial" w:eastAsiaTheme="minorHAnsi" w:hAnsi="Arial" w:cs="Arial"/>
          <w:sz w:val="22"/>
          <w:szCs w:val="22"/>
          <w:lang w:val="en-IN"/>
        </w:rPr>
        <w:t xml:space="preserve"> </w:t>
      </w:r>
      <w:r w:rsidR="00273F0B" w:rsidRPr="005430BF">
        <w:rPr>
          <w:rFonts w:ascii="Arial" w:eastAsiaTheme="minorHAnsi" w:hAnsi="Arial" w:cs="Arial"/>
          <w:sz w:val="22"/>
          <w:szCs w:val="22"/>
          <w:lang w:val="en-IN"/>
        </w:rPr>
        <w:t>been</w:t>
      </w:r>
      <w:r w:rsidR="005430BF" w:rsidRPr="005430BF">
        <w:rPr>
          <w:rFonts w:ascii="Arial" w:eastAsiaTheme="minorHAnsi" w:hAnsi="Arial" w:cs="Arial"/>
          <w:sz w:val="22"/>
          <w:szCs w:val="22"/>
          <w:lang w:val="en-IN"/>
        </w:rPr>
        <w:t xml:space="preserve"> classified as Non-Performing Asset (NPA). </w:t>
      </w:r>
    </w:p>
    <w:p w14:paraId="11C6EEDD" w14:textId="7BC17F22" w:rsidR="00A8417C" w:rsidRDefault="00A8417C" w:rsidP="00757C92">
      <w:pPr>
        <w:autoSpaceDE w:val="0"/>
        <w:autoSpaceDN w:val="0"/>
        <w:adjustRightInd w:val="0"/>
        <w:spacing w:after="0" w:line="360" w:lineRule="auto"/>
        <w:ind w:left="142" w:right="-23"/>
        <w:jc w:val="both"/>
      </w:pPr>
      <w:r w:rsidRPr="005430BF">
        <w:rPr>
          <w:rFonts w:ascii="Arial" w:hAnsi="Arial" w:cs="Arial"/>
          <w:b/>
          <w:w w:val="105"/>
          <w:sz w:val="22"/>
          <w:szCs w:val="22"/>
        </w:rPr>
        <w:t>Hence,</w:t>
      </w:r>
      <w:r w:rsidR="00610BB4" w:rsidRPr="005430BF">
        <w:rPr>
          <w:rFonts w:ascii="Arial" w:hAnsi="Arial" w:cs="Arial"/>
          <w:b/>
          <w:w w:val="105"/>
          <w:sz w:val="22"/>
          <w:szCs w:val="22"/>
        </w:rPr>
        <w:t xml:space="preserve"> </w:t>
      </w:r>
      <w:r w:rsidR="00757C92" w:rsidRPr="00757C92">
        <w:rPr>
          <w:rFonts w:ascii="Arial" w:hAnsi="Arial" w:cs="Arial"/>
          <w:b/>
          <w:w w:val="105"/>
          <w:sz w:val="22"/>
          <w:szCs w:val="22"/>
          <w:lang w:val="en-IN"/>
        </w:rPr>
        <w:t>Edelweiss Asset Reconstruction Company Limited</w:t>
      </w:r>
      <w:r w:rsidR="00757C92" w:rsidRPr="00757C92">
        <w:rPr>
          <w:rFonts w:ascii="Arial" w:hAnsi="Arial" w:cs="Arial"/>
          <w:b/>
          <w:w w:val="105"/>
          <w:sz w:val="22"/>
          <w:szCs w:val="22"/>
        </w:rPr>
        <w:t xml:space="preserve"> </w:t>
      </w:r>
      <w:r w:rsidR="00610BB4" w:rsidRPr="005430BF">
        <w:rPr>
          <w:rFonts w:ascii="Arial" w:hAnsi="Arial" w:cs="Arial"/>
          <w:b/>
          <w:w w:val="105"/>
          <w:sz w:val="22"/>
          <w:szCs w:val="22"/>
        </w:rPr>
        <w:t>(</w:t>
      </w:r>
      <w:r w:rsidR="00757C92">
        <w:rPr>
          <w:rFonts w:ascii="Arial" w:hAnsi="Arial" w:cs="Arial"/>
          <w:b/>
          <w:w w:val="105"/>
          <w:sz w:val="22"/>
          <w:szCs w:val="22"/>
        </w:rPr>
        <w:t>EARCL</w:t>
      </w:r>
      <w:r w:rsidR="00610BB4" w:rsidRPr="005430BF">
        <w:rPr>
          <w:rFonts w:ascii="Arial" w:hAnsi="Arial" w:cs="Arial"/>
          <w:b/>
          <w:w w:val="105"/>
          <w:sz w:val="22"/>
          <w:szCs w:val="22"/>
        </w:rPr>
        <w:t>)</w:t>
      </w:r>
      <w:r w:rsidRPr="005430BF">
        <w:rPr>
          <w:rFonts w:ascii="Arial" w:hAnsi="Arial" w:cs="Arial"/>
          <w:b/>
          <w:w w:val="105"/>
          <w:sz w:val="22"/>
          <w:szCs w:val="22"/>
        </w:rPr>
        <w:t xml:space="preserve"> has appointed R.K. Associates to determine the Fair Market Value/Enterprise Value of the Business/Company to take appropriate course of action on this </w:t>
      </w:r>
      <w:r w:rsidRPr="005430BF">
        <w:rPr>
          <w:rFonts w:ascii="Arial" w:eastAsia="Arial" w:hAnsi="Arial" w:cs="Arial"/>
          <w:b/>
          <w:bCs/>
          <w:sz w:val="22"/>
          <w:szCs w:val="22"/>
        </w:rPr>
        <w:t>account.</w:t>
      </w:r>
      <w:r>
        <w:rPr>
          <w:rFonts w:ascii="Arial" w:eastAsia="Arial" w:hAnsi="Arial" w:cs="Arial"/>
          <w:b/>
          <w:i/>
          <w:sz w:val="18"/>
          <w:szCs w:val="18"/>
        </w:rPr>
        <w:t xml:space="preserve">                     </w:t>
      </w:r>
    </w:p>
    <w:p w14:paraId="737D0C23" w14:textId="4D98B065" w:rsidR="00A8417C" w:rsidRDefault="00A8417C"/>
    <w:p w14:paraId="160C8679" w14:textId="77777777" w:rsidR="00294466" w:rsidRDefault="00294466">
      <w:r>
        <w:br w:type="page"/>
      </w:r>
    </w:p>
    <w:tbl>
      <w:tblPr>
        <w:tblW w:w="516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8249"/>
      </w:tblGrid>
      <w:tr w:rsidR="004E1D2D" w:rsidRPr="00C14BB7" w14:paraId="44AB687D" w14:textId="77777777" w:rsidTr="00EC0B59">
        <w:trPr>
          <w:trHeight w:val="558"/>
        </w:trPr>
        <w:tc>
          <w:tcPr>
            <w:tcW w:w="783" w:type="pct"/>
            <w:shd w:val="clear" w:color="auto" w:fill="002060"/>
            <w:vAlign w:val="center"/>
          </w:tcPr>
          <w:p w14:paraId="2156E991" w14:textId="75B4040E" w:rsidR="004E1D2D" w:rsidRPr="00D612A9" w:rsidRDefault="004E1D2D" w:rsidP="00851108">
            <w:pPr>
              <w:spacing w:after="0" w:line="240" w:lineRule="auto"/>
              <w:ind w:left="-112" w:firstLine="112"/>
              <w:jc w:val="center"/>
              <w:rPr>
                <w:rFonts w:ascii="Arial" w:eastAsia="Arial" w:hAnsi="Arial" w:cs="Arial"/>
                <w:b/>
                <w:sz w:val="22"/>
                <w:szCs w:val="22"/>
              </w:rPr>
            </w:pPr>
            <w:r w:rsidRPr="00D612A9">
              <w:rPr>
                <w:rFonts w:ascii="Arial" w:eastAsia="Arial" w:hAnsi="Arial" w:cs="Arial"/>
                <w:b/>
                <w:sz w:val="22"/>
                <w:szCs w:val="22"/>
              </w:rPr>
              <w:t>PART C</w:t>
            </w:r>
          </w:p>
        </w:tc>
        <w:tc>
          <w:tcPr>
            <w:tcW w:w="4217" w:type="pct"/>
            <w:shd w:val="clear" w:color="auto" w:fill="DEEAF6" w:themeFill="accent1" w:themeFillTint="33"/>
            <w:vAlign w:val="center"/>
          </w:tcPr>
          <w:p w14:paraId="1E4B2A88" w14:textId="77777777" w:rsidR="004E1D2D" w:rsidRPr="00D612A9" w:rsidRDefault="004E1D2D" w:rsidP="00851108">
            <w:pPr>
              <w:spacing w:after="0" w:line="240" w:lineRule="auto"/>
              <w:ind w:left="-112" w:firstLine="112"/>
              <w:jc w:val="center"/>
              <w:rPr>
                <w:rFonts w:ascii="Arial" w:eastAsia="Arial" w:hAnsi="Arial" w:cs="Arial"/>
                <w:b/>
                <w:sz w:val="22"/>
                <w:szCs w:val="22"/>
              </w:rPr>
            </w:pPr>
            <w:r w:rsidRPr="00D612A9">
              <w:rPr>
                <w:rFonts w:ascii="Arial" w:eastAsia="Arial" w:hAnsi="Arial" w:cs="Arial"/>
                <w:b/>
                <w:sz w:val="22"/>
                <w:szCs w:val="22"/>
              </w:rPr>
              <w:t xml:space="preserve">THE PROJECT </w:t>
            </w:r>
          </w:p>
        </w:tc>
      </w:tr>
    </w:tbl>
    <w:p w14:paraId="0628A832" w14:textId="77777777" w:rsidR="00A74187" w:rsidRPr="00A74187" w:rsidRDefault="00A74187" w:rsidP="00A74187">
      <w:pPr>
        <w:pStyle w:val="ListParagraph"/>
        <w:spacing w:after="0" w:line="360" w:lineRule="auto"/>
        <w:ind w:left="142" w:right="-23"/>
        <w:jc w:val="both"/>
        <w:rPr>
          <w:rFonts w:ascii="Arial" w:hAnsi="Arial" w:cs="Arial"/>
          <w:sz w:val="22"/>
          <w:szCs w:val="22"/>
          <w:lang w:val="en-IN"/>
        </w:rPr>
      </w:pPr>
    </w:p>
    <w:p w14:paraId="55DEA8F9" w14:textId="77777777" w:rsidR="004B1CA8" w:rsidRPr="004B1CA8" w:rsidRDefault="00E11206" w:rsidP="00B07001">
      <w:pPr>
        <w:pStyle w:val="ListParagraph"/>
        <w:numPr>
          <w:ilvl w:val="0"/>
          <w:numId w:val="11"/>
        </w:numPr>
        <w:spacing w:line="360" w:lineRule="auto"/>
        <w:ind w:left="142" w:right="-23" w:hanging="426"/>
        <w:jc w:val="both"/>
        <w:rPr>
          <w:rFonts w:ascii="Arial" w:hAnsi="Arial" w:cs="Arial"/>
          <w:sz w:val="22"/>
          <w:szCs w:val="22"/>
          <w:lang w:val="en-IN"/>
        </w:rPr>
      </w:pPr>
      <w:r w:rsidRPr="00A74187">
        <w:rPr>
          <w:rFonts w:ascii="Arial" w:hAnsi="Arial" w:cs="Arial"/>
          <w:b/>
          <w:sz w:val="22"/>
          <w:szCs w:val="22"/>
        </w:rPr>
        <w:t>BRIEF DESCRIPTION OF THE PROJECT</w:t>
      </w:r>
      <w:bookmarkStart w:id="2" w:name="_Toc297056411"/>
      <w:bookmarkStart w:id="3" w:name="_Toc346288434"/>
      <w:bookmarkStart w:id="4" w:name="_Toc296969160"/>
      <w:bookmarkStart w:id="5" w:name="_Toc297056364"/>
      <w:bookmarkStart w:id="6" w:name="_Toc297056459"/>
      <w:bookmarkStart w:id="7" w:name="_Toc294773528"/>
      <w:bookmarkStart w:id="8" w:name="_Toc297056363"/>
      <w:bookmarkStart w:id="9" w:name="_Toc297056410"/>
      <w:bookmarkStart w:id="10" w:name="_Toc292384774"/>
      <w:bookmarkStart w:id="11" w:name="_Toc297056362"/>
      <w:bookmarkStart w:id="12" w:name="_Toc296969158"/>
      <w:bookmarkStart w:id="13" w:name="_Toc294773527"/>
      <w:bookmarkStart w:id="14" w:name="_Toc296969159"/>
      <w:bookmarkStart w:id="15" w:name="_Toc292384775"/>
      <w:bookmarkStart w:id="16" w:name="_Toc297056316"/>
      <w:bookmarkStart w:id="17" w:name="_Toc346288435"/>
      <w:bookmarkStart w:id="18" w:name="_Toc297056314"/>
      <w:bookmarkStart w:id="19" w:name="_Toc297056458"/>
      <w:bookmarkStart w:id="20" w:name="_Toc297056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A74187" w:rsidRPr="00A74187">
        <w:rPr>
          <w:rFonts w:ascii="Arial" w:hAnsi="Arial" w:cs="Arial"/>
          <w:b/>
          <w:sz w:val="22"/>
          <w:szCs w:val="22"/>
        </w:rPr>
        <w:t xml:space="preserve"> COMPANY</w:t>
      </w:r>
      <w:r w:rsidR="009C4C28" w:rsidRPr="00A74187">
        <w:rPr>
          <w:rFonts w:ascii="Arial" w:hAnsi="Arial" w:cs="Arial"/>
          <w:b/>
          <w:sz w:val="22"/>
          <w:szCs w:val="22"/>
        </w:rPr>
        <w:t xml:space="preserve">: </w:t>
      </w:r>
    </w:p>
    <w:p w14:paraId="713F1FCA" w14:textId="77777777" w:rsidR="00A5218D" w:rsidRPr="00A5218D" w:rsidRDefault="00A5218D" w:rsidP="00A5218D">
      <w:pPr>
        <w:pStyle w:val="ListParagraph"/>
        <w:spacing w:before="240" w:line="360" w:lineRule="auto"/>
        <w:ind w:left="142" w:right="-23"/>
        <w:jc w:val="both"/>
        <w:rPr>
          <w:rFonts w:ascii="Arial" w:hAnsi="Arial" w:cs="Arial"/>
          <w:sz w:val="22"/>
          <w:szCs w:val="22"/>
          <w:lang w:val="en-IN"/>
        </w:rPr>
      </w:pPr>
      <w:r w:rsidRPr="00A5218D">
        <w:rPr>
          <w:rFonts w:ascii="Arial" w:hAnsi="Arial" w:cs="Arial"/>
          <w:sz w:val="22"/>
          <w:szCs w:val="22"/>
          <w:lang w:val="en-IN"/>
        </w:rPr>
        <w:t>GTL Infrastructure Ltd. provides telecom towers that are shared by multiple telecom operators across India. The company's network consists of approximately 26,000 towers, covering all 22 telecom circles and supporting various technologies, including 2G, 3G, 4G, and emerging 5G networks.</w:t>
      </w:r>
    </w:p>
    <w:p w14:paraId="0B1B9936" w14:textId="77777777" w:rsidR="00A5218D" w:rsidRPr="00A5218D" w:rsidRDefault="00A5218D" w:rsidP="00A5218D">
      <w:pPr>
        <w:pStyle w:val="ListParagraph"/>
        <w:spacing w:before="240" w:line="360" w:lineRule="auto"/>
        <w:ind w:left="142" w:right="-23"/>
        <w:jc w:val="both"/>
        <w:rPr>
          <w:rFonts w:ascii="Arial" w:hAnsi="Arial" w:cs="Arial"/>
          <w:sz w:val="22"/>
          <w:szCs w:val="22"/>
          <w:lang w:val="en-IN"/>
        </w:rPr>
      </w:pPr>
      <w:r w:rsidRPr="00A5218D">
        <w:rPr>
          <w:rFonts w:ascii="Arial" w:hAnsi="Arial" w:cs="Arial"/>
          <w:sz w:val="22"/>
          <w:szCs w:val="22"/>
          <w:lang w:val="en-IN"/>
        </w:rPr>
        <w:t>By utilizing shared infrastructure, telecom operators can deploy, operate, and manage their networks while optimizing both capital (CAPEX) and operational (OPEX) expenditures. With experience in the sector, GTL Infra is familiar with the operational requirements and market conditions affecting telecom service providers.</w:t>
      </w:r>
    </w:p>
    <w:p w14:paraId="15D67D29" w14:textId="77777777" w:rsidR="00A5218D" w:rsidRDefault="00A5218D" w:rsidP="00A5218D">
      <w:pPr>
        <w:pStyle w:val="ListParagraph"/>
        <w:spacing w:before="240" w:line="360" w:lineRule="auto"/>
        <w:ind w:left="142" w:right="-23"/>
        <w:jc w:val="both"/>
        <w:rPr>
          <w:rFonts w:ascii="Arial" w:hAnsi="Arial" w:cs="Arial"/>
          <w:sz w:val="22"/>
          <w:szCs w:val="22"/>
        </w:rPr>
      </w:pPr>
      <w:r w:rsidRPr="00A5218D">
        <w:rPr>
          <w:rFonts w:ascii="Arial" w:hAnsi="Arial" w:cs="Arial"/>
          <w:sz w:val="22"/>
          <w:szCs w:val="22"/>
          <w:lang w:val="en-IN"/>
        </w:rPr>
        <w:t>The company’s infrastructure is designed to support high network availability and is maintained in accordance with defined Service Level Agreements (SLAs).</w:t>
      </w:r>
      <w:r>
        <w:rPr>
          <w:rFonts w:ascii="Arial" w:hAnsi="Arial" w:cs="Arial"/>
          <w:sz w:val="22"/>
          <w:szCs w:val="22"/>
          <w:lang w:val="en-IN"/>
        </w:rPr>
        <w:t xml:space="preserve"> </w:t>
      </w:r>
      <w:r w:rsidR="00A628F1">
        <w:rPr>
          <w:rFonts w:ascii="Arial" w:hAnsi="Arial" w:cs="Arial"/>
          <w:sz w:val="22"/>
          <w:szCs w:val="22"/>
        </w:rPr>
        <w:t xml:space="preserve">Below is the </w:t>
      </w:r>
      <w:r>
        <w:rPr>
          <w:rFonts w:ascii="Arial" w:hAnsi="Arial" w:cs="Arial"/>
          <w:sz w:val="22"/>
          <w:szCs w:val="22"/>
        </w:rPr>
        <w:t>Shared Telecom Tower Infrastructure</w:t>
      </w:r>
      <w:r w:rsidR="00A628F1">
        <w:rPr>
          <w:rFonts w:ascii="Arial" w:hAnsi="Arial" w:cs="Arial"/>
          <w:sz w:val="22"/>
          <w:szCs w:val="22"/>
        </w:rPr>
        <w:t xml:space="preserve"> as per the details </w:t>
      </w:r>
      <w:r>
        <w:rPr>
          <w:rFonts w:ascii="Arial" w:hAnsi="Arial" w:cs="Arial"/>
          <w:sz w:val="22"/>
          <w:szCs w:val="22"/>
        </w:rPr>
        <w:t>available on the public domain</w:t>
      </w:r>
      <w:r w:rsidR="00A628F1">
        <w:rPr>
          <w:rFonts w:ascii="Arial" w:hAnsi="Arial" w:cs="Arial"/>
          <w:sz w:val="22"/>
          <w:szCs w:val="22"/>
        </w:rPr>
        <w:t>:</w:t>
      </w:r>
    </w:p>
    <w:p w14:paraId="41E2FF89" w14:textId="77777777" w:rsidR="002A2972" w:rsidRDefault="002A2972" w:rsidP="002A2972">
      <w:pPr>
        <w:pStyle w:val="ListParagraph"/>
        <w:spacing w:before="240" w:after="0" w:line="360" w:lineRule="auto"/>
        <w:ind w:left="1701" w:right="1678"/>
        <w:jc w:val="both"/>
        <w:rPr>
          <w:rFonts w:ascii="Arial" w:hAnsi="Arial" w:cs="Arial"/>
          <w:sz w:val="22"/>
          <w:szCs w:val="22"/>
        </w:rPr>
      </w:pPr>
      <w:r>
        <w:rPr>
          <w:rFonts w:ascii="Arial" w:hAnsi="Arial" w:cs="Arial"/>
          <w:noProof/>
          <w:sz w:val="22"/>
          <w:szCs w:val="22"/>
          <w:lang w:val="en-IN" w:eastAsia="en-IN"/>
        </w:rPr>
        <w:drawing>
          <wp:inline distT="0" distB="0" distL="0" distR="0" wp14:anchorId="4DD7B745" wp14:editId="2B10B26F">
            <wp:extent cx="3886200" cy="3151569"/>
            <wp:effectExtent l="19050" t="19050" r="19050" b="10795"/>
            <wp:docPr id="1007993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3250" name="Picture 1007993250"/>
                    <pic:cNvPicPr/>
                  </pic:nvPicPr>
                  <pic:blipFill>
                    <a:blip r:embed="rId16">
                      <a:extLst>
                        <a:ext uri="{28A0092B-C50C-407E-A947-70E740481C1C}">
                          <a14:useLocalDpi xmlns:a14="http://schemas.microsoft.com/office/drawing/2010/main" val="0"/>
                        </a:ext>
                      </a:extLst>
                    </a:blip>
                    <a:stretch>
                      <a:fillRect/>
                    </a:stretch>
                  </pic:blipFill>
                  <pic:spPr>
                    <a:xfrm>
                      <a:off x="0" y="0"/>
                      <a:ext cx="3919265" cy="3178384"/>
                    </a:xfrm>
                    <a:prstGeom prst="rect">
                      <a:avLst/>
                    </a:prstGeom>
                    <a:ln>
                      <a:solidFill>
                        <a:schemeClr val="tx1"/>
                      </a:solidFill>
                    </a:ln>
                  </pic:spPr>
                </pic:pic>
              </a:graphicData>
            </a:graphic>
          </wp:inline>
        </w:drawing>
      </w:r>
    </w:p>
    <w:p w14:paraId="459AE986" w14:textId="591ECA37" w:rsidR="000121C3" w:rsidRPr="002A2972" w:rsidRDefault="002A2972" w:rsidP="002A2972">
      <w:pPr>
        <w:pStyle w:val="ListParagraph"/>
        <w:spacing w:before="240" w:line="360" w:lineRule="auto"/>
        <w:ind w:left="142" w:right="-23"/>
        <w:jc w:val="center"/>
        <w:rPr>
          <w:rFonts w:ascii="Arial" w:hAnsi="Arial" w:cs="Arial"/>
          <w:b/>
          <w:bCs/>
          <w:sz w:val="22"/>
          <w:szCs w:val="22"/>
          <w:u w:val="single"/>
        </w:rPr>
      </w:pPr>
      <w:r w:rsidRPr="002A2972">
        <w:rPr>
          <w:rFonts w:ascii="Arial" w:hAnsi="Arial" w:cs="Arial"/>
          <w:b/>
          <w:bCs/>
          <w:sz w:val="22"/>
          <w:szCs w:val="22"/>
          <w:u w:val="single"/>
        </w:rPr>
        <w:t xml:space="preserve">Client Wise No. Of Towers Occupancy as </w:t>
      </w:r>
      <w:r>
        <w:rPr>
          <w:rFonts w:ascii="Arial" w:hAnsi="Arial" w:cs="Arial"/>
          <w:b/>
          <w:bCs/>
          <w:sz w:val="22"/>
          <w:szCs w:val="22"/>
          <w:u w:val="single"/>
        </w:rPr>
        <w:t>o</w:t>
      </w:r>
      <w:r w:rsidRPr="002A2972">
        <w:rPr>
          <w:rFonts w:ascii="Arial" w:hAnsi="Arial" w:cs="Arial"/>
          <w:b/>
          <w:bCs/>
          <w:sz w:val="22"/>
          <w:szCs w:val="22"/>
          <w:u w:val="single"/>
        </w:rPr>
        <w:t>f March 2024</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701"/>
        <w:gridCol w:w="1559"/>
        <w:gridCol w:w="2410"/>
      </w:tblGrid>
      <w:tr w:rsidR="000121C3" w:rsidRPr="000121C3" w14:paraId="19201B7A" w14:textId="3C0919BE" w:rsidTr="00F60498">
        <w:trPr>
          <w:trHeight w:val="375"/>
        </w:trPr>
        <w:tc>
          <w:tcPr>
            <w:tcW w:w="2268" w:type="dxa"/>
            <w:shd w:val="clear" w:color="auto" w:fill="002060"/>
            <w:noWrap/>
            <w:vAlign w:val="center"/>
            <w:hideMark/>
          </w:tcPr>
          <w:p w14:paraId="256F3A93" w14:textId="77777777" w:rsidR="000121C3" w:rsidRPr="000121C3" w:rsidRDefault="000121C3" w:rsidP="000121C3">
            <w:pPr>
              <w:spacing w:after="0" w:line="240" w:lineRule="auto"/>
              <w:jc w:val="center"/>
              <w:rPr>
                <w:rFonts w:asciiTheme="minorHAnsi" w:hAnsiTheme="minorHAnsi" w:cstheme="minorHAnsi"/>
                <w:b/>
                <w:bCs/>
                <w:color w:val="FFFFFF" w:themeColor="background1"/>
                <w:sz w:val="22"/>
                <w:szCs w:val="22"/>
                <w:lang w:val="en-IN" w:eastAsia="en-IN"/>
              </w:rPr>
            </w:pPr>
            <w:r w:rsidRPr="000121C3">
              <w:rPr>
                <w:rFonts w:asciiTheme="minorHAnsi" w:hAnsiTheme="minorHAnsi" w:cstheme="minorHAnsi"/>
                <w:b/>
                <w:bCs/>
                <w:color w:val="FFFFFF" w:themeColor="background1"/>
                <w:sz w:val="22"/>
                <w:szCs w:val="22"/>
                <w:lang w:val="en-IN" w:eastAsia="en-IN"/>
              </w:rPr>
              <w:t>OPCO</w:t>
            </w:r>
          </w:p>
        </w:tc>
        <w:tc>
          <w:tcPr>
            <w:tcW w:w="1418" w:type="dxa"/>
            <w:shd w:val="clear" w:color="auto" w:fill="002060"/>
            <w:noWrap/>
            <w:vAlign w:val="center"/>
            <w:hideMark/>
          </w:tcPr>
          <w:p w14:paraId="3726CEFA" w14:textId="05289B21" w:rsidR="000121C3" w:rsidRPr="000121C3" w:rsidRDefault="000121C3" w:rsidP="000121C3">
            <w:pPr>
              <w:spacing w:after="0" w:line="240" w:lineRule="auto"/>
              <w:jc w:val="center"/>
              <w:rPr>
                <w:rFonts w:asciiTheme="minorHAnsi" w:hAnsiTheme="minorHAnsi" w:cstheme="minorHAnsi"/>
                <w:b/>
                <w:bCs/>
                <w:color w:val="FFFFFF" w:themeColor="background1"/>
                <w:sz w:val="22"/>
                <w:szCs w:val="22"/>
                <w:lang w:val="en-IN" w:eastAsia="en-IN"/>
              </w:rPr>
            </w:pPr>
            <w:r w:rsidRPr="000121C3">
              <w:rPr>
                <w:rFonts w:asciiTheme="minorHAnsi" w:hAnsiTheme="minorHAnsi" w:cstheme="minorHAnsi"/>
                <w:b/>
                <w:bCs/>
                <w:color w:val="FFFFFF" w:themeColor="background1"/>
                <w:sz w:val="22"/>
                <w:szCs w:val="22"/>
                <w:lang w:val="en-IN" w:eastAsia="en-IN"/>
              </w:rPr>
              <w:t>No</w:t>
            </w:r>
            <w:r>
              <w:rPr>
                <w:rFonts w:asciiTheme="minorHAnsi" w:hAnsiTheme="minorHAnsi" w:cstheme="minorHAnsi"/>
                <w:b/>
                <w:bCs/>
                <w:color w:val="FFFFFF" w:themeColor="background1"/>
                <w:sz w:val="22"/>
                <w:szCs w:val="22"/>
                <w:lang w:val="en-IN" w:eastAsia="en-IN"/>
              </w:rPr>
              <w:t>.</w:t>
            </w:r>
            <w:r w:rsidRPr="000121C3">
              <w:rPr>
                <w:rFonts w:asciiTheme="minorHAnsi" w:hAnsiTheme="minorHAnsi" w:cstheme="minorHAnsi"/>
                <w:b/>
                <w:bCs/>
                <w:color w:val="FFFFFF" w:themeColor="background1"/>
                <w:sz w:val="22"/>
                <w:szCs w:val="22"/>
                <w:lang w:val="en-IN" w:eastAsia="en-IN"/>
              </w:rPr>
              <w:t xml:space="preserve"> of Tenancy</w:t>
            </w:r>
          </w:p>
        </w:tc>
        <w:tc>
          <w:tcPr>
            <w:tcW w:w="1701" w:type="dxa"/>
            <w:shd w:val="clear" w:color="auto" w:fill="002060"/>
            <w:vAlign w:val="center"/>
            <w:hideMark/>
          </w:tcPr>
          <w:p w14:paraId="66DF21C9" w14:textId="65D05A64" w:rsidR="000121C3" w:rsidRPr="000121C3" w:rsidRDefault="000121C3" w:rsidP="000121C3">
            <w:pPr>
              <w:spacing w:after="0" w:line="240" w:lineRule="auto"/>
              <w:jc w:val="center"/>
              <w:rPr>
                <w:rFonts w:asciiTheme="minorHAnsi" w:hAnsiTheme="minorHAnsi" w:cstheme="minorHAnsi"/>
                <w:b/>
                <w:bCs/>
                <w:color w:val="FFFFFF" w:themeColor="background1"/>
                <w:sz w:val="22"/>
                <w:szCs w:val="22"/>
                <w:lang w:val="en-IN" w:eastAsia="en-IN"/>
              </w:rPr>
            </w:pPr>
            <w:r w:rsidRPr="000121C3">
              <w:rPr>
                <w:rFonts w:asciiTheme="minorHAnsi" w:hAnsiTheme="minorHAnsi" w:cstheme="minorHAnsi"/>
                <w:b/>
                <w:bCs/>
                <w:color w:val="FFFFFF" w:themeColor="background1"/>
                <w:sz w:val="22"/>
                <w:szCs w:val="22"/>
                <w:lang w:val="en-IN" w:eastAsia="en-IN"/>
              </w:rPr>
              <w:t>No</w:t>
            </w:r>
            <w:r>
              <w:rPr>
                <w:rFonts w:asciiTheme="minorHAnsi" w:hAnsiTheme="minorHAnsi" w:cstheme="minorHAnsi"/>
                <w:b/>
                <w:bCs/>
                <w:color w:val="FFFFFF" w:themeColor="background1"/>
                <w:sz w:val="22"/>
                <w:szCs w:val="22"/>
                <w:lang w:val="en-IN" w:eastAsia="en-IN"/>
              </w:rPr>
              <w:t>.</w:t>
            </w:r>
            <w:r w:rsidRPr="000121C3">
              <w:rPr>
                <w:rFonts w:asciiTheme="minorHAnsi" w:hAnsiTheme="minorHAnsi" w:cstheme="minorHAnsi"/>
                <w:b/>
                <w:bCs/>
                <w:color w:val="FFFFFF" w:themeColor="background1"/>
                <w:sz w:val="22"/>
                <w:szCs w:val="22"/>
                <w:lang w:val="en-IN" w:eastAsia="en-IN"/>
              </w:rPr>
              <w:t xml:space="preserve"> of Towers </w:t>
            </w:r>
            <w:r>
              <w:rPr>
                <w:rFonts w:asciiTheme="minorHAnsi" w:hAnsiTheme="minorHAnsi" w:cstheme="minorHAnsi"/>
                <w:b/>
                <w:bCs/>
                <w:color w:val="FFFFFF" w:themeColor="background1"/>
                <w:sz w:val="22"/>
                <w:szCs w:val="22"/>
                <w:lang w:val="en-IN" w:eastAsia="en-IN"/>
              </w:rPr>
              <w:t>O</w:t>
            </w:r>
            <w:r w:rsidRPr="000121C3">
              <w:rPr>
                <w:rFonts w:asciiTheme="minorHAnsi" w:hAnsiTheme="minorHAnsi" w:cstheme="minorHAnsi"/>
                <w:b/>
                <w:bCs/>
                <w:color w:val="FFFFFF" w:themeColor="background1"/>
                <w:sz w:val="22"/>
                <w:szCs w:val="22"/>
                <w:lang w:val="en-IN" w:eastAsia="en-IN"/>
              </w:rPr>
              <w:t>ccupied</w:t>
            </w:r>
          </w:p>
        </w:tc>
        <w:tc>
          <w:tcPr>
            <w:tcW w:w="1559" w:type="dxa"/>
            <w:shd w:val="clear" w:color="auto" w:fill="002060"/>
            <w:vAlign w:val="center"/>
          </w:tcPr>
          <w:p w14:paraId="7FB527F4" w14:textId="0A43C2B7" w:rsidR="000121C3" w:rsidRPr="000121C3" w:rsidRDefault="000121C3" w:rsidP="000121C3">
            <w:pPr>
              <w:spacing w:after="0" w:line="240" w:lineRule="auto"/>
              <w:jc w:val="center"/>
              <w:rPr>
                <w:rFonts w:asciiTheme="minorHAnsi" w:hAnsiTheme="minorHAnsi" w:cstheme="minorHAnsi"/>
                <w:b/>
                <w:bCs/>
                <w:color w:val="FFFFFF" w:themeColor="background1"/>
                <w:sz w:val="22"/>
                <w:szCs w:val="22"/>
                <w:lang w:val="en-IN" w:eastAsia="en-IN"/>
              </w:rPr>
            </w:pPr>
            <w:r w:rsidRPr="000121C3">
              <w:rPr>
                <w:rFonts w:ascii="Calibri" w:hAnsi="Calibri" w:cs="Calibri"/>
                <w:b/>
                <w:bCs/>
                <w:color w:val="FFFFFF" w:themeColor="background1"/>
                <w:sz w:val="22"/>
                <w:szCs w:val="22"/>
              </w:rPr>
              <w:t>Tenure of Agreement</w:t>
            </w:r>
          </w:p>
        </w:tc>
        <w:tc>
          <w:tcPr>
            <w:tcW w:w="2410" w:type="dxa"/>
            <w:shd w:val="clear" w:color="auto" w:fill="002060"/>
            <w:vAlign w:val="center"/>
          </w:tcPr>
          <w:p w14:paraId="442D5B76" w14:textId="26DBF301" w:rsidR="000121C3" w:rsidRPr="000121C3" w:rsidRDefault="000121C3" w:rsidP="000121C3">
            <w:pPr>
              <w:spacing w:after="0" w:line="240" w:lineRule="auto"/>
              <w:jc w:val="center"/>
              <w:rPr>
                <w:rFonts w:ascii="Calibri" w:hAnsi="Calibri" w:cs="Calibri"/>
                <w:b/>
                <w:bCs/>
                <w:color w:val="FFFFFF" w:themeColor="background1"/>
                <w:sz w:val="22"/>
                <w:szCs w:val="22"/>
              </w:rPr>
            </w:pPr>
            <w:r w:rsidRPr="000121C3">
              <w:rPr>
                <w:rFonts w:ascii="Calibri" w:hAnsi="Calibri" w:cs="Calibri"/>
                <w:b/>
                <w:bCs/>
                <w:color w:val="FFFFFF" w:themeColor="background1"/>
                <w:sz w:val="22"/>
                <w:szCs w:val="22"/>
              </w:rPr>
              <w:t>Start Date</w:t>
            </w:r>
          </w:p>
        </w:tc>
      </w:tr>
      <w:tr w:rsidR="000121C3" w:rsidRPr="000121C3" w14:paraId="4840BE6A" w14:textId="1B1AA053" w:rsidTr="00F60498">
        <w:trPr>
          <w:trHeight w:val="375"/>
        </w:trPr>
        <w:tc>
          <w:tcPr>
            <w:tcW w:w="2268" w:type="dxa"/>
            <w:shd w:val="clear" w:color="auto" w:fill="auto"/>
            <w:noWrap/>
            <w:vAlign w:val="center"/>
            <w:hideMark/>
          </w:tcPr>
          <w:p w14:paraId="7FCAC9AB" w14:textId="77777777"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RJIO</w:t>
            </w:r>
          </w:p>
        </w:tc>
        <w:tc>
          <w:tcPr>
            <w:tcW w:w="1418" w:type="dxa"/>
            <w:shd w:val="clear" w:color="auto" w:fill="auto"/>
            <w:noWrap/>
            <w:vAlign w:val="center"/>
            <w:hideMark/>
          </w:tcPr>
          <w:p w14:paraId="21A7A7B9" w14:textId="341960B3"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8,354</w:t>
            </w:r>
          </w:p>
        </w:tc>
        <w:tc>
          <w:tcPr>
            <w:tcW w:w="1701" w:type="dxa"/>
            <w:shd w:val="clear" w:color="auto" w:fill="auto"/>
            <w:noWrap/>
            <w:vAlign w:val="center"/>
            <w:hideMark/>
          </w:tcPr>
          <w:p w14:paraId="37DA2EC3" w14:textId="205EED26"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5,075</w:t>
            </w:r>
          </w:p>
        </w:tc>
        <w:tc>
          <w:tcPr>
            <w:tcW w:w="1559" w:type="dxa"/>
            <w:vAlign w:val="center"/>
          </w:tcPr>
          <w:p w14:paraId="7213F08B" w14:textId="64CF5F56"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Calibri" w:hAnsi="Calibri" w:cs="Calibri"/>
                <w:color w:val="000000"/>
                <w:sz w:val="22"/>
                <w:szCs w:val="22"/>
              </w:rPr>
              <w:t>10 years</w:t>
            </w:r>
          </w:p>
        </w:tc>
        <w:tc>
          <w:tcPr>
            <w:tcW w:w="2410" w:type="dxa"/>
            <w:vAlign w:val="center"/>
          </w:tcPr>
          <w:p w14:paraId="67855D8D" w14:textId="5F06367E" w:rsidR="000121C3" w:rsidRPr="000121C3" w:rsidRDefault="000121C3" w:rsidP="000121C3">
            <w:pPr>
              <w:spacing w:after="0" w:line="240" w:lineRule="auto"/>
              <w:jc w:val="center"/>
              <w:rPr>
                <w:rFonts w:ascii="Calibri" w:hAnsi="Calibri" w:cs="Calibri"/>
                <w:color w:val="000000"/>
                <w:sz w:val="22"/>
                <w:szCs w:val="22"/>
              </w:rPr>
            </w:pPr>
            <w:r w:rsidRPr="000121C3">
              <w:rPr>
                <w:rFonts w:ascii="Calibri" w:hAnsi="Calibri" w:cs="Calibri"/>
                <w:color w:val="000000"/>
                <w:sz w:val="22"/>
                <w:szCs w:val="22"/>
              </w:rPr>
              <w:t>17-Sep-14</w:t>
            </w:r>
          </w:p>
        </w:tc>
      </w:tr>
      <w:tr w:rsidR="000121C3" w:rsidRPr="000121C3" w14:paraId="5EA2E533" w14:textId="0262DC6B" w:rsidTr="00F60498">
        <w:trPr>
          <w:trHeight w:val="375"/>
        </w:trPr>
        <w:tc>
          <w:tcPr>
            <w:tcW w:w="2268" w:type="dxa"/>
            <w:shd w:val="clear" w:color="auto" w:fill="auto"/>
            <w:noWrap/>
            <w:vAlign w:val="center"/>
            <w:hideMark/>
          </w:tcPr>
          <w:p w14:paraId="76D5BE99" w14:textId="77777777"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VIL</w:t>
            </w:r>
          </w:p>
        </w:tc>
        <w:tc>
          <w:tcPr>
            <w:tcW w:w="1418" w:type="dxa"/>
            <w:shd w:val="clear" w:color="auto" w:fill="auto"/>
            <w:noWrap/>
            <w:vAlign w:val="center"/>
            <w:hideMark/>
          </w:tcPr>
          <w:p w14:paraId="00FDE879" w14:textId="023EF40D"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6,405</w:t>
            </w:r>
          </w:p>
        </w:tc>
        <w:tc>
          <w:tcPr>
            <w:tcW w:w="1701" w:type="dxa"/>
            <w:shd w:val="clear" w:color="auto" w:fill="auto"/>
            <w:noWrap/>
            <w:vAlign w:val="center"/>
            <w:hideMark/>
          </w:tcPr>
          <w:p w14:paraId="27CC2B39" w14:textId="6562DAC9"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2,940</w:t>
            </w:r>
          </w:p>
        </w:tc>
        <w:tc>
          <w:tcPr>
            <w:tcW w:w="1559" w:type="dxa"/>
            <w:vAlign w:val="center"/>
          </w:tcPr>
          <w:p w14:paraId="5340158A" w14:textId="665DD7F2"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Calibri" w:hAnsi="Calibri" w:cs="Calibri"/>
                <w:color w:val="000000"/>
                <w:sz w:val="22"/>
                <w:szCs w:val="22"/>
              </w:rPr>
              <w:t>10 years</w:t>
            </w:r>
          </w:p>
        </w:tc>
        <w:tc>
          <w:tcPr>
            <w:tcW w:w="2410" w:type="dxa"/>
            <w:vAlign w:val="center"/>
          </w:tcPr>
          <w:p w14:paraId="5C2B68AB" w14:textId="1A1EBB1C" w:rsidR="000121C3" w:rsidRDefault="000121C3" w:rsidP="000121C3">
            <w:pPr>
              <w:spacing w:after="0" w:line="240" w:lineRule="auto"/>
              <w:jc w:val="center"/>
              <w:rPr>
                <w:rFonts w:ascii="Calibri" w:hAnsi="Calibri" w:cs="Calibri"/>
                <w:color w:val="000000"/>
                <w:sz w:val="22"/>
                <w:szCs w:val="22"/>
              </w:rPr>
            </w:pPr>
            <w:r>
              <w:rPr>
                <w:rFonts w:ascii="Calibri" w:hAnsi="Calibri" w:cs="Calibri"/>
                <w:color w:val="000000"/>
                <w:sz w:val="22"/>
                <w:szCs w:val="22"/>
              </w:rPr>
              <w:t xml:space="preserve">IDEA: </w:t>
            </w:r>
            <w:r w:rsidRPr="000121C3">
              <w:rPr>
                <w:rFonts w:ascii="Calibri" w:hAnsi="Calibri" w:cs="Calibri"/>
                <w:color w:val="000000"/>
                <w:sz w:val="22"/>
                <w:szCs w:val="22"/>
              </w:rPr>
              <w:t>07-Mar-07</w:t>
            </w:r>
          </w:p>
          <w:p w14:paraId="25AEA175" w14:textId="6B7C498E" w:rsidR="000121C3" w:rsidRPr="000121C3" w:rsidRDefault="000121C3" w:rsidP="000121C3">
            <w:pPr>
              <w:spacing w:after="0" w:line="240" w:lineRule="auto"/>
              <w:jc w:val="center"/>
              <w:rPr>
                <w:rFonts w:ascii="Calibri" w:hAnsi="Calibri" w:cs="Calibri"/>
                <w:color w:val="000000"/>
                <w:sz w:val="22"/>
                <w:szCs w:val="22"/>
              </w:rPr>
            </w:pPr>
            <w:r>
              <w:rPr>
                <w:rFonts w:ascii="Calibri" w:hAnsi="Calibri" w:cs="Calibri"/>
                <w:color w:val="000000"/>
                <w:sz w:val="22"/>
                <w:szCs w:val="22"/>
              </w:rPr>
              <w:t>Vodafone: 15-Nov-07</w:t>
            </w:r>
          </w:p>
        </w:tc>
      </w:tr>
      <w:tr w:rsidR="000121C3" w:rsidRPr="000121C3" w14:paraId="46481BB2" w14:textId="3774BBE8" w:rsidTr="00F60498">
        <w:trPr>
          <w:trHeight w:val="375"/>
        </w:trPr>
        <w:tc>
          <w:tcPr>
            <w:tcW w:w="2268" w:type="dxa"/>
            <w:shd w:val="clear" w:color="auto" w:fill="auto"/>
            <w:noWrap/>
            <w:vAlign w:val="center"/>
            <w:hideMark/>
          </w:tcPr>
          <w:p w14:paraId="2A3FC369" w14:textId="77777777"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AIRTEL</w:t>
            </w:r>
          </w:p>
        </w:tc>
        <w:tc>
          <w:tcPr>
            <w:tcW w:w="1418" w:type="dxa"/>
            <w:shd w:val="clear" w:color="auto" w:fill="auto"/>
            <w:noWrap/>
            <w:vAlign w:val="center"/>
            <w:hideMark/>
          </w:tcPr>
          <w:p w14:paraId="6B386843" w14:textId="1A64BAD7"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5,905</w:t>
            </w:r>
          </w:p>
        </w:tc>
        <w:tc>
          <w:tcPr>
            <w:tcW w:w="1701" w:type="dxa"/>
            <w:shd w:val="clear" w:color="auto" w:fill="auto"/>
            <w:noWrap/>
            <w:vAlign w:val="center"/>
            <w:hideMark/>
          </w:tcPr>
          <w:p w14:paraId="6E04B95D" w14:textId="04900E58"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1,868</w:t>
            </w:r>
          </w:p>
        </w:tc>
        <w:tc>
          <w:tcPr>
            <w:tcW w:w="1559" w:type="dxa"/>
            <w:vAlign w:val="center"/>
          </w:tcPr>
          <w:p w14:paraId="47E864E2" w14:textId="59BD6A00"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Calibri" w:hAnsi="Calibri" w:cs="Calibri"/>
                <w:color w:val="000000"/>
                <w:sz w:val="22"/>
                <w:szCs w:val="22"/>
              </w:rPr>
              <w:t>15 years</w:t>
            </w:r>
          </w:p>
        </w:tc>
        <w:tc>
          <w:tcPr>
            <w:tcW w:w="2410" w:type="dxa"/>
            <w:vAlign w:val="center"/>
          </w:tcPr>
          <w:p w14:paraId="145978D1" w14:textId="28C99B16" w:rsidR="000121C3" w:rsidRPr="000121C3" w:rsidRDefault="000121C3" w:rsidP="000121C3">
            <w:pPr>
              <w:spacing w:after="0" w:line="240" w:lineRule="auto"/>
              <w:jc w:val="center"/>
              <w:rPr>
                <w:rFonts w:ascii="Calibri" w:hAnsi="Calibri" w:cs="Calibri"/>
                <w:color w:val="000000"/>
                <w:sz w:val="22"/>
                <w:szCs w:val="22"/>
              </w:rPr>
            </w:pPr>
            <w:r w:rsidRPr="000121C3">
              <w:rPr>
                <w:rFonts w:ascii="Calibri" w:hAnsi="Calibri" w:cs="Calibri"/>
                <w:color w:val="000000"/>
                <w:sz w:val="22"/>
                <w:szCs w:val="22"/>
              </w:rPr>
              <w:t>15-Dec-06</w:t>
            </w:r>
          </w:p>
        </w:tc>
      </w:tr>
      <w:tr w:rsidR="000121C3" w:rsidRPr="000121C3" w14:paraId="2BA04AB3" w14:textId="477CB2FB" w:rsidTr="00F60498">
        <w:trPr>
          <w:trHeight w:val="375"/>
        </w:trPr>
        <w:tc>
          <w:tcPr>
            <w:tcW w:w="2268" w:type="dxa"/>
            <w:shd w:val="clear" w:color="auto" w:fill="auto"/>
            <w:noWrap/>
            <w:vAlign w:val="center"/>
            <w:hideMark/>
          </w:tcPr>
          <w:p w14:paraId="575B5FB1" w14:textId="77777777"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BSNL</w:t>
            </w:r>
          </w:p>
        </w:tc>
        <w:tc>
          <w:tcPr>
            <w:tcW w:w="1418" w:type="dxa"/>
            <w:shd w:val="clear" w:color="auto" w:fill="auto"/>
            <w:noWrap/>
            <w:vAlign w:val="center"/>
            <w:hideMark/>
          </w:tcPr>
          <w:p w14:paraId="6772F5F2" w14:textId="2CCDBA68"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1,352</w:t>
            </w:r>
          </w:p>
        </w:tc>
        <w:tc>
          <w:tcPr>
            <w:tcW w:w="1701" w:type="dxa"/>
            <w:shd w:val="clear" w:color="auto" w:fill="auto"/>
            <w:noWrap/>
            <w:vAlign w:val="center"/>
            <w:hideMark/>
          </w:tcPr>
          <w:p w14:paraId="40522D4A" w14:textId="00733D78"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608</w:t>
            </w:r>
          </w:p>
        </w:tc>
        <w:tc>
          <w:tcPr>
            <w:tcW w:w="1559" w:type="dxa"/>
            <w:vAlign w:val="center"/>
          </w:tcPr>
          <w:p w14:paraId="0CDA7705" w14:textId="39336259"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Calibri" w:hAnsi="Calibri" w:cs="Calibri"/>
                <w:color w:val="000000"/>
                <w:sz w:val="22"/>
                <w:szCs w:val="22"/>
              </w:rPr>
              <w:t>10 years</w:t>
            </w:r>
          </w:p>
        </w:tc>
        <w:tc>
          <w:tcPr>
            <w:tcW w:w="2410" w:type="dxa"/>
            <w:vAlign w:val="center"/>
          </w:tcPr>
          <w:p w14:paraId="15EB24D9" w14:textId="594F6266" w:rsidR="000121C3" w:rsidRPr="000121C3" w:rsidRDefault="000121C3" w:rsidP="000121C3">
            <w:pPr>
              <w:spacing w:after="0" w:line="240" w:lineRule="auto"/>
              <w:jc w:val="center"/>
              <w:rPr>
                <w:rFonts w:ascii="Calibri" w:hAnsi="Calibri" w:cs="Calibri"/>
                <w:color w:val="000000"/>
                <w:sz w:val="22"/>
                <w:szCs w:val="22"/>
              </w:rPr>
            </w:pPr>
            <w:r w:rsidRPr="000121C3">
              <w:rPr>
                <w:rFonts w:ascii="Calibri" w:hAnsi="Calibri" w:cs="Calibri"/>
                <w:color w:val="000000"/>
                <w:sz w:val="22"/>
                <w:szCs w:val="22"/>
              </w:rPr>
              <w:t>10-May-24</w:t>
            </w:r>
          </w:p>
        </w:tc>
      </w:tr>
      <w:tr w:rsidR="000121C3" w:rsidRPr="000121C3" w14:paraId="7DA4DD87" w14:textId="78F14E41" w:rsidTr="00F60498">
        <w:trPr>
          <w:trHeight w:val="375"/>
        </w:trPr>
        <w:tc>
          <w:tcPr>
            <w:tcW w:w="2268" w:type="dxa"/>
            <w:shd w:val="clear" w:color="auto" w:fill="auto"/>
            <w:noWrap/>
            <w:vAlign w:val="center"/>
            <w:hideMark/>
          </w:tcPr>
          <w:p w14:paraId="3F5E6E33" w14:textId="77777777"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VEDANTA</w:t>
            </w:r>
          </w:p>
        </w:tc>
        <w:tc>
          <w:tcPr>
            <w:tcW w:w="1418" w:type="dxa"/>
            <w:shd w:val="clear" w:color="auto" w:fill="auto"/>
            <w:noWrap/>
            <w:vAlign w:val="center"/>
            <w:hideMark/>
          </w:tcPr>
          <w:p w14:paraId="24B664B5" w14:textId="717CE132"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1</w:t>
            </w:r>
          </w:p>
        </w:tc>
        <w:tc>
          <w:tcPr>
            <w:tcW w:w="1701" w:type="dxa"/>
            <w:shd w:val="clear" w:color="auto" w:fill="auto"/>
            <w:noWrap/>
            <w:vAlign w:val="center"/>
            <w:hideMark/>
          </w:tcPr>
          <w:p w14:paraId="044246DA" w14:textId="2878B62D"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Theme="minorHAnsi" w:hAnsiTheme="minorHAnsi" w:cstheme="minorHAnsi"/>
                <w:color w:val="000000"/>
                <w:sz w:val="22"/>
                <w:szCs w:val="22"/>
                <w:lang w:val="en-IN" w:eastAsia="en-IN"/>
              </w:rPr>
              <w:t>0</w:t>
            </w:r>
          </w:p>
        </w:tc>
        <w:tc>
          <w:tcPr>
            <w:tcW w:w="1559" w:type="dxa"/>
            <w:vAlign w:val="center"/>
          </w:tcPr>
          <w:p w14:paraId="1A1E7186" w14:textId="4D0CCFCB" w:rsidR="000121C3" w:rsidRPr="000121C3" w:rsidRDefault="000121C3" w:rsidP="000121C3">
            <w:pPr>
              <w:spacing w:after="0" w:line="240" w:lineRule="auto"/>
              <w:jc w:val="center"/>
              <w:rPr>
                <w:rFonts w:asciiTheme="minorHAnsi" w:hAnsiTheme="minorHAnsi" w:cstheme="minorHAnsi"/>
                <w:color w:val="000000"/>
                <w:sz w:val="22"/>
                <w:szCs w:val="22"/>
                <w:lang w:val="en-IN" w:eastAsia="en-IN"/>
              </w:rPr>
            </w:pPr>
            <w:r w:rsidRPr="000121C3">
              <w:rPr>
                <w:rFonts w:ascii="Calibri" w:hAnsi="Calibri" w:cs="Calibri"/>
                <w:color w:val="000000"/>
                <w:sz w:val="22"/>
                <w:szCs w:val="22"/>
              </w:rPr>
              <w:t>5 years</w:t>
            </w:r>
          </w:p>
        </w:tc>
        <w:tc>
          <w:tcPr>
            <w:tcW w:w="2410" w:type="dxa"/>
            <w:vAlign w:val="center"/>
          </w:tcPr>
          <w:p w14:paraId="5C540102" w14:textId="557EC0DD" w:rsidR="000121C3" w:rsidRPr="000121C3" w:rsidRDefault="000121C3" w:rsidP="000121C3">
            <w:pPr>
              <w:spacing w:after="0" w:line="240" w:lineRule="auto"/>
              <w:jc w:val="center"/>
              <w:rPr>
                <w:rFonts w:ascii="Calibri" w:hAnsi="Calibri" w:cs="Calibri"/>
                <w:color w:val="000000"/>
                <w:sz w:val="22"/>
                <w:szCs w:val="22"/>
              </w:rPr>
            </w:pPr>
            <w:r w:rsidRPr="000121C3">
              <w:rPr>
                <w:rFonts w:ascii="Calibri" w:hAnsi="Calibri" w:cs="Calibri"/>
                <w:color w:val="000000"/>
                <w:sz w:val="22"/>
                <w:szCs w:val="22"/>
              </w:rPr>
              <w:t>23-Jul-09</w:t>
            </w:r>
          </w:p>
        </w:tc>
      </w:tr>
      <w:tr w:rsidR="000121C3" w:rsidRPr="000121C3" w14:paraId="4F5C4F09" w14:textId="1DB78B10" w:rsidTr="00F60498">
        <w:trPr>
          <w:trHeight w:val="375"/>
        </w:trPr>
        <w:tc>
          <w:tcPr>
            <w:tcW w:w="2268" w:type="dxa"/>
            <w:shd w:val="clear" w:color="auto" w:fill="DEEAF6" w:themeFill="accent1" w:themeFillTint="33"/>
            <w:noWrap/>
            <w:vAlign w:val="center"/>
            <w:hideMark/>
          </w:tcPr>
          <w:p w14:paraId="38D3770F" w14:textId="77777777" w:rsidR="000121C3" w:rsidRPr="000121C3" w:rsidRDefault="000121C3" w:rsidP="000121C3">
            <w:pPr>
              <w:spacing w:after="0" w:line="240" w:lineRule="auto"/>
              <w:jc w:val="center"/>
              <w:rPr>
                <w:rFonts w:asciiTheme="minorHAnsi" w:hAnsiTheme="minorHAnsi" w:cstheme="minorHAnsi"/>
                <w:b/>
                <w:bCs/>
                <w:color w:val="000000"/>
                <w:sz w:val="22"/>
                <w:szCs w:val="22"/>
                <w:lang w:val="en-IN" w:eastAsia="en-IN"/>
              </w:rPr>
            </w:pPr>
            <w:r w:rsidRPr="000121C3">
              <w:rPr>
                <w:rFonts w:asciiTheme="minorHAnsi" w:hAnsiTheme="minorHAnsi" w:cstheme="minorHAnsi"/>
                <w:b/>
                <w:bCs/>
                <w:color w:val="000000"/>
                <w:sz w:val="22"/>
                <w:szCs w:val="22"/>
                <w:lang w:val="en-IN" w:eastAsia="en-IN"/>
              </w:rPr>
              <w:t>Sum of Total Tenants</w:t>
            </w:r>
          </w:p>
        </w:tc>
        <w:tc>
          <w:tcPr>
            <w:tcW w:w="1418" w:type="dxa"/>
            <w:shd w:val="clear" w:color="auto" w:fill="DEEAF6" w:themeFill="accent1" w:themeFillTint="33"/>
            <w:noWrap/>
            <w:vAlign w:val="center"/>
            <w:hideMark/>
          </w:tcPr>
          <w:p w14:paraId="238B4D66" w14:textId="05BF6574" w:rsidR="000121C3" w:rsidRPr="000121C3" w:rsidRDefault="000121C3" w:rsidP="000121C3">
            <w:pPr>
              <w:spacing w:after="0" w:line="240" w:lineRule="auto"/>
              <w:jc w:val="center"/>
              <w:rPr>
                <w:rFonts w:asciiTheme="minorHAnsi" w:hAnsiTheme="minorHAnsi" w:cstheme="minorHAnsi"/>
                <w:b/>
                <w:bCs/>
                <w:color w:val="000000"/>
                <w:sz w:val="22"/>
                <w:szCs w:val="22"/>
                <w:lang w:val="en-IN" w:eastAsia="en-IN"/>
              </w:rPr>
            </w:pPr>
            <w:r w:rsidRPr="000121C3">
              <w:rPr>
                <w:rFonts w:asciiTheme="minorHAnsi" w:hAnsiTheme="minorHAnsi" w:cstheme="minorHAnsi"/>
                <w:b/>
                <w:bCs/>
                <w:color w:val="000000"/>
                <w:sz w:val="22"/>
                <w:szCs w:val="22"/>
                <w:lang w:val="en-IN" w:eastAsia="en-IN"/>
              </w:rPr>
              <w:t>22,017</w:t>
            </w:r>
          </w:p>
        </w:tc>
        <w:tc>
          <w:tcPr>
            <w:tcW w:w="1701" w:type="dxa"/>
            <w:shd w:val="clear" w:color="auto" w:fill="DEEAF6" w:themeFill="accent1" w:themeFillTint="33"/>
            <w:noWrap/>
            <w:vAlign w:val="center"/>
            <w:hideMark/>
          </w:tcPr>
          <w:p w14:paraId="3224F874" w14:textId="19074190" w:rsidR="000121C3" w:rsidRPr="000121C3" w:rsidRDefault="000121C3" w:rsidP="000121C3">
            <w:pPr>
              <w:spacing w:after="0" w:line="240" w:lineRule="auto"/>
              <w:jc w:val="center"/>
              <w:rPr>
                <w:rFonts w:asciiTheme="minorHAnsi" w:hAnsiTheme="minorHAnsi" w:cstheme="minorHAnsi"/>
                <w:b/>
                <w:bCs/>
                <w:color w:val="000000"/>
                <w:sz w:val="22"/>
                <w:szCs w:val="22"/>
                <w:lang w:val="en-IN" w:eastAsia="en-IN"/>
              </w:rPr>
            </w:pPr>
            <w:r w:rsidRPr="000121C3">
              <w:rPr>
                <w:rFonts w:asciiTheme="minorHAnsi" w:hAnsiTheme="minorHAnsi" w:cstheme="minorHAnsi"/>
                <w:b/>
                <w:bCs/>
                <w:color w:val="000000"/>
                <w:sz w:val="22"/>
                <w:szCs w:val="22"/>
                <w:lang w:val="en-IN" w:eastAsia="en-IN"/>
              </w:rPr>
              <w:t>10,491</w:t>
            </w:r>
          </w:p>
        </w:tc>
        <w:tc>
          <w:tcPr>
            <w:tcW w:w="1559" w:type="dxa"/>
            <w:shd w:val="clear" w:color="auto" w:fill="DEEAF6" w:themeFill="accent1" w:themeFillTint="33"/>
            <w:vAlign w:val="center"/>
          </w:tcPr>
          <w:p w14:paraId="1D47397B" w14:textId="6C8F432F" w:rsidR="000121C3" w:rsidRPr="000121C3" w:rsidRDefault="000121C3" w:rsidP="000121C3">
            <w:pPr>
              <w:spacing w:after="0" w:line="240" w:lineRule="auto"/>
              <w:jc w:val="center"/>
              <w:rPr>
                <w:rFonts w:asciiTheme="minorHAnsi" w:hAnsiTheme="minorHAnsi" w:cstheme="minorHAnsi"/>
                <w:b/>
                <w:bCs/>
                <w:color w:val="000000"/>
                <w:sz w:val="22"/>
                <w:szCs w:val="22"/>
                <w:lang w:val="en-IN" w:eastAsia="en-IN"/>
              </w:rPr>
            </w:pPr>
          </w:p>
        </w:tc>
        <w:tc>
          <w:tcPr>
            <w:tcW w:w="2410" w:type="dxa"/>
            <w:shd w:val="clear" w:color="auto" w:fill="DEEAF6" w:themeFill="accent1" w:themeFillTint="33"/>
          </w:tcPr>
          <w:p w14:paraId="255E966B" w14:textId="77777777" w:rsidR="000121C3" w:rsidRPr="000121C3" w:rsidRDefault="000121C3" w:rsidP="000121C3">
            <w:pPr>
              <w:spacing w:after="0" w:line="240" w:lineRule="auto"/>
              <w:jc w:val="center"/>
              <w:rPr>
                <w:rFonts w:asciiTheme="minorHAnsi" w:hAnsiTheme="minorHAnsi" w:cstheme="minorHAnsi"/>
                <w:b/>
                <w:bCs/>
                <w:color w:val="000000"/>
                <w:sz w:val="22"/>
                <w:szCs w:val="22"/>
                <w:lang w:val="en-IN" w:eastAsia="en-IN"/>
              </w:rPr>
            </w:pPr>
          </w:p>
        </w:tc>
      </w:tr>
    </w:tbl>
    <w:p w14:paraId="798DD15B" w14:textId="17CEE0F1" w:rsidR="000121C3" w:rsidRDefault="004C1C3E" w:rsidP="004C1C3E">
      <w:pPr>
        <w:pStyle w:val="ListParagraph"/>
        <w:spacing w:after="0" w:line="240" w:lineRule="auto"/>
        <w:ind w:left="567" w:right="-23"/>
        <w:jc w:val="right"/>
        <w:rPr>
          <w:rFonts w:ascii="Arial" w:hAnsi="Arial" w:cs="Arial"/>
          <w:i/>
          <w:sz w:val="20"/>
          <w:szCs w:val="22"/>
        </w:rPr>
      </w:pPr>
      <w:r w:rsidRPr="003301E0">
        <w:rPr>
          <w:rFonts w:ascii="Arial" w:hAnsi="Arial" w:cs="Arial"/>
          <w:b/>
          <w:i/>
          <w:sz w:val="20"/>
          <w:szCs w:val="22"/>
        </w:rPr>
        <w:t>Source:</w:t>
      </w:r>
      <w:r w:rsidRPr="003301E0">
        <w:rPr>
          <w:rFonts w:ascii="Arial" w:hAnsi="Arial" w:cs="Arial"/>
          <w:i/>
          <w:sz w:val="20"/>
          <w:szCs w:val="22"/>
        </w:rPr>
        <w:t xml:space="preserve"> Information provided by the client</w:t>
      </w:r>
    </w:p>
    <w:p w14:paraId="76984DDF" w14:textId="77777777" w:rsidR="004C1C3E" w:rsidRDefault="004C1C3E" w:rsidP="004C1C3E">
      <w:pPr>
        <w:pStyle w:val="ListParagraph"/>
        <w:spacing w:after="0" w:line="360" w:lineRule="auto"/>
        <w:ind w:left="567" w:right="-23"/>
        <w:jc w:val="right"/>
        <w:rPr>
          <w:rFonts w:ascii="Arial" w:hAnsi="Arial" w:cs="Arial"/>
          <w:b/>
          <w:bCs/>
          <w:sz w:val="22"/>
          <w:szCs w:val="22"/>
        </w:rPr>
      </w:pPr>
    </w:p>
    <w:p w14:paraId="50A581A6" w14:textId="788F8961" w:rsidR="000121C3" w:rsidRPr="002A2972" w:rsidRDefault="002A2972" w:rsidP="002A2972">
      <w:pPr>
        <w:pStyle w:val="ListParagraph"/>
        <w:numPr>
          <w:ilvl w:val="0"/>
          <w:numId w:val="11"/>
        </w:numPr>
        <w:spacing w:line="360" w:lineRule="auto"/>
        <w:ind w:left="142" w:right="-23" w:hanging="426"/>
        <w:jc w:val="both"/>
        <w:rPr>
          <w:rFonts w:ascii="Arial" w:hAnsi="Arial" w:cs="Arial"/>
          <w:sz w:val="22"/>
          <w:szCs w:val="22"/>
        </w:rPr>
      </w:pPr>
      <w:r w:rsidRPr="002A2972">
        <w:rPr>
          <w:rFonts w:ascii="Arial" w:hAnsi="Arial" w:cs="Arial"/>
          <w:b/>
          <w:bCs/>
          <w:sz w:val="22"/>
          <w:szCs w:val="22"/>
        </w:rPr>
        <w:t>SALIENT FEATURES OF THE PASSIVE INFRASTRUCTURE BUSINESS MODEL</w:t>
      </w:r>
      <w:r>
        <w:rPr>
          <w:rFonts w:ascii="Arial" w:hAnsi="Arial" w:cs="Arial"/>
          <w:b/>
          <w:bCs/>
          <w:sz w:val="22"/>
          <w:szCs w:val="22"/>
        </w:rPr>
        <w:t>:</w:t>
      </w:r>
    </w:p>
    <w:p w14:paraId="6C7EC514" w14:textId="77777777" w:rsidR="002A2972" w:rsidRPr="002A2972" w:rsidRDefault="002A2972" w:rsidP="002A2972">
      <w:pPr>
        <w:pStyle w:val="ListParagraph"/>
        <w:spacing w:line="360" w:lineRule="auto"/>
        <w:ind w:left="142" w:right="-23"/>
        <w:jc w:val="both"/>
        <w:rPr>
          <w:rFonts w:ascii="Arial" w:hAnsi="Arial" w:cs="Arial"/>
          <w:sz w:val="22"/>
          <w:szCs w:val="22"/>
          <w:lang w:val="en-IN"/>
        </w:rPr>
      </w:pPr>
      <w:r w:rsidRPr="002A2972">
        <w:rPr>
          <w:rFonts w:ascii="Arial" w:hAnsi="Arial" w:cs="Arial"/>
          <w:sz w:val="22"/>
          <w:szCs w:val="22"/>
          <w:lang w:val="en-IN"/>
        </w:rPr>
        <w:t>GTL Infrastructure Limited (GTL Infra) is registered as an Infrastructure Provider Category 1 (IP-1) under the Department of Telecommunications, India. The company specializes in providing passive telecom infrastructure on a shared basis, allowing telecom operators to install their active network components on its sites.</w:t>
      </w:r>
    </w:p>
    <w:p w14:paraId="0FEEF7ED" w14:textId="30E7CBF4" w:rsidR="002A2972" w:rsidRPr="002A2972" w:rsidRDefault="002A2972" w:rsidP="002A2972">
      <w:pPr>
        <w:pStyle w:val="ListParagraph"/>
        <w:spacing w:line="360" w:lineRule="auto"/>
        <w:ind w:left="142" w:right="-23"/>
        <w:jc w:val="both"/>
        <w:rPr>
          <w:rFonts w:ascii="Arial" w:hAnsi="Arial" w:cs="Arial"/>
          <w:sz w:val="22"/>
          <w:szCs w:val="22"/>
          <w:lang w:val="en-IN"/>
        </w:rPr>
      </w:pPr>
      <w:r w:rsidRPr="002A2972">
        <w:rPr>
          <w:rFonts w:ascii="Arial" w:hAnsi="Arial" w:cs="Arial"/>
          <w:sz w:val="22"/>
          <w:szCs w:val="22"/>
          <w:lang w:val="en-IN"/>
        </w:rPr>
        <w:t>The company follows a build, own, operate, and maintain model for its telecom infrastructure, supporting multiple technologies for various telecom service providers. The Key Characteristics of the Passive Infrastructure Business Model are as follows:</w:t>
      </w:r>
    </w:p>
    <w:p w14:paraId="5DAA02FB"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Supports multiple wireless technologies, including 2G, 3G, 4G, 5G, and enterprise data systems.</w:t>
      </w:r>
    </w:p>
    <w:p w14:paraId="5E4146C0"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Growth is driven by the expansion of wireless networks and continuous technology upgrades.</w:t>
      </w:r>
    </w:p>
    <w:p w14:paraId="09441F5A"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Operates on an annuity-based revenue model, ensuring stable income streams.</w:t>
      </w:r>
    </w:p>
    <w:p w14:paraId="15736CE1"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Telecom operators enter into medium to long-term contracts, typically renewable, with annual price escalations built into agreements.</w:t>
      </w:r>
    </w:p>
    <w:p w14:paraId="0824BB86"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Includes energy management contracts with telecom operators for operational efficiency.</w:t>
      </w:r>
    </w:p>
    <w:p w14:paraId="043AB79C"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Features a fixed cost structure with minimal maintenance requirements.</w:t>
      </w:r>
    </w:p>
    <w:p w14:paraId="5BA28A6D"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Provides predictable free cash flows, ensuring financial stability.</w:t>
      </w:r>
    </w:p>
    <w:p w14:paraId="05A55EA1"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Additional tenancies beyond the initial (anchor) tenant improve EBITDA margins and increase the share of revenue converted into cash flow.</w:t>
      </w:r>
    </w:p>
    <w:p w14:paraId="342BF099" w14:textId="77777777" w:rsidR="002A2972" w:rsidRPr="002A2972" w:rsidRDefault="002A2972" w:rsidP="002A2972">
      <w:pPr>
        <w:pStyle w:val="ListParagraph"/>
        <w:numPr>
          <w:ilvl w:val="0"/>
          <w:numId w:val="33"/>
        </w:numPr>
        <w:tabs>
          <w:tab w:val="clear" w:pos="720"/>
        </w:tabs>
        <w:spacing w:line="360" w:lineRule="auto"/>
        <w:ind w:left="567" w:right="-23" w:hanging="283"/>
        <w:jc w:val="both"/>
        <w:rPr>
          <w:rFonts w:ascii="Arial" w:hAnsi="Arial" w:cs="Arial"/>
          <w:sz w:val="22"/>
          <w:szCs w:val="22"/>
          <w:lang w:val="en-IN"/>
        </w:rPr>
      </w:pPr>
      <w:r w:rsidRPr="002A2972">
        <w:rPr>
          <w:rFonts w:ascii="Arial" w:hAnsi="Arial" w:cs="Arial"/>
          <w:sz w:val="22"/>
          <w:szCs w:val="22"/>
          <w:lang w:val="en-IN"/>
        </w:rPr>
        <w:t>Increased equipment loading at sites on existing technology by telecom operators leads to incremental revenue and EBITDA growth.</w:t>
      </w:r>
    </w:p>
    <w:p w14:paraId="5EEADDCC" w14:textId="77777777" w:rsidR="002A2972" w:rsidRPr="002A2972" w:rsidRDefault="002A2972" w:rsidP="002A2972">
      <w:pPr>
        <w:pStyle w:val="ListParagraph"/>
        <w:spacing w:line="360" w:lineRule="auto"/>
        <w:ind w:left="142" w:right="-23"/>
        <w:jc w:val="both"/>
        <w:rPr>
          <w:rFonts w:ascii="Arial" w:hAnsi="Arial" w:cs="Arial"/>
          <w:sz w:val="22"/>
          <w:szCs w:val="22"/>
          <w:lang w:val="en-IN"/>
        </w:rPr>
      </w:pPr>
    </w:p>
    <w:p w14:paraId="65E67455" w14:textId="77777777" w:rsidR="000121C3" w:rsidRPr="0003751D" w:rsidRDefault="000121C3" w:rsidP="000121C3">
      <w:pPr>
        <w:jc w:val="both"/>
        <w:rPr>
          <w:rFonts w:ascii="Arial" w:hAnsi="Arial" w:cs="Arial"/>
          <w:sz w:val="22"/>
          <w:szCs w:val="22"/>
        </w:rPr>
      </w:pPr>
      <w:r w:rsidRPr="0003751D">
        <w:rPr>
          <w:rFonts w:ascii="Arial" w:hAnsi="Arial" w:cs="Arial"/>
          <w:sz w:val="22"/>
          <w:szCs w:val="22"/>
        </w:rPr>
        <w:t> </w:t>
      </w:r>
    </w:p>
    <w:p w14:paraId="750A2B72" w14:textId="77777777" w:rsidR="000121C3" w:rsidRPr="0003751D" w:rsidRDefault="000121C3" w:rsidP="000121C3">
      <w:pPr>
        <w:jc w:val="both"/>
        <w:rPr>
          <w:rFonts w:ascii="Arial" w:hAnsi="Arial" w:cs="Arial"/>
          <w:sz w:val="22"/>
          <w:szCs w:val="22"/>
        </w:rPr>
      </w:pPr>
      <w:r w:rsidRPr="0003751D">
        <w:rPr>
          <w:rFonts w:ascii="Arial" w:hAnsi="Arial" w:cs="Arial"/>
          <w:b/>
          <w:bCs/>
          <w:sz w:val="22"/>
          <w:szCs w:val="22"/>
        </w:rPr>
        <w:t> </w:t>
      </w:r>
    </w:p>
    <w:p w14:paraId="6B42605B" w14:textId="21E8C301" w:rsidR="0017125D" w:rsidRPr="004B1CA8" w:rsidRDefault="0017125D" w:rsidP="004B1CA8">
      <w:pPr>
        <w:pStyle w:val="ListParagraph"/>
        <w:spacing w:before="240" w:line="360" w:lineRule="auto"/>
        <w:ind w:left="567" w:right="-23"/>
        <w:jc w:val="both"/>
        <w:rPr>
          <w:rFonts w:ascii="Arial" w:hAnsi="Arial" w:cs="Arial"/>
          <w:b/>
          <w:bCs/>
          <w:sz w:val="22"/>
          <w:szCs w:val="22"/>
          <w:lang w:val="en-IN"/>
        </w:rPr>
      </w:pPr>
      <w:r w:rsidRPr="004B1CA8">
        <w:rPr>
          <w:rFonts w:ascii="Arial" w:hAnsi="Arial" w:cs="Arial"/>
          <w:b/>
          <w:bCs/>
          <w:sz w:val="22"/>
          <w:szCs w:val="22"/>
        </w:rPr>
        <w:br w:type="page"/>
      </w:r>
    </w:p>
    <w:tbl>
      <w:tblPr>
        <w:tblW w:w="516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8249"/>
      </w:tblGrid>
      <w:tr w:rsidR="00806981" w:rsidRPr="00C14BB7" w14:paraId="1E252DEA" w14:textId="77777777" w:rsidTr="004B1CA8">
        <w:trPr>
          <w:trHeight w:val="558"/>
        </w:trPr>
        <w:tc>
          <w:tcPr>
            <w:tcW w:w="783" w:type="pct"/>
            <w:shd w:val="clear" w:color="auto" w:fill="17365D"/>
            <w:vAlign w:val="center"/>
          </w:tcPr>
          <w:p w14:paraId="4AFA1DFA" w14:textId="42509FAD" w:rsidR="00806981" w:rsidRPr="00851108" w:rsidRDefault="00806981" w:rsidP="00851108">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t>PART D</w:t>
            </w:r>
          </w:p>
        </w:tc>
        <w:tc>
          <w:tcPr>
            <w:tcW w:w="4217" w:type="pct"/>
            <w:shd w:val="clear" w:color="auto" w:fill="DEEAF6" w:themeFill="accent1" w:themeFillTint="33"/>
            <w:vAlign w:val="center"/>
          </w:tcPr>
          <w:p w14:paraId="785CE0B3" w14:textId="5AA18EF6" w:rsidR="00806981" w:rsidRPr="00851108" w:rsidRDefault="004B1CA8" w:rsidP="00851108">
            <w:pPr>
              <w:spacing w:after="0" w:line="240" w:lineRule="auto"/>
              <w:ind w:left="-112" w:firstLine="112"/>
              <w:jc w:val="center"/>
              <w:rPr>
                <w:rFonts w:ascii="Arial" w:eastAsia="Arial" w:hAnsi="Arial" w:cs="Arial"/>
                <w:b/>
                <w:sz w:val="22"/>
                <w:szCs w:val="22"/>
              </w:rPr>
            </w:pPr>
            <w:r>
              <w:rPr>
                <w:rFonts w:ascii="Arial" w:eastAsia="Arial" w:hAnsi="Arial" w:cs="Arial"/>
                <w:b/>
                <w:sz w:val="22"/>
                <w:szCs w:val="22"/>
              </w:rPr>
              <w:t>INDUSTRY</w:t>
            </w:r>
            <w:r w:rsidR="00806981" w:rsidRPr="00851108">
              <w:rPr>
                <w:rFonts w:ascii="Arial" w:eastAsia="Arial" w:hAnsi="Arial" w:cs="Arial"/>
                <w:b/>
                <w:sz w:val="22"/>
                <w:szCs w:val="22"/>
              </w:rPr>
              <w:t xml:space="preserve"> OVERVIEW ON </w:t>
            </w:r>
            <w:r>
              <w:rPr>
                <w:rFonts w:ascii="Arial" w:eastAsia="Arial" w:hAnsi="Arial" w:cs="Arial"/>
                <w:b/>
                <w:sz w:val="22"/>
                <w:szCs w:val="22"/>
              </w:rPr>
              <w:t>TELECOM</w:t>
            </w:r>
            <w:r w:rsidR="00940345">
              <w:rPr>
                <w:rFonts w:ascii="Arial" w:eastAsia="Arial" w:hAnsi="Arial" w:cs="Arial"/>
                <w:b/>
                <w:sz w:val="22"/>
                <w:szCs w:val="22"/>
              </w:rPr>
              <w:t>MUNICATIONS</w:t>
            </w:r>
            <w:r>
              <w:rPr>
                <w:rFonts w:ascii="Arial" w:eastAsia="Arial" w:hAnsi="Arial" w:cs="Arial"/>
                <w:b/>
                <w:sz w:val="22"/>
                <w:szCs w:val="22"/>
              </w:rPr>
              <w:t xml:space="preserve"> </w:t>
            </w:r>
            <w:r w:rsidR="00806981" w:rsidRPr="00851108">
              <w:rPr>
                <w:rFonts w:ascii="Arial" w:eastAsia="Arial" w:hAnsi="Arial" w:cs="Arial"/>
                <w:b/>
                <w:sz w:val="22"/>
                <w:szCs w:val="22"/>
              </w:rPr>
              <w:t>SECTOR</w:t>
            </w:r>
          </w:p>
        </w:tc>
      </w:tr>
    </w:tbl>
    <w:p w14:paraId="4FE979FF" w14:textId="77777777" w:rsidR="00806981" w:rsidRPr="00E07E55" w:rsidRDefault="00806981" w:rsidP="00B53209">
      <w:pPr>
        <w:pStyle w:val="DefaultText11"/>
        <w:spacing w:line="276" w:lineRule="auto"/>
        <w:jc w:val="both"/>
        <w:rPr>
          <w:rFonts w:ascii="Arial" w:hAnsi="Arial" w:cs="Arial"/>
          <w:b/>
          <w:bCs/>
          <w:sz w:val="22"/>
          <w:szCs w:val="22"/>
        </w:rPr>
      </w:pPr>
    </w:p>
    <w:p w14:paraId="40E2AA48" w14:textId="77777777" w:rsidR="00EC0B59" w:rsidRDefault="00E07E55" w:rsidP="00B07001">
      <w:pPr>
        <w:pStyle w:val="ListParagraph"/>
        <w:numPr>
          <w:ilvl w:val="0"/>
          <w:numId w:val="16"/>
        </w:numPr>
        <w:autoSpaceDE w:val="0"/>
        <w:autoSpaceDN w:val="0"/>
        <w:adjustRightInd w:val="0"/>
        <w:spacing w:line="360" w:lineRule="auto"/>
        <w:ind w:left="142" w:right="-23" w:hanging="426"/>
        <w:jc w:val="both"/>
        <w:rPr>
          <w:rFonts w:ascii="Arial" w:hAnsi="Arial" w:cs="Arial"/>
          <w:b/>
          <w:bCs/>
          <w:sz w:val="22"/>
          <w:szCs w:val="22"/>
          <w:lang w:eastAsia="en-IN"/>
        </w:rPr>
      </w:pPr>
      <w:r w:rsidRPr="00E07E55">
        <w:rPr>
          <w:rFonts w:ascii="Arial" w:hAnsi="Arial" w:cs="Arial"/>
          <w:b/>
          <w:bCs/>
          <w:sz w:val="22"/>
          <w:szCs w:val="22"/>
          <w:lang w:eastAsia="en-IN"/>
        </w:rPr>
        <w:t xml:space="preserve">INTRODUCTION: </w:t>
      </w:r>
    </w:p>
    <w:p w14:paraId="7F5EC9BA" w14:textId="523E7386" w:rsidR="00911BA4" w:rsidRDefault="00E11206" w:rsidP="00EC0B59">
      <w:pPr>
        <w:pStyle w:val="ListParagraph"/>
        <w:autoSpaceDE w:val="0"/>
        <w:autoSpaceDN w:val="0"/>
        <w:adjustRightInd w:val="0"/>
        <w:spacing w:line="360" w:lineRule="auto"/>
        <w:ind w:left="142" w:right="-23"/>
        <w:jc w:val="both"/>
        <w:rPr>
          <w:rFonts w:ascii="Arial" w:hAnsi="Arial" w:cs="Arial"/>
          <w:sz w:val="22"/>
          <w:szCs w:val="22"/>
          <w:lang w:eastAsia="en-IN"/>
        </w:rPr>
      </w:pPr>
      <w:r w:rsidRPr="00E07E55">
        <w:rPr>
          <w:rFonts w:ascii="Arial" w:hAnsi="Arial" w:cs="Arial"/>
          <w:sz w:val="22"/>
          <w:szCs w:val="22"/>
          <w:lang w:eastAsia="en-IN"/>
        </w:rPr>
        <w:t xml:space="preserve">Indian economy is continuously moving on a higher trajectory since last 2 decades. In last 10 years India has continuously maintained GDP growth rate in the range of 5.5% to 8%. </w:t>
      </w:r>
      <w:r w:rsidR="00FF2F19" w:rsidRPr="00E07E55">
        <w:rPr>
          <w:rFonts w:ascii="Arial" w:hAnsi="Arial" w:cs="Arial"/>
          <w:sz w:val="22"/>
          <w:szCs w:val="22"/>
          <w:lang w:eastAsia="en-IN"/>
        </w:rPr>
        <w:t xml:space="preserve">Post </w:t>
      </w:r>
      <w:proofErr w:type="spellStart"/>
      <w:r w:rsidR="00FF2F19" w:rsidRPr="00E07E55">
        <w:rPr>
          <w:rFonts w:ascii="Arial" w:hAnsi="Arial" w:cs="Arial"/>
          <w:sz w:val="22"/>
          <w:szCs w:val="22"/>
          <w:lang w:eastAsia="en-IN"/>
        </w:rPr>
        <w:t>Covid</w:t>
      </w:r>
      <w:proofErr w:type="spellEnd"/>
      <w:r w:rsidR="00FF2F19" w:rsidRPr="00E07E55">
        <w:rPr>
          <w:rFonts w:ascii="Arial" w:hAnsi="Arial" w:cs="Arial"/>
          <w:sz w:val="22"/>
          <w:szCs w:val="22"/>
          <w:lang w:eastAsia="en-IN"/>
        </w:rPr>
        <w:t xml:space="preserve"> Recovery resulting </w:t>
      </w:r>
      <w:r w:rsidRPr="00E07E55">
        <w:rPr>
          <w:rFonts w:ascii="Arial" w:hAnsi="Arial" w:cs="Arial"/>
          <w:sz w:val="22"/>
          <w:szCs w:val="22"/>
          <w:lang w:eastAsia="en-IN"/>
        </w:rPr>
        <w:t xml:space="preserve">Gross Domestic Product GDP </w:t>
      </w:r>
      <w:r w:rsidR="00FF2F19" w:rsidRPr="00E07E55">
        <w:rPr>
          <w:rFonts w:ascii="Arial" w:hAnsi="Arial" w:cs="Arial"/>
          <w:sz w:val="22"/>
          <w:szCs w:val="22"/>
          <w:lang w:eastAsia="en-IN"/>
        </w:rPr>
        <w:t xml:space="preserve">growth rate </w:t>
      </w:r>
      <w:r w:rsidR="00872CAE" w:rsidRPr="00E07E55">
        <w:rPr>
          <w:rFonts w:ascii="Arial" w:hAnsi="Arial" w:cs="Arial"/>
          <w:sz w:val="22"/>
          <w:szCs w:val="22"/>
          <w:lang w:eastAsia="en-IN"/>
        </w:rPr>
        <w:t xml:space="preserve">for </w:t>
      </w:r>
      <w:r w:rsidR="00E07E55">
        <w:rPr>
          <w:rFonts w:ascii="Arial" w:hAnsi="Arial" w:cs="Arial"/>
          <w:sz w:val="22"/>
          <w:szCs w:val="22"/>
          <w:lang w:eastAsia="en-IN"/>
        </w:rPr>
        <w:t>year</w:t>
      </w:r>
      <w:r w:rsidR="00872CAE" w:rsidRPr="00E07E55">
        <w:rPr>
          <w:rFonts w:ascii="Arial" w:hAnsi="Arial" w:cs="Arial"/>
          <w:sz w:val="22"/>
          <w:szCs w:val="22"/>
          <w:lang w:eastAsia="en-IN"/>
        </w:rPr>
        <w:t xml:space="preserve"> 202</w:t>
      </w:r>
      <w:r w:rsidR="00E07E55">
        <w:rPr>
          <w:rFonts w:ascii="Arial" w:hAnsi="Arial" w:cs="Arial"/>
          <w:sz w:val="22"/>
          <w:szCs w:val="22"/>
          <w:lang w:eastAsia="en-IN"/>
        </w:rPr>
        <w:t>1</w:t>
      </w:r>
      <w:r w:rsidRPr="00E07E55">
        <w:rPr>
          <w:rFonts w:ascii="Arial" w:hAnsi="Arial" w:cs="Arial"/>
          <w:sz w:val="22"/>
          <w:szCs w:val="22"/>
          <w:lang w:eastAsia="en-IN"/>
        </w:rPr>
        <w:t xml:space="preserve"> is</w:t>
      </w:r>
      <w:r w:rsidR="00872CAE" w:rsidRPr="00E07E55">
        <w:rPr>
          <w:rFonts w:ascii="Arial" w:hAnsi="Arial" w:cs="Arial"/>
          <w:sz w:val="22"/>
          <w:szCs w:val="22"/>
          <w:lang w:eastAsia="en-IN"/>
        </w:rPr>
        <w:t xml:space="preserve"> </w:t>
      </w:r>
      <w:r w:rsidR="00E07E55">
        <w:rPr>
          <w:rFonts w:ascii="Arial" w:hAnsi="Arial" w:cs="Arial"/>
          <w:sz w:val="22"/>
          <w:szCs w:val="22"/>
          <w:lang w:eastAsia="en-IN"/>
        </w:rPr>
        <w:t>8.7</w:t>
      </w:r>
      <w:r w:rsidR="00872CAE" w:rsidRPr="00E07E55">
        <w:rPr>
          <w:rFonts w:ascii="Arial" w:hAnsi="Arial" w:cs="Arial"/>
          <w:sz w:val="22"/>
          <w:szCs w:val="22"/>
          <w:lang w:eastAsia="en-IN"/>
        </w:rPr>
        <w:t xml:space="preserve">%. Due to </w:t>
      </w:r>
      <w:r w:rsidR="00494F1E" w:rsidRPr="00E07E55">
        <w:rPr>
          <w:rFonts w:ascii="Arial" w:hAnsi="Arial" w:cs="Arial"/>
          <w:sz w:val="22"/>
          <w:szCs w:val="22"/>
          <w:lang w:eastAsia="en-IN"/>
        </w:rPr>
        <w:t xml:space="preserve">adverse impact of </w:t>
      </w:r>
      <w:proofErr w:type="spellStart"/>
      <w:r w:rsidR="00586F47" w:rsidRPr="00E07E55">
        <w:rPr>
          <w:rFonts w:ascii="Arial" w:hAnsi="Arial" w:cs="Arial"/>
          <w:sz w:val="22"/>
          <w:szCs w:val="22"/>
          <w:lang w:eastAsia="en-IN"/>
        </w:rPr>
        <w:t>Covid</w:t>
      </w:r>
      <w:proofErr w:type="spellEnd"/>
      <w:r w:rsidR="00586F47" w:rsidRPr="00E07E55">
        <w:rPr>
          <w:rFonts w:ascii="Arial" w:hAnsi="Arial" w:cs="Arial"/>
          <w:sz w:val="22"/>
          <w:szCs w:val="22"/>
          <w:lang w:eastAsia="en-IN"/>
        </w:rPr>
        <w:t xml:space="preserve"> pandemic GDP growth rate in 2020 was negative</w:t>
      </w:r>
      <w:r w:rsidR="00567E63" w:rsidRPr="00E07E55">
        <w:rPr>
          <w:rFonts w:ascii="Arial" w:hAnsi="Arial" w:cs="Arial"/>
          <w:sz w:val="22"/>
          <w:szCs w:val="22"/>
          <w:lang w:eastAsia="en-IN"/>
        </w:rPr>
        <w:t xml:space="preserve"> </w:t>
      </w:r>
      <w:r w:rsidR="00586F47" w:rsidRPr="00E07E55">
        <w:rPr>
          <w:rFonts w:ascii="Arial" w:hAnsi="Arial" w:cs="Arial"/>
          <w:sz w:val="22"/>
          <w:szCs w:val="22"/>
          <w:lang w:eastAsia="en-IN"/>
        </w:rPr>
        <w:t>(-6</w:t>
      </w:r>
      <w:r w:rsidR="00E07E55">
        <w:rPr>
          <w:rFonts w:ascii="Arial" w:hAnsi="Arial" w:cs="Arial"/>
          <w:sz w:val="22"/>
          <w:szCs w:val="22"/>
          <w:lang w:eastAsia="en-IN"/>
        </w:rPr>
        <w:t>.60</w:t>
      </w:r>
      <w:r w:rsidR="00586F47" w:rsidRPr="00E07E55">
        <w:rPr>
          <w:rFonts w:ascii="Arial" w:hAnsi="Arial" w:cs="Arial"/>
          <w:sz w:val="22"/>
          <w:szCs w:val="22"/>
          <w:lang w:eastAsia="en-IN"/>
        </w:rPr>
        <w:t>%) while average of last two decades is still shows a number of 5.88%</w:t>
      </w:r>
      <w:r w:rsidR="00494F1E" w:rsidRPr="00E07E55">
        <w:rPr>
          <w:rFonts w:ascii="Arial" w:hAnsi="Arial" w:cs="Arial"/>
          <w:sz w:val="22"/>
          <w:szCs w:val="22"/>
          <w:lang w:eastAsia="en-IN"/>
        </w:rPr>
        <w:t>.</w:t>
      </w:r>
    </w:p>
    <w:p w14:paraId="2E0C6069" w14:textId="77777777" w:rsidR="00940345" w:rsidRPr="00940345" w:rsidRDefault="00940345" w:rsidP="00940345">
      <w:pPr>
        <w:pStyle w:val="ListParagraph"/>
        <w:autoSpaceDE w:val="0"/>
        <w:autoSpaceDN w:val="0"/>
        <w:adjustRightInd w:val="0"/>
        <w:spacing w:before="240" w:after="0" w:line="360" w:lineRule="auto"/>
        <w:ind w:left="142" w:right="-23"/>
        <w:jc w:val="both"/>
        <w:rPr>
          <w:rFonts w:ascii="Arial" w:hAnsi="Arial" w:cs="Arial"/>
          <w:sz w:val="22"/>
          <w:szCs w:val="22"/>
          <w:lang w:val="en-IN" w:eastAsia="en-IN"/>
        </w:rPr>
      </w:pPr>
      <w:r w:rsidRPr="00940345">
        <w:rPr>
          <w:rFonts w:ascii="Arial" w:hAnsi="Arial" w:cs="Arial"/>
          <w:sz w:val="22"/>
          <w:szCs w:val="22"/>
          <w:lang w:val="en-IN" w:eastAsia="en-IN"/>
        </w:rPr>
        <w:t>India's telecom sector is a key driver of economic and technological growth, supported by government policies and initiatives. The Telecommunications Act 2023, National Digital Communications Policy 2018, and National Broadband Mission have laid the foundation for sectoral expansion. By March 2024, broadband subscriptions reached 928 million, reflecting significant digital connectivity growth. The Department of Telecommunications (DoT) aims to extend high-speed internet access to all villages by 2024, aligning with national digital inclusion goals.</w:t>
      </w:r>
    </w:p>
    <w:p w14:paraId="2BDB7011" w14:textId="77777777" w:rsidR="00940345" w:rsidRPr="00940345" w:rsidRDefault="00940345" w:rsidP="00940345">
      <w:pPr>
        <w:pStyle w:val="ListParagraph"/>
        <w:autoSpaceDE w:val="0"/>
        <w:autoSpaceDN w:val="0"/>
        <w:adjustRightInd w:val="0"/>
        <w:spacing w:before="240" w:after="0" w:line="360" w:lineRule="auto"/>
        <w:ind w:left="142" w:right="-23"/>
        <w:jc w:val="both"/>
        <w:rPr>
          <w:rFonts w:ascii="Arial" w:hAnsi="Arial" w:cs="Arial"/>
          <w:sz w:val="22"/>
          <w:szCs w:val="22"/>
          <w:lang w:val="en-IN" w:eastAsia="en-IN"/>
        </w:rPr>
      </w:pPr>
      <w:r w:rsidRPr="00940345">
        <w:rPr>
          <w:rFonts w:ascii="Arial" w:hAnsi="Arial" w:cs="Arial"/>
          <w:sz w:val="22"/>
          <w:szCs w:val="22"/>
          <w:lang w:val="en-IN" w:eastAsia="en-IN"/>
        </w:rPr>
        <w:t>With projections estimating nearly 1 billion internet users by 2025, the sector's role in digital transformation is substantial. Government policies emphasize fostering investment and innovation, further strengthened by the 6G roadmap, positioning India as a leader in next-generation wireless technology. These efforts are essential to India's broader objective of becoming a trillion-dollar digital economy and enhancing socio-economic development.</w:t>
      </w:r>
    </w:p>
    <w:p w14:paraId="3EFF5DFA" w14:textId="77777777" w:rsidR="00852385" w:rsidRDefault="00852385" w:rsidP="00852385">
      <w:pPr>
        <w:pStyle w:val="ListParagraph"/>
        <w:autoSpaceDE w:val="0"/>
        <w:autoSpaceDN w:val="0"/>
        <w:adjustRightInd w:val="0"/>
        <w:spacing w:after="0" w:line="360" w:lineRule="auto"/>
        <w:ind w:left="142" w:right="-23"/>
        <w:jc w:val="both"/>
        <w:rPr>
          <w:rFonts w:ascii="Arial" w:hAnsi="Arial" w:cs="Arial"/>
          <w:sz w:val="22"/>
          <w:szCs w:val="22"/>
          <w:lang w:val="en-IN" w:eastAsia="en-IN"/>
        </w:rPr>
      </w:pPr>
    </w:p>
    <w:p w14:paraId="4F5A8E9C" w14:textId="77777777" w:rsidR="00940345" w:rsidRPr="00940345" w:rsidRDefault="00BA5D42" w:rsidP="00B07001">
      <w:pPr>
        <w:pStyle w:val="ListParagraph"/>
        <w:numPr>
          <w:ilvl w:val="0"/>
          <w:numId w:val="16"/>
        </w:numPr>
        <w:autoSpaceDE w:val="0"/>
        <w:autoSpaceDN w:val="0"/>
        <w:adjustRightInd w:val="0"/>
        <w:spacing w:line="360" w:lineRule="auto"/>
        <w:ind w:left="142" w:right="-23" w:hanging="426"/>
        <w:jc w:val="both"/>
        <w:rPr>
          <w:rFonts w:ascii="Arial" w:hAnsi="Arial" w:cs="Arial"/>
          <w:sz w:val="22"/>
          <w:szCs w:val="22"/>
        </w:rPr>
      </w:pPr>
      <w:r w:rsidRPr="00BA5D42">
        <w:rPr>
          <w:rFonts w:ascii="Arial" w:hAnsi="Arial" w:cs="Arial"/>
          <w:b/>
          <w:bCs/>
          <w:sz w:val="22"/>
          <w:szCs w:val="22"/>
          <w:lang w:val="en-IN" w:eastAsia="en-IN"/>
        </w:rPr>
        <w:t>MARKET SIZE</w:t>
      </w:r>
      <w:r>
        <w:rPr>
          <w:rFonts w:ascii="Arial" w:hAnsi="Arial" w:cs="Arial"/>
          <w:b/>
          <w:bCs/>
          <w:sz w:val="22"/>
          <w:szCs w:val="22"/>
          <w:lang w:val="en-IN" w:eastAsia="en-IN"/>
        </w:rPr>
        <w:t xml:space="preserve">: </w:t>
      </w:r>
    </w:p>
    <w:p w14:paraId="022C7203" w14:textId="77777777" w:rsidR="00D04B00" w:rsidRDefault="00D04B00" w:rsidP="00D04B00">
      <w:pPr>
        <w:pStyle w:val="ListParagraph"/>
        <w:autoSpaceDE w:val="0"/>
        <w:autoSpaceDN w:val="0"/>
        <w:adjustRightInd w:val="0"/>
        <w:spacing w:after="0" w:line="360" w:lineRule="auto"/>
        <w:ind w:left="142" w:right="-23"/>
        <w:jc w:val="both"/>
        <w:rPr>
          <w:rFonts w:ascii="Arial" w:hAnsi="Arial" w:cs="Arial"/>
          <w:sz w:val="22"/>
          <w:szCs w:val="22"/>
        </w:rPr>
      </w:pPr>
      <w:r w:rsidRPr="00D04B00">
        <w:rPr>
          <w:rFonts w:ascii="Arial" w:hAnsi="Arial" w:cs="Arial"/>
          <w:sz w:val="22"/>
          <w:szCs w:val="22"/>
        </w:rPr>
        <w:t xml:space="preserve">India's telecommunications sector, the second-largest globally, continues to experience sustained growth across wireless and wired broadband segments. As of May 2024, the wireless subscriber base reached 1,168.95 million, with market leaders </w:t>
      </w:r>
      <w:proofErr w:type="spellStart"/>
      <w:r w:rsidRPr="00D04B00">
        <w:rPr>
          <w:rFonts w:ascii="Arial" w:hAnsi="Arial" w:cs="Arial"/>
          <w:sz w:val="22"/>
          <w:szCs w:val="22"/>
        </w:rPr>
        <w:t>Jio</w:t>
      </w:r>
      <w:proofErr w:type="spellEnd"/>
      <w:r w:rsidRPr="00D04B00">
        <w:rPr>
          <w:rFonts w:ascii="Arial" w:hAnsi="Arial" w:cs="Arial"/>
          <w:sz w:val="22"/>
          <w:szCs w:val="22"/>
        </w:rPr>
        <w:t xml:space="preserve"> (474.61 million), Bharti Airtel (387.76 million), Vodafone Idea (218.15 million), and BSNL (86.32 million). Additionally, wired broadband subscriptions stood at 41.31 million, reflecting the increasing demand for high-speed connectivity.</w:t>
      </w:r>
    </w:p>
    <w:p w14:paraId="3374E80D" w14:textId="0A192851" w:rsidR="00911BA4" w:rsidRDefault="00D04B00" w:rsidP="00D04B00">
      <w:pPr>
        <w:pStyle w:val="ListParagraph"/>
        <w:autoSpaceDE w:val="0"/>
        <w:autoSpaceDN w:val="0"/>
        <w:adjustRightInd w:val="0"/>
        <w:spacing w:before="240" w:after="0" w:line="360" w:lineRule="auto"/>
        <w:ind w:left="142" w:right="-23"/>
        <w:jc w:val="both"/>
        <w:rPr>
          <w:rFonts w:ascii="Arial" w:hAnsi="Arial" w:cs="Arial"/>
          <w:sz w:val="22"/>
          <w:szCs w:val="22"/>
        </w:rPr>
      </w:pPr>
      <w:r w:rsidRPr="00D04B00">
        <w:rPr>
          <w:rFonts w:ascii="Arial" w:hAnsi="Arial" w:cs="Arial"/>
          <w:sz w:val="22"/>
          <w:szCs w:val="22"/>
        </w:rPr>
        <w:t xml:space="preserve">Wireless data consumption surged to 50 million terabytes (PB) by December 2023, marking a 4.01% quarter-over-quarter increase. 4G technology accounted for 86.66% of total usage, followed by 5G (12.59%), 3G (0.65%), and 2G (0.09%). The telecom sector’s gross revenue for FY24 stood at </w:t>
      </w:r>
      <w:proofErr w:type="spellStart"/>
      <w:r w:rsidRPr="00D04B00">
        <w:rPr>
          <w:rFonts w:ascii="Arial" w:hAnsi="Arial" w:cs="Arial"/>
          <w:sz w:val="22"/>
          <w:szCs w:val="22"/>
        </w:rPr>
        <w:t>Rs</w:t>
      </w:r>
      <w:proofErr w:type="spellEnd"/>
      <w:r w:rsidRPr="00D04B00">
        <w:rPr>
          <w:rFonts w:ascii="Arial" w:hAnsi="Arial" w:cs="Arial"/>
          <w:sz w:val="22"/>
          <w:szCs w:val="22"/>
        </w:rPr>
        <w:t xml:space="preserve">. 2.4 lakh crore (US$ 29 billion). Over the next five years, the sector is expected to witness 500 million new internet users, driven by rising mobile penetration and declining data costs. To support this rapid expansion, India will require 22 million skilled professionals in 5G-centric technologies, including </w:t>
      </w:r>
      <w:proofErr w:type="spellStart"/>
      <w:r w:rsidRPr="00D04B00">
        <w:rPr>
          <w:rFonts w:ascii="Arial" w:hAnsi="Arial" w:cs="Arial"/>
          <w:sz w:val="22"/>
          <w:szCs w:val="22"/>
        </w:rPr>
        <w:t>IoT</w:t>
      </w:r>
      <w:proofErr w:type="spellEnd"/>
      <w:r w:rsidRPr="00D04B00">
        <w:rPr>
          <w:rFonts w:ascii="Arial" w:hAnsi="Arial" w:cs="Arial"/>
          <w:sz w:val="22"/>
          <w:szCs w:val="22"/>
        </w:rPr>
        <w:t>, AI, robotics, and cloud computing, by 2025.</w:t>
      </w:r>
    </w:p>
    <w:p w14:paraId="3DA8C3D2" w14:textId="77777777" w:rsidR="00D04B00" w:rsidRPr="00D04B00" w:rsidRDefault="00D04B00" w:rsidP="00D04B00">
      <w:pPr>
        <w:pStyle w:val="ListParagraph"/>
        <w:autoSpaceDE w:val="0"/>
        <w:autoSpaceDN w:val="0"/>
        <w:adjustRightInd w:val="0"/>
        <w:spacing w:after="0" w:line="360" w:lineRule="auto"/>
        <w:ind w:left="142" w:right="-23"/>
        <w:jc w:val="both"/>
        <w:rPr>
          <w:rFonts w:ascii="Arial" w:hAnsi="Arial" w:cs="Arial"/>
          <w:sz w:val="22"/>
          <w:szCs w:val="22"/>
        </w:rPr>
      </w:pPr>
    </w:p>
    <w:p w14:paraId="3382659B" w14:textId="77777777" w:rsidR="006649D2" w:rsidRPr="006649D2" w:rsidRDefault="00852385" w:rsidP="00B07001">
      <w:pPr>
        <w:pStyle w:val="ListParagraph"/>
        <w:numPr>
          <w:ilvl w:val="0"/>
          <w:numId w:val="16"/>
        </w:numPr>
        <w:spacing w:line="360" w:lineRule="auto"/>
        <w:ind w:left="142" w:hanging="426"/>
        <w:jc w:val="both"/>
        <w:rPr>
          <w:rFonts w:ascii="Arial" w:hAnsi="Arial" w:cs="Arial"/>
          <w:b/>
          <w:bCs/>
          <w:sz w:val="22"/>
          <w:szCs w:val="22"/>
          <w:lang w:val="en-IN" w:eastAsia="en-IN"/>
        </w:rPr>
      </w:pPr>
      <w:r w:rsidRPr="00852385">
        <w:rPr>
          <w:rFonts w:ascii="Arial" w:hAnsi="Arial" w:cs="Arial"/>
          <w:b/>
          <w:bCs/>
          <w:sz w:val="22"/>
          <w:szCs w:val="22"/>
          <w:lang w:val="en-IN" w:eastAsia="en-IN"/>
        </w:rPr>
        <w:t>GOVERNMENT INITIATIVES:</w:t>
      </w:r>
      <w:r w:rsidRPr="00852385">
        <w:rPr>
          <w:rFonts w:ascii="Arial" w:hAnsi="Arial" w:cs="Arial"/>
          <w:sz w:val="22"/>
          <w:szCs w:val="22"/>
          <w:lang w:val="en-IN" w:eastAsia="en-IN"/>
        </w:rPr>
        <w:t xml:space="preserve"> </w:t>
      </w:r>
    </w:p>
    <w:p w14:paraId="57741934" w14:textId="6F473142" w:rsidR="00852385" w:rsidRPr="00D37249" w:rsidRDefault="00852385" w:rsidP="006649D2">
      <w:pPr>
        <w:pStyle w:val="ListParagraph"/>
        <w:spacing w:line="360" w:lineRule="auto"/>
        <w:ind w:left="142"/>
        <w:jc w:val="both"/>
        <w:rPr>
          <w:rFonts w:ascii="Arial" w:hAnsi="Arial" w:cs="Arial"/>
          <w:b/>
          <w:bCs/>
          <w:sz w:val="22"/>
          <w:szCs w:val="22"/>
          <w:lang w:val="en-IN" w:eastAsia="en-IN"/>
        </w:rPr>
      </w:pPr>
      <w:r w:rsidRPr="00852385">
        <w:rPr>
          <w:rFonts w:ascii="Arial" w:hAnsi="Arial" w:cs="Arial"/>
          <w:sz w:val="22"/>
          <w:szCs w:val="22"/>
          <w:lang w:val="en-IN" w:eastAsia="en-IN"/>
        </w:rPr>
        <w:t xml:space="preserve">The Government of India has identified </w:t>
      </w:r>
      <w:r w:rsidR="006649D2">
        <w:rPr>
          <w:rFonts w:ascii="Arial" w:hAnsi="Arial" w:cs="Arial"/>
          <w:sz w:val="22"/>
          <w:szCs w:val="22"/>
          <w:lang w:val="en-IN" w:eastAsia="en-IN"/>
        </w:rPr>
        <w:t>telecom</w:t>
      </w:r>
      <w:r w:rsidRPr="00852385">
        <w:rPr>
          <w:rFonts w:ascii="Arial" w:hAnsi="Arial" w:cs="Arial"/>
          <w:sz w:val="22"/>
          <w:szCs w:val="22"/>
          <w:lang w:val="en-IN" w:eastAsia="en-IN"/>
        </w:rPr>
        <w:t xml:space="preserve"> sector as a key sector of focus to promote sustained industrial growth. </w:t>
      </w:r>
      <w:r w:rsidRPr="00D37249">
        <w:rPr>
          <w:rFonts w:ascii="Arial" w:hAnsi="Arial" w:cs="Arial"/>
          <w:sz w:val="22"/>
          <w:szCs w:val="22"/>
          <w:lang w:val="en-IN" w:eastAsia="en-IN"/>
        </w:rPr>
        <w:t>Some initiatives by the Government to boost the Indian</w:t>
      </w:r>
      <w:r w:rsidR="006649D2">
        <w:rPr>
          <w:rFonts w:ascii="Arial" w:hAnsi="Arial" w:cs="Arial"/>
          <w:sz w:val="22"/>
          <w:szCs w:val="22"/>
          <w:lang w:val="en-IN" w:eastAsia="en-IN"/>
        </w:rPr>
        <w:t xml:space="preserve"> telecom</w:t>
      </w:r>
      <w:r w:rsidRPr="00D37249">
        <w:rPr>
          <w:rFonts w:ascii="Arial" w:hAnsi="Arial" w:cs="Arial"/>
          <w:sz w:val="22"/>
          <w:szCs w:val="22"/>
          <w:lang w:val="en-IN" w:eastAsia="en-IN"/>
        </w:rPr>
        <w:t xml:space="preserve"> sector are as below:</w:t>
      </w:r>
    </w:p>
    <w:p w14:paraId="2BCE0BD8" w14:textId="77777777" w:rsidR="006649D2" w:rsidRPr="006649D2" w:rsidRDefault="006649D2" w:rsidP="00B07001">
      <w:pPr>
        <w:pStyle w:val="ListParagraph"/>
        <w:numPr>
          <w:ilvl w:val="0"/>
          <w:numId w:val="17"/>
        </w:numPr>
        <w:spacing w:line="360" w:lineRule="auto"/>
        <w:ind w:left="567" w:right="-23" w:hanging="425"/>
        <w:jc w:val="both"/>
        <w:rPr>
          <w:rFonts w:ascii="Arial" w:hAnsi="Arial" w:cs="Arial"/>
          <w:sz w:val="22"/>
          <w:szCs w:val="22"/>
          <w:lang w:val="en-IN" w:eastAsia="en-IN"/>
        </w:rPr>
      </w:pPr>
      <w:r w:rsidRPr="006649D2">
        <w:rPr>
          <w:rFonts w:ascii="Arial" w:hAnsi="Arial" w:cs="Arial"/>
          <w:sz w:val="22"/>
          <w:szCs w:val="22"/>
          <w:lang w:eastAsia="en-IN"/>
        </w:rPr>
        <w:t>The Union Budget 2024-25 allocated ₹116,342 crore (US$ 13.98 billion) to the Department of Telecommunications and IT.</w:t>
      </w:r>
    </w:p>
    <w:p w14:paraId="64798E6C" w14:textId="77777777" w:rsidR="006649D2" w:rsidRPr="006649D2" w:rsidRDefault="006649D2" w:rsidP="00B07001">
      <w:pPr>
        <w:pStyle w:val="ListParagraph"/>
        <w:numPr>
          <w:ilvl w:val="0"/>
          <w:numId w:val="17"/>
        </w:numPr>
        <w:spacing w:line="360" w:lineRule="auto"/>
        <w:ind w:left="567" w:right="-23" w:hanging="425"/>
        <w:jc w:val="both"/>
        <w:rPr>
          <w:rFonts w:ascii="Arial" w:hAnsi="Arial" w:cs="Arial"/>
          <w:sz w:val="22"/>
          <w:szCs w:val="22"/>
          <w:lang w:val="en-IN" w:eastAsia="en-IN"/>
        </w:rPr>
      </w:pPr>
      <w:r w:rsidRPr="006649D2">
        <w:rPr>
          <w:rFonts w:ascii="Arial" w:hAnsi="Arial" w:cs="Arial"/>
          <w:sz w:val="22"/>
          <w:szCs w:val="22"/>
          <w:lang w:eastAsia="en-IN"/>
        </w:rPr>
        <w:t xml:space="preserve">On November 15th, Prime Minister Narendra Modi inaugurated the Nyaya </w:t>
      </w:r>
      <w:proofErr w:type="spellStart"/>
      <w:r w:rsidRPr="006649D2">
        <w:rPr>
          <w:rFonts w:ascii="Arial" w:hAnsi="Arial" w:cs="Arial"/>
          <w:sz w:val="22"/>
          <w:szCs w:val="22"/>
          <w:lang w:eastAsia="en-IN"/>
        </w:rPr>
        <w:t>Maha</w:t>
      </w:r>
      <w:proofErr w:type="spellEnd"/>
      <w:r w:rsidRPr="006649D2">
        <w:rPr>
          <w:rFonts w:ascii="Arial" w:hAnsi="Arial" w:cs="Arial"/>
          <w:sz w:val="22"/>
          <w:szCs w:val="22"/>
          <w:lang w:eastAsia="en-IN"/>
        </w:rPr>
        <w:t xml:space="preserve"> Abhiyan, a three-year initiative with a project outlay of ₹24,000 crore (US$ 2.9 billion). In the past three months, projects worth over ₹7,000 crore (US$ 845.9 million) have been approved, with a key focus on housing, water, roads, electricity, telecom, and multipurpose centers.</w:t>
      </w:r>
    </w:p>
    <w:p w14:paraId="27877A04" w14:textId="77777777" w:rsidR="00D3105C" w:rsidRPr="00D04B00" w:rsidRDefault="00D3105C" w:rsidP="00B07001">
      <w:pPr>
        <w:pStyle w:val="ListParagraph"/>
        <w:numPr>
          <w:ilvl w:val="0"/>
          <w:numId w:val="17"/>
        </w:numPr>
        <w:spacing w:line="360" w:lineRule="auto"/>
        <w:ind w:left="567" w:hanging="425"/>
        <w:jc w:val="both"/>
        <w:rPr>
          <w:rFonts w:ascii="Arial" w:hAnsi="Arial" w:cs="Arial"/>
          <w:sz w:val="22"/>
          <w:szCs w:val="22"/>
          <w:lang w:val="en-IN" w:eastAsia="en-IN"/>
        </w:rPr>
      </w:pPr>
      <w:r w:rsidRPr="00D3105C">
        <w:rPr>
          <w:rFonts w:ascii="Arial" w:hAnsi="Arial" w:cs="Arial"/>
          <w:sz w:val="22"/>
          <w:szCs w:val="22"/>
          <w:lang w:eastAsia="en-IN"/>
        </w:rPr>
        <w:t xml:space="preserve">In the Union Budget 2023-24, the Department of Telecommunications was granted ₹97,579.05 crore (US$ 11.92 billion). Out of this, ₹400 crore (US$ 48.88 million) was designated for Research and Development, while ₹5,000 crore (US$ 611.1 million) was allocated to the </w:t>
      </w:r>
      <w:proofErr w:type="spellStart"/>
      <w:r w:rsidRPr="00D3105C">
        <w:rPr>
          <w:rFonts w:ascii="Arial" w:hAnsi="Arial" w:cs="Arial"/>
          <w:sz w:val="22"/>
          <w:szCs w:val="22"/>
          <w:lang w:eastAsia="en-IN"/>
        </w:rPr>
        <w:t>BharatNet</w:t>
      </w:r>
      <w:proofErr w:type="spellEnd"/>
      <w:r w:rsidRPr="00D3105C">
        <w:rPr>
          <w:rFonts w:ascii="Arial" w:hAnsi="Arial" w:cs="Arial"/>
          <w:sz w:val="22"/>
          <w:szCs w:val="22"/>
          <w:lang w:eastAsia="en-IN"/>
        </w:rPr>
        <w:t xml:space="preserve"> ini</w:t>
      </w:r>
      <w:r w:rsidRPr="00D04B00">
        <w:rPr>
          <w:rFonts w:ascii="Arial" w:hAnsi="Arial" w:cs="Arial"/>
          <w:sz w:val="22"/>
          <w:szCs w:val="22"/>
          <w:lang w:eastAsia="en-IN"/>
        </w:rPr>
        <w:t>tiative.</w:t>
      </w:r>
    </w:p>
    <w:p w14:paraId="47D5AB6F" w14:textId="64731710" w:rsidR="00D04B00" w:rsidRPr="00D04B00" w:rsidRDefault="00D04B00" w:rsidP="00B07001">
      <w:pPr>
        <w:pStyle w:val="ListParagraph"/>
        <w:numPr>
          <w:ilvl w:val="0"/>
          <w:numId w:val="17"/>
        </w:numPr>
        <w:spacing w:line="360" w:lineRule="auto"/>
        <w:ind w:left="567" w:hanging="425"/>
        <w:jc w:val="both"/>
        <w:rPr>
          <w:rFonts w:ascii="Arial" w:hAnsi="Arial" w:cs="Arial"/>
          <w:sz w:val="22"/>
          <w:szCs w:val="22"/>
          <w:lang w:val="en-IN" w:eastAsia="en-IN"/>
        </w:rPr>
      </w:pPr>
      <w:r w:rsidRPr="00D04B00">
        <w:rPr>
          <w:rFonts w:ascii="Arial" w:hAnsi="Arial" w:cs="Arial"/>
          <w:sz w:val="22"/>
          <w:szCs w:val="22"/>
          <w:lang w:eastAsia="en-IN"/>
        </w:rPr>
        <w:t xml:space="preserve">As of March 2023, the Production-Linked Incentive (PLI) scheme for Large-Scale Electronics Manufacturing (LSEM) has driven investments totaling </w:t>
      </w:r>
      <w:proofErr w:type="spellStart"/>
      <w:r w:rsidRPr="00D04B00">
        <w:rPr>
          <w:rFonts w:ascii="Arial" w:hAnsi="Arial" w:cs="Arial"/>
          <w:sz w:val="22"/>
          <w:szCs w:val="22"/>
          <w:lang w:eastAsia="en-IN"/>
        </w:rPr>
        <w:t>Rs</w:t>
      </w:r>
      <w:proofErr w:type="spellEnd"/>
      <w:r w:rsidRPr="00D04B00">
        <w:rPr>
          <w:rFonts w:ascii="Arial" w:hAnsi="Arial" w:cs="Arial"/>
          <w:sz w:val="22"/>
          <w:szCs w:val="22"/>
          <w:lang w:eastAsia="en-IN"/>
        </w:rPr>
        <w:t xml:space="preserve">. 5,998 crore (US$ 726.77 million). This initiative has facilitated a cumulative production output of </w:t>
      </w:r>
      <w:proofErr w:type="spellStart"/>
      <w:r w:rsidRPr="00D04B00">
        <w:rPr>
          <w:rFonts w:ascii="Arial" w:hAnsi="Arial" w:cs="Arial"/>
          <w:sz w:val="22"/>
          <w:szCs w:val="22"/>
          <w:lang w:eastAsia="en-IN"/>
        </w:rPr>
        <w:t>Rs</w:t>
      </w:r>
      <w:proofErr w:type="spellEnd"/>
      <w:r w:rsidRPr="00D04B00">
        <w:rPr>
          <w:rFonts w:ascii="Arial" w:hAnsi="Arial" w:cs="Arial"/>
          <w:sz w:val="22"/>
          <w:szCs w:val="22"/>
          <w:lang w:eastAsia="en-IN"/>
        </w:rPr>
        <w:t>. 2</w:t>
      </w:r>
      <w:proofErr w:type="gramStart"/>
      <w:r w:rsidRPr="00D04B00">
        <w:rPr>
          <w:rFonts w:ascii="Arial" w:hAnsi="Arial" w:cs="Arial"/>
          <w:sz w:val="22"/>
          <w:szCs w:val="22"/>
          <w:lang w:eastAsia="en-IN"/>
        </w:rPr>
        <w:t>,76,903</w:t>
      </w:r>
      <w:proofErr w:type="gramEnd"/>
      <w:r w:rsidRPr="00D04B00">
        <w:rPr>
          <w:rFonts w:ascii="Arial" w:hAnsi="Arial" w:cs="Arial"/>
          <w:sz w:val="22"/>
          <w:szCs w:val="22"/>
          <w:lang w:eastAsia="en-IN"/>
        </w:rPr>
        <w:t xml:space="preserve"> crore (US$ 33.55 billion), with exports contributing </w:t>
      </w:r>
      <w:proofErr w:type="spellStart"/>
      <w:r w:rsidRPr="00D04B00">
        <w:rPr>
          <w:rFonts w:ascii="Arial" w:hAnsi="Arial" w:cs="Arial"/>
          <w:sz w:val="22"/>
          <w:szCs w:val="22"/>
          <w:lang w:eastAsia="en-IN"/>
        </w:rPr>
        <w:t>Rs</w:t>
      </w:r>
      <w:proofErr w:type="spellEnd"/>
      <w:r w:rsidRPr="00D04B00">
        <w:rPr>
          <w:rFonts w:ascii="Arial" w:hAnsi="Arial" w:cs="Arial"/>
          <w:sz w:val="22"/>
          <w:szCs w:val="22"/>
          <w:lang w:eastAsia="en-IN"/>
        </w:rPr>
        <w:t>. 1,28,886 crore (US$ 15.61 billion).</w:t>
      </w:r>
    </w:p>
    <w:p w14:paraId="655BFB51" w14:textId="01DC0020" w:rsidR="00D04B00" w:rsidRPr="00D04B00" w:rsidRDefault="00D04B00" w:rsidP="00D04B00">
      <w:pPr>
        <w:pStyle w:val="ListParagraph"/>
        <w:numPr>
          <w:ilvl w:val="0"/>
          <w:numId w:val="17"/>
        </w:numPr>
        <w:spacing w:after="0" w:line="360" w:lineRule="auto"/>
        <w:ind w:left="567" w:hanging="425"/>
        <w:jc w:val="both"/>
        <w:rPr>
          <w:rFonts w:ascii="Arial" w:hAnsi="Arial" w:cs="Arial"/>
          <w:sz w:val="22"/>
          <w:szCs w:val="22"/>
          <w:lang w:val="en-IN" w:eastAsia="en-IN"/>
        </w:rPr>
      </w:pPr>
      <w:r w:rsidRPr="00D04B00">
        <w:rPr>
          <w:rFonts w:ascii="Arial" w:hAnsi="Arial" w:cs="Arial"/>
          <w:sz w:val="22"/>
          <w:szCs w:val="22"/>
          <w:lang w:eastAsia="en-IN"/>
        </w:rPr>
        <w:t>The Competition Commission of India (CCI) has approved Data Infrastructure Trust's acquisition of 100% share capital of ATC Telecom Infrastructure Private Limited, along with associated transactions.</w:t>
      </w:r>
    </w:p>
    <w:p w14:paraId="64AEEE4B" w14:textId="77777777" w:rsidR="00FD2032" w:rsidRPr="00CA3651" w:rsidRDefault="00FD2032" w:rsidP="00FD2032">
      <w:pPr>
        <w:pStyle w:val="ListParagraph"/>
        <w:spacing w:after="0" w:line="360" w:lineRule="auto"/>
        <w:ind w:left="567"/>
        <w:jc w:val="both"/>
        <w:rPr>
          <w:rFonts w:ascii="Arial" w:hAnsi="Arial" w:cs="Arial"/>
          <w:sz w:val="22"/>
          <w:szCs w:val="22"/>
          <w:lang w:val="en-IN" w:eastAsia="en-IN"/>
        </w:rPr>
      </w:pPr>
    </w:p>
    <w:p w14:paraId="41DF7E0C" w14:textId="77777777" w:rsidR="00D04B00" w:rsidRPr="00D04B00" w:rsidRDefault="00852385" w:rsidP="00B07001">
      <w:pPr>
        <w:pStyle w:val="ListParagraph"/>
        <w:numPr>
          <w:ilvl w:val="0"/>
          <w:numId w:val="16"/>
        </w:numPr>
        <w:spacing w:line="360" w:lineRule="auto"/>
        <w:ind w:left="142" w:hanging="426"/>
        <w:jc w:val="both"/>
        <w:rPr>
          <w:rFonts w:ascii="Arial" w:hAnsi="Arial" w:cs="Arial"/>
          <w:bCs/>
          <w:sz w:val="22"/>
          <w:szCs w:val="22"/>
          <w:lang w:val="en-IN"/>
        </w:rPr>
      </w:pPr>
      <w:r w:rsidRPr="00644343">
        <w:rPr>
          <w:rFonts w:ascii="Arial" w:hAnsi="Arial" w:cs="Arial"/>
          <w:b/>
          <w:bCs/>
          <w:sz w:val="22"/>
          <w:szCs w:val="22"/>
          <w:lang w:val="en-IN" w:eastAsia="en-IN"/>
        </w:rPr>
        <w:t>RECENT INVESTMENTS:</w:t>
      </w:r>
      <w:r w:rsidR="00A11134" w:rsidRPr="00644343">
        <w:rPr>
          <w:rFonts w:ascii="Arial" w:hAnsi="Arial" w:cs="Arial"/>
          <w:b/>
          <w:sz w:val="22"/>
          <w:szCs w:val="22"/>
        </w:rPr>
        <w:t xml:space="preserve"> </w:t>
      </w:r>
    </w:p>
    <w:p w14:paraId="5CB67C81" w14:textId="775D2B0B" w:rsidR="000A7C4B" w:rsidRPr="000A7C4B" w:rsidRDefault="00D04B00" w:rsidP="000A7C4B">
      <w:pPr>
        <w:pStyle w:val="ListParagraph"/>
        <w:spacing w:line="360" w:lineRule="auto"/>
        <w:ind w:left="142"/>
        <w:jc w:val="both"/>
        <w:rPr>
          <w:rFonts w:ascii="Arial" w:hAnsi="Arial" w:cs="Arial"/>
          <w:bCs/>
          <w:sz w:val="22"/>
          <w:szCs w:val="22"/>
          <w:lang w:val="en-IN"/>
        </w:rPr>
      </w:pPr>
      <w:r w:rsidRPr="00D04B00">
        <w:rPr>
          <w:rFonts w:ascii="Arial" w:hAnsi="Arial" w:cs="Arial"/>
          <w:bCs/>
          <w:sz w:val="22"/>
          <w:szCs w:val="22"/>
          <w:lang w:val="en-IN"/>
        </w:rPr>
        <w:t>The telecommunications sector has witnessed significant investment and development, driven by a continuously expanding subscriber base. Between April 2000 and March 2024, the sector attracted Foreign Direct Investment (FDI) inflows totalling US$ 39.32 billion. The telecommunications sector in India has witnessed significant investments and notable developments in recent times as follows:</w:t>
      </w:r>
    </w:p>
    <w:p w14:paraId="4737A947" w14:textId="12BE851D" w:rsidR="000A7C4B" w:rsidRPr="000A7C4B" w:rsidRDefault="000A7C4B" w:rsidP="000A7C4B">
      <w:pPr>
        <w:pStyle w:val="ListParagraph"/>
        <w:numPr>
          <w:ilvl w:val="0"/>
          <w:numId w:val="17"/>
        </w:numPr>
        <w:spacing w:line="360" w:lineRule="auto"/>
        <w:ind w:left="567" w:hanging="425"/>
        <w:jc w:val="both"/>
        <w:rPr>
          <w:rFonts w:ascii="Arial" w:hAnsi="Arial" w:cs="Arial"/>
          <w:sz w:val="22"/>
          <w:szCs w:val="22"/>
        </w:rPr>
      </w:pPr>
      <w:r w:rsidRPr="000A7C4B">
        <w:rPr>
          <w:rFonts w:ascii="Arial" w:hAnsi="Arial" w:cs="Arial"/>
          <w:sz w:val="22"/>
          <w:szCs w:val="22"/>
        </w:rPr>
        <w:t>The Bharat 6G Alliance and European telecom industry organizations are working towards a strategic partnership to advance 6G technology.</w:t>
      </w:r>
    </w:p>
    <w:p w14:paraId="4DCC1D02" w14:textId="5FD3462A" w:rsidR="009A52BF" w:rsidRPr="000A7C4B" w:rsidRDefault="000A7C4B" w:rsidP="000A7C4B">
      <w:pPr>
        <w:pStyle w:val="ListParagraph"/>
        <w:numPr>
          <w:ilvl w:val="0"/>
          <w:numId w:val="17"/>
        </w:numPr>
        <w:spacing w:line="360" w:lineRule="auto"/>
        <w:ind w:left="567" w:hanging="425"/>
        <w:jc w:val="both"/>
        <w:rPr>
          <w:rFonts w:ascii="Arial" w:hAnsi="Arial" w:cs="Arial"/>
          <w:sz w:val="22"/>
          <w:szCs w:val="22"/>
        </w:rPr>
      </w:pPr>
      <w:r w:rsidRPr="000A7C4B">
        <w:rPr>
          <w:rFonts w:ascii="Arial" w:hAnsi="Arial" w:cs="Arial"/>
          <w:sz w:val="22"/>
          <w:szCs w:val="22"/>
        </w:rPr>
        <w:t xml:space="preserve">C-DOT and IIT </w:t>
      </w:r>
      <w:proofErr w:type="spellStart"/>
      <w:r w:rsidRPr="000A7C4B">
        <w:rPr>
          <w:rFonts w:ascii="Arial" w:hAnsi="Arial" w:cs="Arial"/>
          <w:sz w:val="22"/>
          <w:szCs w:val="22"/>
        </w:rPr>
        <w:t>Roorkee</w:t>
      </w:r>
      <w:proofErr w:type="spellEnd"/>
      <w:r w:rsidRPr="000A7C4B">
        <w:rPr>
          <w:rFonts w:ascii="Arial" w:hAnsi="Arial" w:cs="Arial"/>
          <w:sz w:val="22"/>
          <w:szCs w:val="22"/>
        </w:rPr>
        <w:t xml:space="preserve"> are collaborating to develop a </w:t>
      </w:r>
      <w:proofErr w:type="spellStart"/>
      <w:r w:rsidRPr="000A7C4B">
        <w:rPr>
          <w:rFonts w:ascii="Arial" w:hAnsi="Arial" w:cs="Arial"/>
          <w:sz w:val="22"/>
          <w:szCs w:val="22"/>
        </w:rPr>
        <w:t>Millimetre</w:t>
      </w:r>
      <w:proofErr w:type="spellEnd"/>
      <w:r w:rsidRPr="000A7C4B">
        <w:rPr>
          <w:rFonts w:ascii="Arial" w:hAnsi="Arial" w:cs="Arial"/>
          <w:sz w:val="22"/>
          <w:szCs w:val="22"/>
        </w:rPr>
        <w:t xml:space="preserve"> Wave Transceiver under the Telecom Technology Development Fund, aimed at enhancing affordable broadband and mobile services in rural areas.</w:t>
      </w:r>
    </w:p>
    <w:p w14:paraId="33FC3A48" w14:textId="720A4128" w:rsidR="000A7C4B" w:rsidRPr="000A7C4B" w:rsidRDefault="000A7C4B" w:rsidP="000A7C4B">
      <w:pPr>
        <w:pStyle w:val="ListParagraph"/>
        <w:numPr>
          <w:ilvl w:val="0"/>
          <w:numId w:val="17"/>
        </w:numPr>
        <w:spacing w:line="360" w:lineRule="auto"/>
        <w:ind w:left="567" w:hanging="425"/>
        <w:jc w:val="both"/>
        <w:rPr>
          <w:rFonts w:ascii="Arial" w:hAnsi="Arial" w:cs="Arial"/>
          <w:sz w:val="22"/>
          <w:szCs w:val="22"/>
        </w:rPr>
      </w:pPr>
      <w:r w:rsidRPr="000A7C4B">
        <w:rPr>
          <w:rFonts w:ascii="Arial" w:hAnsi="Arial" w:cs="Arial"/>
          <w:sz w:val="22"/>
          <w:szCs w:val="22"/>
        </w:rPr>
        <w:t>Following a recent equity infusion, V</w:t>
      </w:r>
      <w:r>
        <w:rPr>
          <w:rFonts w:ascii="Arial" w:hAnsi="Arial" w:cs="Arial"/>
          <w:sz w:val="22"/>
          <w:szCs w:val="22"/>
        </w:rPr>
        <w:t>I</w:t>
      </w:r>
      <w:r w:rsidRPr="000A7C4B">
        <w:rPr>
          <w:rFonts w:ascii="Arial" w:hAnsi="Arial" w:cs="Arial"/>
          <w:sz w:val="22"/>
          <w:szCs w:val="22"/>
        </w:rPr>
        <w:t xml:space="preserve"> plans to open new retail outlets to strengthen its market presence and boost sales.</w:t>
      </w:r>
    </w:p>
    <w:p w14:paraId="2F617DF2" w14:textId="4C56B1EC" w:rsidR="000A7C4B" w:rsidRPr="000A7C4B" w:rsidRDefault="000A7C4B" w:rsidP="000A7C4B">
      <w:pPr>
        <w:pStyle w:val="ListParagraph"/>
        <w:numPr>
          <w:ilvl w:val="0"/>
          <w:numId w:val="17"/>
        </w:numPr>
        <w:spacing w:line="360" w:lineRule="auto"/>
        <w:ind w:left="567" w:hanging="425"/>
        <w:jc w:val="both"/>
        <w:rPr>
          <w:rFonts w:ascii="Arial" w:hAnsi="Arial" w:cs="Arial"/>
          <w:sz w:val="22"/>
          <w:szCs w:val="22"/>
        </w:rPr>
      </w:pPr>
      <w:r w:rsidRPr="000A7C4B">
        <w:rPr>
          <w:rFonts w:ascii="Arial" w:hAnsi="Arial" w:cs="Arial"/>
          <w:sz w:val="22"/>
          <w:szCs w:val="22"/>
        </w:rPr>
        <w:t>Currently, 36% of telecom towers in India are fiberized, with plans to deploy 1.2 million additional towers to enhance 5G infrastructure.</w:t>
      </w:r>
    </w:p>
    <w:p w14:paraId="074D5014" w14:textId="73312BEA" w:rsidR="000A7C4B" w:rsidRPr="000A7C4B" w:rsidRDefault="000A7C4B" w:rsidP="000A7C4B">
      <w:pPr>
        <w:pStyle w:val="ListParagraph"/>
        <w:numPr>
          <w:ilvl w:val="0"/>
          <w:numId w:val="17"/>
        </w:numPr>
        <w:spacing w:line="360" w:lineRule="auto"/>
        <w:ind w:left="567" w:hanging="425"/>
        <w:jc w:val="both"/>
        <w:rPr>
          <w:rFonts w:ascii="Arial" w:hAnsi="Arial" w:cs="Arial"/>
          <w:sz w:val="22"/>
          <w:szCs w:val="22"/>
        </w:rPr>
      </w:pPr>
      <w:proofErr w:type="spellStart"/>
      <w:r w:rsidRPr="000A7C4B">
        <w:rPr>
          <w:rFonts w:ascii="Arial" w:hAnsi="Arial" w:cs="Arial"/>
          <w:sz w:val="22"/>
          <w:szCs w:val="22"/>
        </w:rPr>
        <w:t>Jio</w:t>
      </w:r>
      <w:proofErr w:type="spellEnd"/>
      <w:r w:rsidRPr="000A7C4B">
        <w:rPr>
          <w:rFonts w:ascii="Arial" w:hAnsi="Arial" w:cs="Arial"/>
          <w:sz w:val="22"/>
          <w:szCs w:val="22"/>
        </w:rPr>
        <w:t>, in collaboration with EESL, has initiated the installation of one million smart prepaid meters in Bihar as of March 2023.</w:t>
      </w:r>
    </w:p>
    <w:p w14:paraId="1C3A3857" w14:textId="10A8B806" w:rsidR="000A7C4B" w:rsidRPr="000A7C4B" w:rsidRDefault="000A7C4B" w:rsidP="000A7C4B">
      <w:pPr>
        <w:pStyle w:val="ListParagraph"/>
        <w:numPr>
          <w:ilvl w:val="0"/>
          <w:numId w:val="17"/>
        </w:numPr>
        <w:spacing w:line="360" w:lineRule="auto"/>
        <w:ind w:left="567" w:hanging="425"/>
        <w:jc w:val="both"/>
        <w:rPr>
          <w:rFonts w:ascii="Arial" w:hAnsi="Arial" w:cs="Arial"/>
          <w:sz w:val="22"/>
          <w:szCs w:val="22"/>
          <w:lang w:val="en-IN"/>
        </w:rPr>
      </w:pPr>
      <w:r w:rsidRPr="000A7C4B">
        <w:rPr>
          <w:rFonts w:ascii="Arial" w:hAnsi="Arial" w:cs="Arial"/>
          <w:sz w:val="22"/>
          <w:szCs w:val="22"/>
          <w:lang w:val="en-IN"/>
        </w:rPr>
        <w:t xml:space="preserve">STT GDC invested </w:t>
      </w:r>
      <w:proofErr w:type="spellStart"/>
      <w:r w:rsidRPr="000A7C4B">
        <w:rPr>
          <w:rFonts w:ascii="Arial" w:hAnsi="Arial" w:cs="Arial"/>
          <w:sz w:val="22"/>
          <w:szCs w:val="22"/>
          <w:lang w:val="en-IN"/>
        </w:rPr>
        <w:t>Rs</w:t>
      </w:r>
      <w:proofErr w:type="spellEnd"/>
      <w:r w:rsidRPr="000A7C4B">
        <w:rPr>
          <w:rFonts w:ascii="Arial" w:hAnsi="Arial" w:cs="Arial"/>
          <w:sz w:val="22"/>
          <w:szCs w:val="22"/>
          <w:lang w:val="en-IN"/>
        </w:rPr>
        <w:t xml:space="preserve">. 2,000 crore (US$ 242.33 million) in two new data </w:t>
      </w:r>
      <w:proofErr w:type="spellStart"/>
      <w:r w:rsidRPr="000A7C4B">
        <w:rPr>
          <w:rFonts w:ascii="Arial" w:hAnsi="Arial" w:cs="Arial"/>
          <w:sz w:val="22"/>
          <w:szCs w:val="22"/>
          <w:lang w:val="en-IN"/>
        </w:rPr>
        <w:t>centers</w:t>
      </w:r>
      <w:proofErr w:type="spellEnd"/>
      <w:r w:rsidRPr="000A7C4B">
        <w:rPr>
          <w:rFonts w:ascii="Arial" w:hAnsi="Arial" w:cs="Arial"/>
          <w:sz w:val="22"/>
          <w:szCs w:val="22"/>
          <w:lang w:val="en-IN"/>
        </w:rPr>
        <w:t xml:space="preserve"> in Pune as of May 2023.</w:t>
      </w:r>
    </w:p>
    <w:p w14:paraId="5B07570B" w14:textId="362B39C0" w:rsidR="000A7C4B" w:rsidRPr="000A7C4B" w:rsidRDefault="000A7C4B" w:rsidP="000A7C4B">
      <w:pPr>
        <w:pStyle w:val="ListParagraph"/>
        <w:numPr>
          <w:ilvl w:val="0"/>
          <w:numId w:val="17"/>
        </w:numPr>
        <w:spacing w:after="0" w:line="360" w:lineRule="auto"/>
        <w:ind w:left="567" w:hanging="425"/>
        <w:jc w:val="both"/>
        <w:rPr>
          <w:rFonts w:ascii="Arial" w:hAnsi="Arial" w:cs="Arial"/>
          <w:sz w:val="22"/>
          <w:szCs w:val="22"/>
        </w:rPr>
      </w:pPr>
      <w:r w:rsidRPr="000A7C4B">
        <w:rPr>
          <w:rFonts w:ascii="Arial" w:hAnsi="Arial" w:cs="Arial"/>
          <w:sz w:val="22"/>
          <w:szCs w:val="22"/>
        </w:rPr>
        <w:t xml:space="preserve">As of March 2023, </w:t>
      </w:r>
      <w:proofErr w:type="spellStart"/>
      <w:r w:rsidRPr="000A7C4B">
        <w:rPr>
          <w:rFonts w:ascii="Arial" w:hAnsi="Arial" w:cs="Arial"/>
          <w:sz w:val="22"/>
          <w:szCs w:val="22"/>
        </w:rPr>
        <w:t>Jio</w:t>
      </w:r>
      <w:proofErr w:type="spellEnd"/>
      <w:r w:rsidRPr="000A7C4B">
        <w:rPr>
          <w:rFonts w:ascii="Arial" w:hAnsi="Arial" w:cs="Arial"/>
          <w:sz w:val="22"/>
          <w:szCs w:val="22"/>
        </w:rPr>
        <w:t xml:space="preserve"> had the largest wireless subscriber base in India, reaching 430.23 million users, followed by Bharti Airtel with 235.78 million subscribers. Vodafone Idea accounted for 124.82 million users, while BSNL and Intech Online Pvt. Ltd. reported 21.77 million and 0.23 million subscribers, respectively.</w:t>
      </w:r>
    </w:p>
    <w:p w14:paraId="60D71FB7" w14:textId="77777777" w:rsidR="00FD2032" w:rsidRDefault="00FD2032" w:rsidP="00FD2032">
      <w:pPr>
        <w:pStyle w:val="ListParagraph"/>
        <w:spacing w:after="0" w:line="360" w:lineRule="auto"/>
        <w:ind w:left="426" w:right="-23"/>
        <w:jc w:val="both"/>
        <w:rPr>
          <w:rFonts w:ascii="Arial" w:hAnsi="Arial" w:cs="Arial"/>
          <w:sz w:val="22"/>
          <w:szCs w:val="22"/>
        </w:rPr>
      </w:pPr>
    </w:p>
    <w:p w14:paraId="77D2B2C6" w14:textId="77777777" w:rsidR="00F60498" w:rsidRPr="00F60498" w:rsidRDefault="00852385" w:rsidP="00B07001">
      <w:pPr>
        <w:pStyle w:val="ListParagraph"/>
        <w:numPr>
          <w:ilvl w:val="0"/>
          <w:numId w:val="16"/>
        </w:numPr>
        <w:spacing w:line="360" w:lineRule="auto"/>
        <w:ind w:left="142" w:hanging="426"/>
        <w:jc w:val="both"/>
        <w:rPr>
          <w:rFonts w:ascii="Arial" w:hAnsi="Arial" w:cs="Arial"/>
          <w:sz w:val="22"/>
          <w:szCs w:val="22"/>
          <w:lang w:eastAsia="en-IN"/>
        </w:rPr>
      </w:pPr>
      <w:r w:rsidRPr="00852385">
        <w:rPr>
          <w:rFonts w:ascii="Arial" w:hAnsi="Arial" w:cs="Arial"/>
          <w:b/>
          <w:bCs/>
          <w:sz w:val="22"/>
          <w:szCs w:val="22"/>
          <w:lang w:val="en-IN" w:eastAsia="en-IN"/>
        </w:rPr>
        <w:t>WAY FORWARD:</w:t>
      </w:r>
      <w:r w:rsidR="00A11134">
        <w:rPr>
          <w:rFonts w:ascii="Arial" w:hAnsi="Arial" w:cs="Arial"/>
          <w:b/>
          <w:bCs/>
          <w:sz w:val="22"/>
          <w:szCs w:val="22"/>
          <w:lang w:val="en-IN" w:eastAsia="en-IN"/>
        </w:rPr>
        <w:t xml:space="preserve"> </w:t>
      </w:r>
    </w:p>
    <w:p w14:paraId="79581BFA" w14:textId="622C8D15" w:rsidR="00F60498" w:rsidRPr="00F60498" w:rsidRDefault="00F60498" w:rsidP="00F60498">
      <w:pPr>
        <w:pStyle w:val="ListParagraph"/>
        <w:spacing w:line="360" w:lineRule="auto"/>
        <w:ind w:left="142"/>
        <w:jc w:val="both"/>
        <w:rPr>
          <w:rFonts w:ascii="Arial" w:hAnsi="Arial" w:cs="Arial"/>
          <w:sz w:val="22"/>
          <w:szCs w:val="22"/>
          <w:lang w:eastAsia="en-IN"/>
        </w:rPr>
      </w:pPr>
      <w:r w:rsidRPr="00F60498">
        <w:rPr>
          <w:rFonts w:ascii="Arial" w:hAnsi="Arial" w:cs="Arial"/>
          <w:sz w:val="22"/>
          <w:szCs w:val="22"/>
          <w:lang w:eastAsia="en-IN"/>
        </w:rPr>
        <w:t>The Indian telecom sector is poised for significant advancements in 2025, driven by rapid 5G adoption, artificial intelligence (AI) integration, and the foundation for 6G research. Over 450 million new 5G users are expected to join the network, pushing average revenue per user (ARPU) beyond ₹250. The government has committed ₹50 billion in early-stage 6G research under a public-private partnership, positioning India as a global leader in next-generation wireless technology. Additionally, private 5G networks are set to expand by 40%, with enterprise applications in healthcare, manufacturing, and smart infrastructure fueling demand. Investments in over 500 micro-edge data centers will further support real-time AI-driven applications, enhancing efficiency and operational capabilitie</w:t>
      </w:r>
      <w:r>
        <w:rPr>
          <w:rFonts w:ascii="Arial" w:hAnsi="Arial" w:cs="Arial"/>
          <w:sz w:val="22"/>
          <w:szCs w:val="22"/>
          <w:lang w:eastAsia="en-IN"/>
        </w:rPr>
        <w:t>s.</w:t>
      </w:r>
    </w:p>
    <w:p w14:paraId="6E3DC78C" w14:textId="6B8C8603" w:rsidR="00F60498" w:rsidRPr="00F60498" w:rsidRDefault="00F60498" w:rsidP="00F60498">
      <w:pPr>
        <w:pStyle w:val="ListParagraph"/>
        <w:spacing w:line="360" w:lineRule="auto"/>
        <w:ind w:left="142"/>
        <w:jc w:val="both"/>
        <w:rPr>
          <w:rFonts w:ascii="Arial" w:hAnsi="Arial" w:cs="Arial"/>
          <w:sz w:val="22"/>
          <w:szCs w:val="22"/>
          <w:lang w:eastAsia="en-IN"/>
        </w:rPr>
      </w:pPr>
      <w:r w:rsidRPr="00F60498">
        <w:rPr>
          <w:rFonts w:ascii="Arial" w:hAnsi="Arial" w:cs="Arial"/>
          <w:sz w:val="22"/>
          <w:szCs w:val="22"/>
          <w:lang w:eastAsia="en-IN"/>
        </w:rPr>
        <w:t>Despite this growth, the industry faces challenges in spectrum allocation, OTT regulation, and infrastructure security. The lack of fair contributions from large traffic generators (LTGs) has resulted in an estimated ₹800 crore revenue loss for the government. Unsolicited commercial communications (UCC) and security risks linked to OTT platforms remain regulatory concerns. Infrastructure hurdles, including spectrum interference, illegal boosters, and equipment theft, have already triggered ₹800 crore in losses, affecting 4G and 5G network expansion. The government has introduced reforms such as abolishing wireless operating licenses and easing spectrum payment conditions, which are expected to improve financial stability for telecom operators. Meanwhile, AI-powered predictive maintenance is projected to reduce network downtime by 15%, and automation-driven customer support could handle 60% of queries, resulting in ₹15 billion in cost saving</w:t>
      </w:r>
      <w:r>
        <w:rPr>
          <w:rFonts w:ascii="Arial" w:hAnsi="Arial" w:cs="Arial"/>
          <w:sz w:val="22"/>
          <w:szCs w:val="22"/>
          <w:lang w:eastAsia="en-IN"/>
        </w:rPr>
        <w:t>s.</w:t>
      </w:r>
    </w:p>
    <w:p w14:paraId="37EFAAE6" w14:textId="531D49E2" w:rsidR="00D31EFD" w:rsidRPr="008876E1" w:rsidRDefault="00F60498" w:rsidP="00F60498">
      <w:pPr>
        <w:pStyle w:val="ListParagraph"/>
        <w:spacing w:line="360" w:lineRule="auto"/>
        <w:ind w:left="142"/>
        <w:jc w:val="both"/>
        <w:rPr>
          <w:rFonts w:ascii="Arial" w:eastAsia="Arial" w:hAnsi="Arial" w:cs="Arial"/>
          <w:b/>
          <w:sz w:val="22"/>
          <w:szCs w:val="22"/>
        </w:rPr>
      </w:pPr>
      <w:r w:rsidRPr="00F60498">
        <w:rPr>
          <w:rFonts w:ascii="Arial" w:hAnsi="Arial" w:cs="Arial"/>
          <w:sz w:val="22"/>
          <w:szCs w:val="22"/>
          <w:lang w:eastAsia="en-IN"/>
        </w:rPr>
        <w:t>Overall, 2025 will be a transformative year for India's telecom industry, with cutting-edge advancements in connectivity, AI-driven efficiencies, and regulatory developments shaping the sector’s trajectory. However, balancing innovation with affordability and ensuring fair competition will be key to sustaining long-term growth.</w:t>
      </w:r>
      <w:r w:rsidR="00D31EFD" w:rsidRPr="008876E1">
        <w:rPr>
          <w:rFonts w:ascii="Arial" w:eastAsia="Arial" w:hAnsi="Arial" w:cs="Arial"/>
          <w:b/>
          <w:sz w:val="22"/>
          <w:szCs w:val="22"/>
        </w:rPr>
        <w:br w:type="page"/>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F52B8E" w:rsidRPr="003B6472" w14:paraId="40297B6E" w14:textId="77777777" w:rsidTr="004B1CA8">
        <w:trPr>
          <w:trHeight w:val="558"/>
        </w:trPr>
        <w:tc>
          <w:tcPr>
            <w:tcW w:w="1534" w:type="dxa"/>
            <w:shd w:val="clear" w:color="auto" w:fill="002060"/>
            <w:vAlign w:val="center"/>
          </w:tcPr>
          <w:p w14:paraId="1F099A89" w14:textId="0B402C49" w:rsidR="00F52B8E" w:rsidRPr="00851108" w:rsidRDefault="00F52B8E" w:rsidP="0067033C">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br w:type="page"/>
              <w:t xml:space="preserve"> PART E</w:t>
            </w:r>
          </w:p>
        </w:tc>
        <w:tc>
          <w:tcPr>
            <w:tcW w:w="8248" w:type="dxa"/>
            <w:shd w:val="clear" w:color="auto" w:fill="DEEAF6" w:themeFill="accent1" w:themeFillTint="33"/>
            <w:vAlign w:val="center"/>
          </w:tcPr>
          <w:p w14:paraId="4E7A2D52" w14:textId="32E958C6" w:rsidR="00F52B8E" w:rsidRPr="00851108" w:rsidRDefault="00F52B8E" w:rsidP="0067033C">
            <w:pPr>
              <w:tabs>
                <w:tab w:val="left" w:pos="360"/>
              </w:tabs>
              <w:spacing w:after="0" w:line="240" w:lineRule="auto"/>
              <w:jc w:val="center"/>
              <w:rPr>
                <w:rFonts w:ascii="Arial" w:eastAsia="Arial" w:hAnsi="Arial" w:cs="Arial"/>
                <w:b/>
                <w:sz w:val="22"/>
                <w:szCs w:val="22"/>
              </w:rPr>
            </w:pPr>
            <w:r w:rsidRPr="00851108">
              <w:rPr>
                <w:rFonts w:ascii="Arial" w:eastAsia="Arial" w:hAnsi="Arial" w:cs="Arial"/>
                <w:b/>
                <w:sz w:val="22"/>
                <w:szCs w:val="22"/>
              </w:rPr>
              <w:t xml:space="preserve">FINANCIAL </w:t>
            </w:r>
            <w:r w:rsidR="003D057C" w:rsidRPr="00851108">
              <w:rPr>
                <w:rFonts w:ascii="Arial" w:eastAsia="Arial" w:hAnsi="Arial" w:cs="Arial"/>
                <w:b/>
                <w:sz w:val="22"/>
                <w:szCs w:val="22"/>
              </w:rPr>
              <w:t>PERFORMANCE</w:t>
            </w:r>
          </w:p>
        </w:tc>
      </w:tr>
    </w:tbl>
    <w:p w14:paraId="7B18C200" w14:textId="77777777" w:rsidR="00F52B8E" w:rsidRDefault="00F52B8E" w:rsidP="002D1DCA">
      <w:pPr>
        <w:pStyle w:val="ListParagraph"/>
        <w:spacing w:after="0" w:line="360" w:lineRule="auto"/>
        <w:ind w:left="-284" w:right="-306"/>
        <w:jc w:val="both"/>
        <w:rPr>
          <w:rFonts w:ascii="Arial" w:hAnsi="Arial" w:cs="Arial"/>
          <w:sz w:val="22"/>
          <w:szCs w:val="22"/>
        </w:rPr>
      </w:pPr>
    </w:p>
    <w:p w14:paraId="15133EDB" w14:textId="320E1413" w:rsidR="00F52B8E" w:rsidRDefault="00F52B8E" w:rsidP="00443BE2">
      <w:pPr>
        <w:tabs>
          <w:tab w:val="left" w:pos="142"/>
        </w:tabs>
        <w:spacing w:after="0" w:line="360" w:lineRule="auto"/>
        <w:ind w:left="-284"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6124DF4A" w14:textId="77777777" w:rsidR="00443BE2" w:rsidRDefault="00443BE2" w:rsidP="00443BE2">
      <w:pPr>
        <w:tabs>
          <w:tab w:val="left" w:pos="142"/>
        </w:tabs>
        <w:spacing w:after="0" w:line="360" w:lineRule="auto"/>
        <w:ind w:left="-284" w:right="-23"/>
        <w:jc w:val="both"/>
        <w:rPr>
          <w:rFonts w:ascii="Arial" w:hAnsi="Arial" w:cs="Arial"/>
          <w:sz w:val="22"/>
          <w:szCs w:val="22"/>
          <w:lang w:val="en-IN"/>
        </w:rPr>
      </w:pPr>
    </w:p>
    <w:p w14:paraId="58C016A0" w14:textId="7CA8ACB9" w:rsidR="00F52B8E" w:rsidRPr="007576F0" w:rsidRDefault="00F52B8E" w:rsidP="00B07001">
      <w:pPr>
        <w:pStyle w:val="ListParagraph"/>
        <w:numPr>
          <w:ilvl w:val="0"/>
          <w:numId w:val="15"/>
        </w:numPr>
        <w:tabs>
          <w:tab w:val="left" w:pos="-142"/>
        </w:tabs>
        <w:spacing w:after="0" w:line="360" w:lineRule="auto"/>
        <w:ind w:left="142" w:right="-472" w:hanging="426"/>
        <w:jc w:val="both"/>
        <w:rPr>
          <w:rFonts w:ascii="Arial" w:hAnsi="Arial" w:cs="Arial"/>
          <w:sz w:val="22"/>
          <w:szCs w:val="22"/>
          <w:lang w:val="en-IN"/>
        </w:rPr>
      </w:pPr>
      <w:r w:rsidRPr="007514E5">
        <w:rPr>
          <w:rFonts w:ascii="Arial" w:hAnsi="Arial" w:cs="Arial"/>
          <w:b/>
          <w:noProof/>
          <w:sz w:val="22"/>
          <w:szCs w:val="22"/>
        </w:rPr>
        <w:t>HISTORICAL PROFIT &amp; LOSS STATEMENT: (FY 201</w:t>
      </w:r>
      <w:r w:rsidR="007E556B">
        <w:rPr>
          <w:rFonts w:ascii="Arial" w:hAnsi="Arial" w:cs="Arial"/>
          <w:b/>
          <w:noProof/>
          <w:sz w:val="22"/>
          <w:szCs w:val="22"/>
        </w:rPr>
        <w:t>9</w:t>
      </w:r>
      <w:r>
        <w:rPr>
          <w:rFonts w:ascii="Arial" w:hAnsi="Arial" w:cs="Arial"/>
          <w:b/>
          <w:noProof/>
          <w:sz w:val="22"/>
          <w:szCs w:val="22"/>
        </w:rPr>
        <w:t>-</w:t>
      </w:r>
      <w:r w:rsidR="007E556B">
        <w:rPr>
          <w:rFonts w:ascii="Arial" w:hAnsi="Arial" w:cs="Arial"/>
          <w:b/>
          <w:noProof/>
          <w:sz w:val="22"/>
          <w:szCs w:val="22"/>
        </w:rPr>
        <w:t>20</w:t>
      </w:r>
      <w:r w:rsidRPr="007514E5">
        <w:rPr>
          <w:rFonts w:ascii="Arial" w:hAnsi="Arial" w:cs="Arial"/>
          <w:b/>
          <w:noProof/>
          <w:sz w:val="22"/>
          <w:szCs w:val="22"/>
        </w:rPr>
        <w:t xml:space="preserve"> to FY 202</w:t>
      </w:r>
      <w:r w:rsidR="007E556B">
        <w:rPr>
          <w:rFonts w:ascii="Arial" w:hAnsi="Arial" w:cs="Arial"/>
          <w:b/>
          <w:noProof/>
          <w:sz w:val="22"/>
          <w:szCs w:val="22"/>
        </w:rPr>
        <w:t>2</w:t>
      </w:r>
      <w:r w:rsidRPr="007514E5">
        <w:rPr>
          <w:rFonts w:ascii="Arial" w:hAnsi="Arial" w:cs="Arial"/>
          <w:b/>
          <w:noProof/>
          <w:sz w:val="22"/>
          <w:szCs w:val="22"/>
        </w:rPr>
        <w:t>-2</w:t>
      </w:r>
      <w:r w:rsidR="007E556B">
        <w:rPr>
          <w:rFonts w:ascii="Arial" w:hAnsi="Arial" w:cs="Arial"/>
          <w:b/>
          <w:noProof/>
          <w:sz w:val="22"/>
          <w:szCs w:val="22"/>
        </w:rPr>
        <w:t>3</w:t>
      </w:r>
      <w:r w:rsidRPr="007514E5">
        <w:rPr>
          <w:rFonts w:ascii="Arial" w:hAnsi="Arial" w:cs="Arial"/>
          <w:b/>
          <w:noProof/>
          <w:sz w:val="22"/>
          <w:szCs w:val="22"/>
        </w:rPr>
        <w:t xml:space="preserve">) </w:t>
      </w:r>
    </w:p>
    <w:p w14:paraId="5C30D21D" w14:textId="7B5F1024" w:rsidR="00F52B8E" w:rsidRPr="007576F0" w:rsidRDefault="00F52B8E" w:rsidP="007427F1">
      <w:pPr>
        <w:pStyle w:val="ListParagraph"/>
        <w:tabs>
          <w:tab w:val="left" w:pos="284"/>
        </w:tabs>
        <w:spacing w:after="0" w:line="240" w:lineRule="auto"/>
        <w:ind w:left="284" w:right="-23"/>
        <w:jc w:val="right"/>
        <w:rPr>
          <w:rFonts w:ascii="Arial" w:hAnsi="Arial" w:cs="Arial"/>
          <w:bCs/>
          <w:i/>
          <w:iCs/>
          <w:sz w:val="18"/>
          <w:szCs w:val="18"/>
          <w:lang w:val="en-IN"/>
        </w:rPr>
      </w:pPr>
      <w:r w:rsidRPr="004639D5">
        <w:rPr>
          <w:rFonts w:ascii="Arial" w:hAnsi="Arial" w:cs="Arial"/>
          <w:i/>
          <w:iCs/>
          <w:sz w:val="18"/>
          <w:szCs w:val="18"/>
        </w:rPr>
        <w:t xml:space="preserve">(Figures in INR </w:t>
      </w:r>
      <w:r w:rsidR="00F60498">
        <w:rPr>
          <w:rFonts w:ascii="Arial" w:hAnsi="Arial" w:cs="Arial"/>
          <w:i/>
          <w:iCs/>
          <w:sz w:val="18"/>
          <w:szCs w:val="18"/>
        </w:rPr>
        <w:t>Crore</w:t>
      </w:r>
      <w:r w:rsidRPr="004639D5">
        <w:rPr>
          <w:rFonts w:ascii="Arial" w:hAnsi="Arial" w:cs="Arial"/>
          <w:i/>
          <w:iCs/>
          <w:sz w:val="18"/>
          <w:szCs w:val="18"/>
        </w:rPr>
        <w:t>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230"/>
        <w:gridCol w:w="1117"/>
        <w:gridCol w:w="1117"/>
        <w:gridCol w:w="1117"/>
        <w:gridCol w:w="1202"/>
      </w:tblGrid>
      <w:tr w:rsidR="0015603A" w:rsidRPr="007E556B" w14:paraId="0BFB6CD4" w14:textId="21A6E2E7" w:rsidTr="004B1CA8">
        <w:trPr>
          <w:trHeight w:val="300"/>
        </w:trPr>
        <w:tc>
          <w:tcPr>
            <w:tcW w:w="3573" w:type="dxa"/>
            <w:shd w:val="clear" w:color="000000" w:fill="002060"/>
            <w:vAlign w:val="center"/>
            <w:hideMark/>
          </w:tcPr>
          <w:p w14:paraId="16C00769" w14:textId="1415F57D" w:rsidR="0015603A" w:rsidRPr="007E556B" w:rsidRDefault="0015603A" w:rsidP="0015603A">
            <w:pPr>
              <w:spacing w:after="0" w:line="360" w:lineRule="auto"/>
              <w:rPr>
                <w:rFonts w:asciiTheme="minorHAnsi" w:hAnsiTheme="minorHAnsi" w:cstheme="minorHAnsi"/>
                <w:b/>
                <w:bCs/>
                <w:color w:val="FFFFFF"/>
                <w:sz w:val="22"/>
                <w:szCs w:val="22"/>
                <w:lang w:val="en-IN"/>
              </w:rPr>
            </w:pPr>
            <w:r w:rsidRPr="007E556B">
              <w:rPr>
                <w:rFonts w:asciiTheme="minorHAnsi" w:hAnsiTheme="minorHAnsi" w:cstheme="minorHAnsi"/>
                <w:b/>
                <w:bCs/>
                <w:color w:val="FFFFFF"/>
                <w:sz w:val="22"/>
                <w:szCs w:val="22"/>
              </w:rPr>
              <w:t>Particulars</w:t>
            </w:r>
          </w:p>
        </w:tc>
        <w:tc>
          <w:tcPr>
            <w:tcW w:w="1230" w:type="dxa"/>
            <w:shd w:val="clear" w:color="000000" w:fill="002060"/>
            <w:vAlign w:val="center"/>
            <w:hideMark/>
          </w:tcPr>
          <w:p w14:paraId="5FE8F885" w14:textId="58E84562" w:rsidR="0015603A" w:rsidRPr="007E556B" w:rsidRDefault="0015603A" w:rsidP="0015603A">
            <w:pPr>
              <w:spacing w:after="0" w:line="360" w:lineRule="auto"/>
              <w:jc w:val="center"/>
              <w:rPr>
                <w:rFonts w:asciiTheme="minorHAnsi" w:hAnsiTheme="minorHAnsi" w:cstheme="minorHAnsi"/>
                <w:b/>
                <w:bCs/>
                <w:color w:val="FFFFFF"/>
                <w:sz w:val="22"/>
                <w:szCs w:val="22"/>
              </w:rPr>
            </w:pPr>
            <w:r>
              <w:rPr>
                <w:rFonts w:ascii="Calibri" w:hAnsi="Calibri" w:cs="Calibri"/>
                <w:b/>
                <w:bCs/>
                <w:color w:val="FFFFFF"/>
                <w:sz w:val="22"/>
                <w:szCs w:val="22"/>
              </w:rPr>
              <w:t>Mar-20</w:t>
            </w:r>
          </w:p>
        </w:tc>
        <w:tc>
          <w:tcPr>
            <w:tcW w:w="1117" w:type="dxa"/>
            <w:shd w:val="clear" w:color="000000" w:fill="002060"/>
            <w:vAlign w:val="center"/>
          </w:tcPr>
          <w:p w14:paraId="49C83F3C" w14:textId="61BAA681" w:rsidR="0015603A" w:rsidRPr="007E556B" w:rsidRDefault="0015603A" w:rsidP="0015603A">
            <w:pPr>
              <w:spacing w:after="0" w:line="360" w:lineRule="auto"/>
              <w:jc w:val="center"/>
              <w:rPr>
                <w:rFonts w:asciiTheme="minorHAnsi" w:hAnsiTheme="minorHAnsi" w:cstheme="minorHAnsi"/>
                <w:b/>
                <w:bCs/>
                <w:color w:val="FFFFFF"/>
                <w:sz w:val="22"/>
                <w:szCs w:val="22"/>
              </w:rPr>
            </w:pPr>
            <w:r>
              <w:rPr>
                <w:rFonts w:ascii="Calibri" w:hAnsi="Calibri" w:cs="Calibri"/>
                <w:b/>
                <w:bCs/>
                <w:color w:val="FFFFFF"/>
                <w:sz w:val="22"/>
                <w:szCs w:val="22"/>
              </w:rPr>
              <w:t>Mar-21</w:t>
            </w:r>
          </w:p>
        </w:tc>
        <w:tc>
          <w:tcPr>
            <w:tcW w:w="1117" w:type="dxa"/>
            <w:shd w:val="clear" w:color="000000" w:fill="002060"/>
            <w:vAlign w:val="center"/>
            <w:hideMark/>
          </w:tcPr>
          <w:p w14:paraId="0792FB0F" w14:textId="1EF4D4FF" w:rsidR="0015603A" w:rsidRPr="007E556B" w:rsidRDefault="0015603A" w:rsidP="0015603A">
            <w:pPr>
              <w:spacing w:after="0" w:line="360" w:lineRule="auto"/>
              <w:jc w:val="center"/>
              <w:rPr>
                <w:rFonts w:asciiTheme="minorHAnsi" w:hAnsiTheme="minorHAnsi" w:cstheme="minorHAnsi"/>
                <w:b/>
                <w:bCs/>
                <w:color w:val="FFFFFF"/>
                <w:sz w:val="22"/>
                <w:szCs w:val="22"/>
              </w:rPr>
            </w:pPr>
            <w:r>
              <w:rPr>
                <w:rFonts w:ascii="Calibri" w:hAnsi="Calibri" w:cs="Calibri"/>
                <w:b/>
                <w:bCs/>
                <w:color w:val="FFFFFF"/>
                <w:sz w:val="22"/>
                <w:szCs w:val="22"/>
              </w:rPr>
              <w:t>Mar-22</w:t>
            </w:r>
          </w:p>
        </w:tc>
        <w:tc>
          <w:tcPr>
            <w:tcW w:w="1117" w:type="dxa"/>
            <w:shd w:val="clear" w:color="000000" w:fill="002060"/>
            <w:vAlign w:val="center"/>
            <w:hideMark/>
          </w:tcPr>
          <w:p w14:paraId="2CB621C7" w14:textId="47974E5C" w:rsidR="0015603A" w:rsidRPr="007E556B" w:rsidRDefault="0015603A" w:rsidP="0015603A">
            <w:pPr>
              <w:spacing w:after="0" w:line="360" w:lineRule="auto"/>
              <w:jc w:val="center"/>
              <w:rPr>
                <w:rFonts w:asciiTheme="minorHAnsi" w:hAnsiTheme="minorHAnsi" w:cstheme="minorHAnsi"/>
                <w:b/>
                <w:bCs/>
                <w:color w:val="FFFFFF"/>
                <w:sz w:val="22"/>
                <w:szCs w:val="22"/>
              </w:rPr>
            </w:pPr>
            <w:r>
              <w:rPr>
                <w:rFonts w:ascii="Calibri" w:hAnsi="Calibri" w:cs="Calibri"/>
                <w:b/>
                <w:bCs/>
                <w:color w:val="FFFFFF"/>
                <w:sz w:val="22"/>
                <w:szCs w:val="22"/>
              </w:rPr>
              <w:t>Mar-23</w:t>
            </w:r>
          </w:p>
        </w:tc>
        <w:tc>
          <w:tcPr>
            <w:tcW w:w="1202" w:type="dxa"/>
            <w:shd w:val="clear" w:color="000000" w:fill="002060"/>
            <w:vAlign w:val="center"/>
            <w:hideMark/>
          </w:tcPr>
          <w:p w14:paraId="623A9307" w14:textId="0549C627" w:rsidR="0015603A" w:rsidRPr="007E556B" w:rsidRDefault="0015603A" w:rsidP="0015603A">
            <w:pPr>
              <w:spacing w:after="0" w:line="360" w:lineRule="auto"/>
              <w:jc w:val="center"/>
              <w:rPr>
                <w:rFonts w:asciiTheme="minorHAnsi" w:hAnsiTheme="minorHAnsi" w:cstheme="minorHAnsi"/>
                <w:b/>
                <w:bCs/>
                <w:color w:val="FFFFFF"/>
                <w:sz w:val="22"/>
                <w:szCs w:val="22"/>
              </w:rPr>
            </w:pPr>
            <w:r>
              <w:rPr>
                <w:rFonts w:ascii="Calibri" w:hAnsi="Calibri" w:cs="Calibri"/>
                <w:b/>
                <w:bCs/>
                <w:color w:val="FFFFFF"/>
                <w:sz w:val="22"/>
                <w:szCs w:val="22"/>
              </w:rPr>
              <w:t>Mar-24</w:t>
            </w:r>
          </w:p>
        </w:tc>
      </w:tr>
      <w:tr w:rsidR="0015603A" w:rsidRPr="007E556B" w14:paraId="7E95A703" w14:textId="70C5758E" w:rsidTr="004B1CA8">
        <w:trPr>
          <w:trHeight w:val="289"/>
        </w:trPr>
        <w:tc>
          <w:tcPr>
            <w:tcW w:w="3573" w:type="dxa"/>
            <w:shd w:val="clear" w:color="auto" w:fill="auto"/>
            <w:vAlign w:val="center"/>
            <w:hideMark/>
          </w:tcPr>
          <w:p w14:paraId="6B19E634" w14:textId="202D1AE6" w:rsidR="0015603A" w:rsidRPr="0015603A" w:rsidRDefault="0015603A" w:rsidP="0015603A">
            <w:pPr>
              <w:spacing w:after="0"/>
              <w:rPr>
                <w:rFonts w:ascii="Calibri" w:hAnsi="Calibri" w:cs="Calibri"/>
                <w:color w:val="000000"/>
                <w:sz w:val="22"/>
                <w:szCs w:val="22"/>
                <w:lang w:val="en-IN"/>
              </w:rPr>
            </w:pPr>
            <w:r>
              <w:rPr>
                <w:rFonts w:ascii="Calibri" w:hAnsi="Calibri" w:cs="Calibri"/>
                <w:color w:val="000000"/>
                <w:sz w:val="22"/>
                <w:szCs w:val="22"/>
              </w:rPr>
              <w:t>Revenue from Operations</w:t>
            </w:r>
          </w:p>
        </w:tc>
        <w:tc>
          <w:tcPr>
            <w:tcW w:w="1230" w:type="dxa"/>
            <w:shd w:val="clear" w:color="auto" w:fill="auto"/>
            <w:noWrap/>
            <w:vAlign w:val="center"/>
            <w:hideMark/>
          </w:tcPr>
          <w:p w14:paraId="5BA141AD" w14:textId="34880189" w:rsidR="0015603A" w:rsidRPr="007E556B" w:rsidRDefault="0015603A" w:rsidP="0015603A">
            <w:pPr>
              <w:spacing w:after="0" w:line="360" w:lineRule="auto"/>
              <w:ind w:left="-102" w:firstLineChars="15" w:firstLine="33"/>
              <w:jc w:val="center"/>
              <w:rPr>
                <w:rFonts w:asciiTheme="minorHAnsi" w:hAnsiTheme="minorHAnsi" w:cstheme="minorHAnsi"/>
                <w:b/>
                <w:bCs/>
                <w:color w:val="000000"/>
                <w:sz w:val="22"/>
                <w:szCs w:val="22"/>
              </w:rPr>
            </w:pPr>
            <w:r>
              <w:rPr>
                <w:rFonts w:ascii="Calibri" w:hAnsi="Calibri" w:cs="Calibri"/>
                <w:color w:val="000000"/>
                <w:sz w:val="22"/>
                <w:szCs w:val="22"/>
              </w:rPr>
              <w:t>844.88</w:t>
            </w:r>
          </w:p>
        </w:tc>
        <w:tc>
          <w:tcPr>
            <w:tcW w:w="1117" w:type="dxa"/>
            <w:vAlign w:val="center"/>
          </w:tcPr>
          <w:p w14:paraId="778C7BEF" w14:textId="521ECD9C" w:rsidR="0015603A" w:rsidRPr="007E556B" w:rsidRDefault="0015603A" w:rsidP="0015603A">
            <w:pPr>
              <w:spacing w:after="0" w:line="360" w:lineRule="auto"/>
              <w:ind w:left="-102" w:firstLineChars="15" w:firstLine="33"/>
              <w:jc w:val="center"/>
              <w:rPr>
                <w:rFonts w:asciiTheme="minorHAnsi" w:hAnsiTheme="minorHAnsi" w:cstheme="minorHAnsi"/>
                <w:sz w:val="22"/>
                <w:szCs w:val="22"/>
              </w:rPr>
            </w:pPr>
            <w:r>
              <w:rPr>
                <w:rFonts w:ascii="Calibri" w:hAnsi="Calibri" w:cs="Calibri"/>
                <w:color w:val="000000"/>
                <w:sz w:val="22"/>
                <w:szCs w:val="22"/>
              </w:rPr>
              <w:t>838.52</w:t>
            </w:r>
          </w:p>
        </w:tc>
        <w:tc>
          <w:tcPr>
            <w:tcW w:w="1117" w:type="dxa"/>
            <w:shd w:val="clear" w:color="auto" w:fill="auto"/>
            <w:noWrap/>
            <w:vAlign w:val="center"/>
            <w:hideMark/>
          </w:tcPr>
          <w:p w14:paraId="546177EB" w14:textId="02D7D57B" w:rsidR="0015603A" w:rsidRPr="007E556B" w:rsidRDefault="0015603A" w:rsidP="0015603A">
            <w:pPr>
              <w:spacing w:after="0" w:line="360" w:lineRule="auto"/>
              <w:ind w:left="-102" w:firstLineChars="15" w:firstLine="33"/>
              <w:jc w:val="center"/>
              <w:rPr>
                <w:rFonts w:asciiTheme="minorHAnsi" w:hAnsiTheme="minorHAnsi" w:cstheme="minorHAnsi"/>
                <w:b/>
                <w:bCs/>
                <w:color w:val="000000"/>
                <w:sz w:val="22"/>
                <w:szCs w:val="22"/>
              </w:rPr>
            </w:pPr>
            <w:r>
              <w:rPr>
                <w:rFonts w:ascii="Calibri" w:hAnsi="Calibri" w:cs="Calibri"/>
                <w:color w:val="000000"/>
                <w:sz w:val="22"/>
                <w:szCs w:val="22"/>
              </w:rPr>
              <w:t>861.36</w:t>
            </w:r>
          </w:p>
        </w:tc>
        <w:tc>
          <w:tcPr>
            <w:tcW w:w="1117" w:type="dxa"/>
            <w:shd w:val="clear" w:color="auto" w:fill="auto"/>
            <w:noWrap/>
            <w:vAlign w:val="center"/>
            <w:hideMark/>
          </w:tcPr>
          <w:p w14:paraId="3A4245B1" w14:textId="1339C3AA" w:rsidR="0015603A" w:rsidRPr="007E556B" w:rsidRDefault="0015603A" w:rsidP="0015603A">
            <w:pPr>
              <w:spacing w:after="0" w:line="360" w:lineRule="auto"/>
              <w:ind w:left="-102" w:firstLineChars="15" w:firstLine="33"/>
              <w:jc w:val="center"/>
              <w:rPr>
                <w:rFonts w:asciiTheme="minorHAnsi" w:hAnsiTheme="minorHAnsi" w:cstheme="minorHAnsi"/>
                <w:b/>
                <w:bCs/>
                <w:color w:val="000000"/>
                <w:sz w:val="22"/>
                <w:szCs w:val="22"/>
              </w:rPr>
            </w:pPr>
            <w:r>
              <w:rPr>
                <w:rFonts w:ascii="Calibri" w:hAnsi="Calibri" w:cs="Calibri"/>
                <w:color w:val="000000"/>
                <w:sz w:val="22"/>
                <w:szCs w:val="22"/>
              </w:rPr>
              <w:t>874.83</w:t>
            </w:r>
          </w:p>
        </w:tc>
        <w:tc>
          <w:tcPr>
            <w:tcW w:w="1202" w:type="dxa"/>
            <w:shd w:val="clear" w:color="auto" w:fill="auto"/>
            <w:noWrap/>
            <w:vAlign w:val="center"/>
            <w:hideMark/>
          </w:tcPr>
          <w:p w14:paraId="1B78708B" w14:textId="5BCE10A9" w:rsidR="0015603A" w:rsidRPr="007E556B" w:rsidRDefault="0015603A" w:rsidP="0015603A">
            <w:pPr>
              <w:spacing w:after="0" w:line="360" w:lineRule="auto"/>
              <w:ind w:left="-102" w:firstLineChars="15" w:firstLine="33"/>
              <w:jc w:val="center"/>
              <w:rPr>
                <w:rFonts w:asciiTheme="minorHAnsi" w:hAnsiTheme="minorHAnsi" w:cstheme="minorHAnsi"/>
                <w:b/>
                <w:bCs/>
                <w:color w:val="000000"/>
                <w:sz w:val="22"/>
                <w:szCs w:val="22"/>
              </w:rPr>
            </w:pPr>
            <w:r>
              <w:rPr>
                <w:rFonts w:ascii="Calibri" w:hAnsi="Calibri" w:cs="Calibri"/>
                <w:color w:val="000000"/>
                <w:sz w:val="22"/>
                <w:szCs w:val="22"/>
              </w:rPr>
              <w:t>834.19</w:t>
            </w:r>
          </w:p>
        </w:tc>
      </w:tr>
      <w:tr w:rsidR="0015603A" w:rsidRPr="007E556B" w14:paraId="15921021" w14:textId="44AFA097" w:rsidTr="004B1CA8">
        <w:trPr>
          <w:trHeight w:val="167"/>
        </w:trPr>
        <w:tc>
          <w:tcPr>
            <w:tcW w:w="3573" w:type="dxa"/>
            <w:shd w:val="clear" w:color="auto" w:fill="auto"/>
            <w:vAlign w:val="bottom"/>
            <w:hideMark/>
          </w:tcPr>
          <w:p w14:paraId="6DA4D3D5" w14:textId="06662321"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Energy &amp; Other Re-imbursements</w:t>
            </w:r>
          </w:p>
        </w:tc>
        <w:tc>
          <w:tcPr>
            <w:tcW w:w="1230" w:type="dxa"/>
            <w:shd w:val="clear" w:color="auto" w:fill="auto"/>
            <w:noWrap/>
            <w:vAlign w:val="center"/>
            <w:hideMark/>
          </w:tcPr>
          <w:p w14:paraId="675F791B" w14:textId="48EC3C17"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572.06</w:t>
            </w:r>
          </w:p>
        </w:tc>
        <w:tc>
          <w:tcPr>
            <w:tcW w:w="1117" w:type="dxa"/>
            <w:vAlign w:val="center"/>
          </w:tcPr>
          <w:p w14:paraId="1189F9B6" w14:textId="49094818"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571.16</w:t>
            </w:r>
          </w:p>
        </w:tc>
        <w:tc>
          <w:tcPr>
            <w:tcW w:w="1117" w:type="dxa"/>
            <w:shd w:val="clear" w:color="auto" w:fill="auto"/>
            <w:noWrap/>
            <w:vAlign w:val="center"/>
            <w:hideMark/>
          </w:tcPr>
          <w:p w14:paraId="54B5DBD8" w14:textId="4CA4242C"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601.37</w:t>
            </w:r>
          </w:p>
        </w:tc>
        <w:tc>
          <w:tcPr>
            <w:tcW w:w="1117" w:type="dxa"/>
            <w:shd w:val="clear" w:color="auto" w:fill="auto"/>
            <w:noWrap/>
            <w:vAlign w:val="center"/>
            <w:hideMark/>
          </w:tcPr>
          <w:p w14:paraId="5FBFE1E8" w14:textId="0A688D7C"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583.03</w:t>
            </w:r>
          </w:p>
        </w:tc>
        <w:tc>
          <w:tcPr>
            <w:tcW w:w="1202" w:type="dxa"/>
            <w:shd w:val="clear" w:color="auto" w:fill="auto"/>
            <w:noWrap/>
            <w:vAlign w:val="center"/>
            <w:hideMark/>
          </w:tcPr>
          <w:p w14:paraId="5F4A6575" w14:textId="29DC3DAA"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537.82</w:t>
            </w:r>
          </w:p>
        </w:tc>
      </w:tr>
      <w:tr w:rsidR="0015603A" w:rsidRPr="007E556B" w14:paraId="4BDC7F58" w14:textId="77777777" w:rsidTr="004B1CA8">
        <w:trPr>
          <w:trHeight w:val="300"/>
        </w:trPr>
        <w:tc>
          <w:tcPr>
            <w:tcW w:w="3573" w:type="dxa"/>
            <w:shd w:val="clear" w:color="auto" w:fill="auto"/>
            <w:vAlign w:val="bottom"/>
          </w:tcPr>
          <w:p w14:paraId="76837693" w14:textId="175E6994"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Other Income</w:t>
            </w:r>
          </w:p>
        </w:tc>
        <w:tc>
          <w:tcPr>
            <w:tcW w:w="1230" w:type="dxa"/>
            <w:shd w:val="clear" w:color="auto" w:fill="auto"/>
            <w:noWrap/>
            <w:vAlign w:val="center"/>
          </w:tcPr>
          <w:p w14:paraId="2C68EA54" w14:textId="1E183C24"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20.29</w:t>
            </w:r>
          </w:p>
        </w:tc>
        <w:tc>
          <w:tcPr>
            <w:tcW w:w="1117" w:type="dxa"/>
            <w:vAlign w:val="center"/>
          </w:tcPr>
          <w:p w14:paraId="4FF254FB" w14:textId="6D01D171"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39.16</w:t>
            </w:r>
          </w:p>
        </w:tc>
        <w:tc>
          <w:tcPr>
            <w:tcW w:w="1117" w:type="dxa"/>
            <w:shd w:val="clear" w:color="auto" w:fill="auto"/>
            <w:noWrap/>
            <w:vAlign w:val="center"/>
          </w:tcPr>
          <w:p w14:paraId="1EB3116E" w14:textId="41855E58"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14.16</w:t>
            </w:r>
          </w:p>
        </w:tc>
        <w:tc>
          <w:tcPr>
            <w:tcW w:w="1117" w:type="dxa"/>
            <w:shd w:val="clear" w:color="auto" w:fill="auto"/>
            <w:noWrap/>
            <w:vAlign w:val="center"/>
          </w:tcPr>
          <w:p w14:paraId="56B0602F" w14:textId="5B13E9DF"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27.47</w:t>
            </w:r>
          </w:p>
        </w:tc>
        <w:tc>
          <w:tcPr>
            <w:tcW w:w="1202" w:type="dxa"/>
            <w:shd w:val="clear" w:color="auto" w:fill="auto"/>
            <w:noWrap/>
            <w:vAlign w:val="center"/>
          </w:tcPr>
          <w:p w14:paraId="4766BFE5" w14:textId="65A9E2A4"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51.24</w:t>
            </w:r>
          </w:p>
        </w:tc>
      </w:tr>
      <w:tr w:rsidR="0015603A" w:rsidRPr="007E556B" w14:paraId="5898746B" w14:textId="2F5FB08A" w:rsidTr="004B1CA8">
        <w:trPr>
          <w:trHeight w:val="300"/>
        </w:trPr>
        <w:tc>
          <w:tcPr>
            <w:tcW w:w="3573" w:type="dxa"/>
            <w:shd w:val="clear" w:color="auto" w:fill="DEEAF6" w:themeFill="accent1" w:themeFillTint="33"/>
            <w:vAlign w:val="bottom"/>
            <w:hideMark/>
          </w:tcPr>
          <w:p w14:paraId="1F817731" w14:textId="0B1A642D"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b/>
                <w:bCs/>
                <w:color w:val="000000"/>
                <w:sz w:val="22"/>
                <w:szCs w:val="22"/>
              </w:rPr>
              <w:t>Total Revenue</w:t>
            </w:r>
          </w:p>
        </w:tc>
        <w:tc>
          <w:tcPr>
            <w:tcW w:w="1230" w:type="dxa"/>
            <w:shd w:val="clear" w:color="auto" w:fill="DEEAF6" w:themeFill="accent1" w:themeFillTint="33"/>
            <w:noWrap/>
            <w:vAlign w:val="center"/>
            <w:hideMark/>
          </w:tcPr>
          <w:p w14:paraId="44C644EE" w14:textId="65C33BA4" w:rsidR="0015603A" w:rsidRPr="007E556B" w:rsidRDefault="0015603A" w:rsidP="0015603A">
            <w:pPr>
              <w:spacing w:after="0" w:line="360" w:lineRule="auto"/>
              <w:jc w:val="center"/>
              <w:rPr>
                <w:rFonts w:asciiTheme="minorHAnsi" w:hAnsiTheme="minorHAnsi" w:cstheme="minorHAnsi"/>
                <w:color w:val="000000"/>
                <w:sz w:val="22"/>
                <w:szCs w:val="22"/>
              </w:rPr>
            </w:pPr>
            <w:r>
              <w:rPr>
                <w:rFonts w:ascii="Calibri" w:hAnsi="Calibri" w:cs="Calibri"/>
                <w:b/>
                <w:bCs/>
                <w:color w:val="000000"/>
                <w:sz w:val="22"/>
                <w:szCs w:val="22"/>
              </w:rPr>
              <w:t>1,437.23</w:t>
            </w:r>
          </w:p>
        </w:tc>
        <w:tc>
          <w:tcPr>
            <w:tcW w:w="1117" w:type="dxa"/>
            <w:shd w:val="clear" w:color="auto" w:fill="DEEAF6" w:themeFill="accent1" w:themeFillTint="33"/>
            <w:vAlign w:val="center"/>
          </w:tcPr>
          <w:p w14:paraId="507532A4" w14:textId="14C9FA64" w:rsidR="0015603A" w:rsidRPr="007E556B" w:rsidRDefault="0015603A" w:rsidP="0015603A">
            <w:pPr>
              <w:spacing w:after="0" w:line="360" w:lineRule="auto"/>
              <w:jc w:val="center"/>
              <w:rPr>
                <w:rFonts w:asciiTheme="minorHAnsi" w:hAnsiTheme="minorHAnsi" w:cstheme="minorHAnsi"/>
                <w:b/>
                <w:bCs/>
                <w:sz w:val="22"/>
                <w:szCs w:val="22"/>
              </w:rPr>
            </w:pPr>
            <w:r>
              <w:rPr>
                <w:rFonts w:ascii="Calibri" w:hAnsi="Calibri" w:cs="Calibri"/>
                <w:b/>
                <w:bCs/>
                <w:color w:val="000000"/>
                <w:sz w:val="22"/>
                <w:szCs w:val="22"/>
              </w:rPr>
              <w:t>1,448.84</w:t>
            </w:r>
          </w:p>
        </w:tc>
        <w:tc>
          <w:tcPr>
            <w:tcW w:w="1117" w:type="dxa"/>
            <w:shd w:val="clear" w:color="auto" w:fill="DEEAF6" w:themeFill="accent1" w:themeFillTint="33"/>
            <w:noWrap/>
            <w:vAlign w:val="center"/>
            <w:hideMark/>
          </w:tcPr>
          <w:p w14:paraId="054F25CC" w14:textId="05BA94C1" w:rsidR="0015603A" w:rsidRPr="007E556B" w:rsidRDefault="0015603A" w:rsidP="0015603A">
            <w:pPr>
              <w:spacing w:after="0" w:line="360" w:lineRule="auto"/>
              <w:jc w:val="center"/>
              <w:rPr>
                <w:rFonts w:asciiTheme="minorHAnsi" w:hAnsiTheme="minorHAnsi" w:cstheme="minorHAnsi"/>
                <w:color w:val="000000"/>
                <w:sz w:val="22"/>
                <w:szCs w:val="22"/>
              </w:rPr>
            </w:pPr>
            <w:r>
              <w:rPr>
                <w:rFonts w:ascii="Calibri" w:hAnsi="Calibri" w:cs="Calibri"/>
                <w:b/>
                <w:bCs/>
                <w:color w:val="000000"/>
                <w:sz w:val="22"/>
                <w:szCs w:val="22"/>
              </w:rPr>
              <w:t>1,476.89</w:t>
            </w:r>
          </w:p>
        </w:tc>
        <w:tc>
          <w:tcPr>
            <w:tcW w:w="1117" w:type="dxa"/>
            <w:shd w:val="clear" w:color="auto" w:fill="DEEAF6" w:themeFill="accent1" w:themeFillTint="33"/>
            <w:noWrap/>
            <w:vAlign w:val="center"/>
            <w:hideMark/>
          </w:tcPr>
          <w:p w14:paraId="4869B396" w14:textId="51A42945" w:rsidR="0015603A" w:rsidRPr="007E556B" w:rsidRDefault="0015603A" w:rsidP="0015603A">
            <w:pPr>
              <w:spacing w:after="0" w:line="360" w:lineRule="auto"/>
              <w:jc w:val="center"/>
              <w:rPr>
                <w:rFonts w:asciiTheme="minorHAnsi" w:hAnsiTheme="minorHAnsi" w:cstheme="minorHAnsi"/>
                <w:color w:val="000000"/>
                <w:sz w:val="22"/>
                <w:szCs w:val="22"/>
              </w:rPr>
            </w:pPr>
            <w:r>
              <w:rPr>
                <w:rFonts w:ascii="Calibri" w:hAnsi="Calibri" w:cs="Calibri"/>
                <w:b/>
                <w:bCs/>
                <w:color w:val="000000"/>
                <w:sz w:val="22"/>
                <w:szCs w:val="22"/>
              </w:rPr>
              <w:t>1,485.33</w:t>
            </w:r>
          </w:p>
        </w:tc>
        <w:tc>
          <w:tcPr>
            <w:tcW w:w="1202" w:type="dxa"/>
            <w:shd w:val="clear" w:color="auto" w:fill="DEEAF6" w:themeFill="accent1" w:themeFillTint="33"/>
            <w:noWrap/>
            <w:vAlign w:val="center"/>
            <w:hideMark/>
          </w:tcPr>
          <w:p w14:paraId="1A1B6F57" w14:textId="4597C5F4" w:rsidR="0015603A" w:rsidRPr="007E556B" w:rsidRDefault="0015603A" w:rsidP="0015603A">
            <w:pPr>
              <w:spacing w:after="0" w:line="360" w:lineRule="auto"/>
              <w:jc w:val="center"/>
              <w:rPr>
                <w:rFonts w:asciiTheme="minorHAnsi" w:hAnsiTheme="minorHAnsi" w:cstheme="minorHAnsi"/>
                <w:color w:val="000000"/>
                <w:sz w:val="22"/>
                <w:szCs w:val="22"/>
              </w:rPr>
            </w:pPr>
            <w:r>
              <w:rPr>
                <w:rFonts w:ascii="Calibri" w:hAnsi="Calibri" w:cs="Calibri"/>
                <w:b/>
                <w:bCs/>
                <w:color w:val="000000"/>
                <w:sz w:val="22"/>
                <w:szCs w:val="22"/>
              </w:rPr>
              <w:t>1,423.25</w:t>
            </w:r>
          </w:p>
        </w:tc>
      </w:tr>
      <w:tr w:rsidR="0015603A" w:rsidRPr="007E556B" w14:paraId="789B6250" w14:textId="15F74E97" w:rsidTr="004B1CA8">
        <w:trPr>
          <w:trHeight w:val="300"/>
        </w:trPr>
        <w:tc>
          <w:tcPr>
            <w:tcW w:w="3573" w:type="dxa"/>
            <w:shd w:val="clear" w:color="auto" w:fill="auto"/>
            <w:vAlign w:val="center"/>
            <w:hideMark/>
          </w:tcPr>
          <w:p w14:paraId="6BB71266" w14:textId="2DEC574C"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Infrastructure O&amp;M Cost</w:t>
            </w:r>
          </w:p>
        </w:tc>
        <w:tc>
          <w:tcPr>
            <w:tcW w:w="1230" w:type="dxa"/>
            <w:shd w:val="clear" w:color="auto" w:fill="auto"/>
            <w:noWrap/>
            <w:vAlign w:val="center"/>
            <w:hideMark/>
          </w:tcPr>
          <w:p w14:paraId="6949B19D" w14:textId="1B2F931F" w:rsidR="0015603A" w:rsidRPr="007E556B" w:rsidRDefault="0015603A" w:rsidP="0015603A">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864.36</w:t>
            </w:r>
          </w:p>
        </w:tc>
        <w:tc>
          <w:tcPr>
            <w:tcW w:w="1117" w:type="dxa"/>
            <w:vAlign w:val="center"/>
          </w:tcPr>
          <w:p w14:paraId="066CEE90" w14:textId="2C473AB7" w:rsidR="0015603A" w:rsidRPr="007E556B" w:rsidRDefault="0015603A" w:rsidP="0015603A">
            <w:pPr>
              <w:spacing w:after="0" w:line="360" w:lineRule="auto"/>
              <w:ind w:left="-100" w:firstLineChars="15" w:firstLine="33"/>
              <w:jc w:val="center"/>
              <w:rPr>
                <w:rFonts w:asciiTheme="minorHAnsi" w:hAnsiTheme="minorHAnsi" w:cstheme="minorHAnsi"/>
                <w:sz w:val="22"/>
                <w:szCs w:val="22"/>
              </w:rPr>
            </w:pPr>
            <w:r>
              <w:rPr>
                <w:rFonts w:ascii="Calibri" w:hAnsi="Calibri" w:cs="Calibri"/>
                <w:color w:val="000000"/>
                <w:sz w:val="22"/>
                <w:szCs w:val="22"/>
              </w:rPr>
              <w:t>871.03</w:t>
            </w:r>
          </w:p>
        </w:tc>
        <w:tc>
          <w:tcPr>
            <w:tcW w:w="1117" w:type="dxa"/>
            <w:shd w:val="clear" w:color="auto" w:fill="auto"/>
            <w:noWrap/>
            <w:vAlign w:val="center"/>
            <w:hideMark/>
          </w:tcPr>
          <w:p w14:paraId="4B2FB6DD" w14:textId="1272B840" w:rsidR="0015603A" w:rsidRPr="007E556B" w:rsidRDefault="0015603A" w:rsidP="0015603A">
            <w:pPr>
              <w:spacing w:after="0" w:line="360" w:lineRule="auto"/>
              <w:ind w:left="-100" w:firstLineChars="15" w:firstLine="33"/>
              <w:jc w:val="center"/>
              <w:rPr>
                <w:rFonts w:asciiTheme="minorHAnsi" w:hAnsiTheme="minorHAnsi" w:cstheme="minorHAnsi"/>
                <w:color w:val="000000"/>
                <w:sz w:val="22"/>
                <w:szCs w:val="22"/>
              </w:rPr>
            </w:pPr>
            <w:r>
              <w:rPr>
                <w:rFonts w:ascii="Calibri" w:hAnsi="Calibri" w:cs="Calibri"/>
                <w:color w:val="000000"/>
                <w:sz w:val="22"/>
                <w:szCs w:val="22"/>
              </w:rPr>
              <w:t>880.81</w:t>
            </w:r>
          </w:p>
        </w:tc>
        <w:tc>
          <w:tcPr>
            <w:tcW w:w="1117" w:type="dxa"/>
            <w:shd w:val="clear" w:color="auto" w:fill="auto"/>
            <w:noWrap/>
            <w:vAlign w:val="center"/>
            <w:hideMark/>
          </w:tcPr>
          <w:p w14:paraId="00872C88" w14:textId="36F16DB3" w:rsidR="0015603A" w:rsidRPr="007E556B" w:rsidRDefault="0015603A" w:rsidP="0015603A">
            <w:pPr>
              <w:spacing w:after="0" w:line="360" w:lineRule="auto"/>
              <w:ind w:left="-100" w:firstLineChars="15" w:firstLine="33"/>
              <w:jc w:val="center"/>
              <w:rPr>
                <w:rFonts w:asciiTheme="minorHAnsi" w:hAnsiTheme="minorHAnsi" w:cstheme="minorHAnsi"/>
                <w:color w:val="000000"/>
                <w:sz w:val="22"/>
                <w:szCs w:val="22"/>
              </w:rPr>
            </w:pPr>
            <w:r>
              <w:rPr>
                <w:rFonts w:ascii="Calibri" w:hAnsi="Calibri" w:cs="Calibri"/>
                <w:color w:val="000000"/>
                <w:sz w:val="22"/>
                <w:szCs w:val="22"/>
              </w:rPr>
              <w:t>817.75</w:t>
            </w:r>
          </w:p>
        </w:tc>
        <w:tc>
          <w:tcPr>
            <w:tcW w:w="1202" w:type="dxa"/>
            <w:shd w:val="clear" w:color="auto" w:fill="auto"/>
            <w:noWrap/>
            <w:vAlign w:val="center"/>
            <w:hideMark/>
          </w:tcPr>
          <w:p w14:paraId="5CC414A1" w14:textId="10524562" w:rsidR="0015603A" w:rsidRPr="007E556B" w:rsidRDefault="0015603A" w:rsidP="0015603A">
            <w:pPr>
              <w:spacing w:after="0" w:line="360" w:lineRule="auto"/>
              <w:ind w:left="-100" w:firstLineChars="15" w:firstLine="33"/>
              <w:jc w:val="center"/>
              <w:rPr>
                <w:rFonts w:asciiTheme="minorHAnsi" w:hAnsiTheme="minorHAnsi" w:cstheme="minorHAnsi"/>
                <w:color w:val="000000"/>
                <w:sz w:val="22"/>
                <w:szCs w:val="22"/>
              </w:rPr>
            </w:pPr>
            <w:r>
              <w:rPr>
                <w:rFonts w:ascii="Calibri" w:hAnsi="Calibri" w:cs="Calibri"/>
                <w:color w:val="000000"/>
                <w:sz w:val="22"/>
                <w:szCs w:val="22"/>
              </w:rPr>
              <w:t>795.18</w:t>
            </w:r>
          </w:p>
        </w:tc>
      </w:tr>
      <w:tr w:rsidR="0015603A" w:rsidRPr="007E556B" w14:paraId="456A264F" w14:textId="3DFAD017" w:rsidTr="004B1CA8">
        <w:trPr>
          <w:trHeight w:val="300"/>
        </w:trPr>
        <w:tc>
          <w:tcPr>
            <w:tcW w:w="3573" w:type="dxa"/>
            <w:shd w:val="clear" w:color="auto" w:fill="auto"/>
            <w:vAlign w:val="center"/>
          </w:tcPr>
          <w:p w14:paraId="7C17965D" w14:textId="68931209" w:rsidR="0015603A" w:rsidRPr="007E556B" w:rsidRDefault="0015603A" w:rsidP="0015603A">
            <w:pPr>
              <w:spacing w:after="0" w:line="360" w:lineRule="auto"/>
              <w:rPr>
                <w:rFonts w:asciiTheme="minorHAnsi" w:hAnsiTheme="minorHAnsi" w:cstheme="minorHAnsi"/>
                <w:b/>
                <w:bCs/>
                <w:color w:val="000000"/>
                <w:sz w:val="22"/>
                <w:szCs w:val="22"/>
              </w:rPr>
            </w:pPr>
            <w:r>
              <w:rPr>
                <w:rFonts w:ascii="Calibri" w:hAnsi="Calibri" w:cs="Calibri"/>
                <w:color w:val="000000"/>
                <w:sz w:val="22"/>
                <w:szCs w:val="22"/>
              </w:rPr>
              <w:t>Employee Benefit Cost</w:t>
            </w:r>
          </w:p>
        </w:tc>
        <w:tc>
          <w:tcPr>
            <w:tcW w:w="1230" w:type="dxa"/>
            <w:shd w:val="clear" w:color="auto" w:fill="auto"/>
            <w:noWrap/>
            <w:vAlign w:val="center"/>
          </w:tcPr>
          <w:p w14:paraId="2FF05F01" w14:textId="0F68BBFB" w:rsidR="0015603A" w:rsidRPr="007E556B" w:rsidRDefault="0015603A" w:rsidP="0015603A">
            <w:pPr>
              <w:spacing w:after="0" w:line="360" w:lineRule="auto"/>
              <w:ind w:left="-102" w:firstLineChars="15" w:firstLine="33"/>
              <w:jc w:val="center"/>
              <w:rPr>
                <w:rFonts w:asciiTheme="minorHAnsi" w:hAnsiTheme="minorHAnsi" w:cstheme="minorHAnsi"/>
                <w:b/>
                <w:bCs/>
                <w:color w:val="000000"/>
                <w:sz w:val="22"/>
                <w:szCs w:val="22"/>
              </w:rPr>
            </w:pPr>
            <w:r>
              <w:rPr>
                <w:rFonts w:ascii="Calibri" w:hAnsi="Calibri" w:cs="Calibri"/>
                <w:color w:val="000000"/>
                <w:sz w:val="22"/>
                <w:szCs w:val="22"/>
              </w:rPr>
              <w:t>61.41</w:t>
            </w:r>
          </w:p>
        </w:tc>
        <w:tc>
          <w:tcPr>
            <w:tcW w:w="1117" w:type="dxa"/>
            <w:vAlign w:val="center"/>
          </w:tcPr>
          <w:p w14:paraId="1779B3A4" w14:textId="660F971F" w:rsidR="0015603A" w:rsidRPr="007E556B" w:rsidRDefault="0015603A" w:rsidP="0015603A">
            <w:pPr>
              <w:spacing w:after="0" w:line="360" w:lineRule="auto"/>
              <w:ind w:left="-102"/>
              <w:jc w:val="center"/>
              <w:rPr>
                <w:rFonts w:asciiTheme="minorHAnsi" w:hAnsiTheme="minorHAnsi" w:cstheme="minorHAnsi"/>
                <w:sz w:val="22"/>
                <w:szCs w:val="22"/>
              </w:rPr>
            </w:pPr>
            <w:r>
              <w:rPr>
                <w:rFonts w:ascii="Calibri" w:hAnsi="Calibri" w:cs="Calibri"/>
                <w:color w:val="000000"/>
                <w:sz w:val="22"/>
                <w:szCs w:val="22"/>
              </w:rPr>
              <w:t>61.42</w:t>
            </w:r>
          </w:p>
        </w:tc>
        <w:tc>
          <w:tcPr>
            <w:tcW w:w="1117" w:type="dxa"/>
            <w:shd w:val="clear" w:color="auto" w:fill="auto"/>
            <w:noWrap/>
            <w:vAlign w:val="center"/>
          </w:tcPr>
          <w:p w14:paraId="33796E86" w14:textId="5C428C76" w:rsidR="0015603A" w:rsidRPr="007E556B" w:rsidRDefault="0015603A" w:rsidP="0015603A">
            <w:pPr>
              <w:spacing w:after="0" w:line="360" w:lineRule="auto"/>
              <w:ind w:left="-102"/>
              <w:jc w:val="center"/>
              <w:rPr>
                <w:rFonts w:asciiTheme="minorHAnsi" w:hAnsiTheme="minorHAnsi" w:cstheme="minorHAnsi"/>
                <w:b/>
                <w:bCs/>
                <w:color w:val="000000"/>
                <w:sz w:val="22"/>
                <w:szCs w:val="22"/>
              </w:rPr>
            </w:pPr>
            <w:r>
              <w:rPr>
                <w:rFonts w:ascii="Calibri" w:hAnsi="Calibri" w:cs="Calibri"/>
                <w:color w:val="000000"/>
                <w:sz w:val="22"/>
                <w:szCs w:val="22"/>
              </w:rPr>
              <w:t>62.07</w:t>
            </w:r>
          </w:p>
        </w:tc>
        <w:tc>
          <w:tcPr>
            <w:tcW w:w="1117" w:type="dxa"/>
            <w:shd w:val="clear" w:color="auto" w:fill="auto"/>
            <w:noWrap/>
            <w:vAlign w:val="center"/>
          </w:tcPr>
          <w:p w14:paraId="5491D741" w14:textId="068C1D14" w:rsidR="0015603A" w:rsidRPr="007E556B" w:rsidRDefault="0015603A" w:rsidP="0015603A">
            <w:pPr>
              <w:spacing w:after="0" w:line="360" w:lineRule="auto"/>
              <w:ind w:left="-102"/>
              <w:jc w:val="center"/>
              <w:rPr>
                <w:rFonts w:asciiTheme="minorHAnsi" w:hAnsiTheme="minorHAnsi" w:cstheme="minorHAnsi"/>
                <w:b/>
                <w:bCs/>
                <w:color w:val="000000"/>
                <w:sz w:val="22"/>
                <w:szCs w:val="22"/>
              </w:rPr>
            </w:pPr>
            <w:r>
              <w:rPr>
                <w:rFonts w:ascii="Calibri" w:hAnsi="Calibri" w:cs="Calibri"/>
                <w:color w:val="000000"/>
                <w:sz w:val="22"/>
                <w:szCs w:val="22"/>
              </w:rPr>
              <w:t>63.40</w:t>
            </w:r>
          </w:p>
        </w:tc>
        <w:tc>
          <w:tcPr>
            <w:tcW w:w="1202" w:type="dxa"/>
            <w:shd w:val="clear" w:color="auto" w:fill="auto"/>
            <w:noWrap/>
            <w:vAlign w:val="center"/>
          </w:tcPr>
          <w:p w14:paraId="79FBCAE0" w14:textId="7F6C680D" w:rsidR="0015603A" w:rsidRPr="007E556B" w:rsidRDefault="0015603A" w:rsidP="0015603A">
            <w:pPr>
              <w:spacing w:after="0" w:line="360" w:lineRule="auto"/>
              <w:ind w:left="-102"/>
              <w:jc w:val="center"/>
              <w:rPr>
                <w:rFonts w:asciiTheme="minorHAnsi" w:hAnsiTheme="minorHAnsi" w:cstheme="minorHAnsi"/>
                <w:b/>
                <w:bCs/>
                <w:color w:val="000000"/>
                <w:sz w:val="22"/>
                <w:szCs w:val="22"/>
              </w:rPr>
            </w:pPr>
            <w:r>
              <w:rPr>
                <w:rFonts w:ascii="Calibri" w:hAnsi="Calibri" w:cs="Calibri"/>
                <w:color w:val="000000"/>
                <w:sz w:val="22"/>
                <w:szCs w:val="22"/>
              </w:rPr>
              <w:t>71.77</w:t>
            </w:r>
          </w:p>
        </w:tc>
      </w:tr>
      <w:tr w:rsidR="0015603A" w:rsidRPr="007E556B" w14:paraId="2FE17A1E" w14:textId="60EA9A27" w:rsidTr="004B1CA8">
        <w:trPr>
          <w:trHeight w:val="300"/>
        </w:trPr>
        <w:tc>
          <w:tcPr>
            <w:tcW w:w="3573" w:type="dxa"/>
            <w:shd w:val="clear" w:color="auto" w:fill="auto"/>
            <w:vAlign w:val="center"/>
          </w:tcPr>
          <w:p w14:paraId="144C79F8" w14:textId="7CE0B501" w:rsidR="0015603A" w:rsidRPr="007E556B" w:rsidRDefault="0015603A" w:rsidP="0015603A">
            <w:pPr>
              <w:spacing w:after="0" w:line="360" w:lineRule="auto"/>
              <w:rPr>
                <w:rFonts w:asciiTheme="minorHAnsi" w:hAnsiTheme="minorHAnsi" w:cstheme="minorHAnsi"/>
                <w:b/>
                <w:bCs/>
                <w:color w:val="000000"/>
                <w:sz w:val="22"/>
                <w:szCs w:val="22"/>
              </w:rPr>
            </w:pPr>
            <w:r>
              <w:rPr>
                <w:rFonts w:ascii="Calibri" w:hAnsi="Calibri" w:cs="Calibri"/>
                <w:color w:val="000000"/>
                <w:sz w:val="22"/>
                <w:szCs w:val="22"/>
              </w:rPr>
              <w:t>Bad Debts &amp; Prov.</w:t>
            </w:r>
          </w:p>
        </w:tc>
        <w:tc>
          <w:tcPr>
            <w:tcW w:w="1230" w:type="dxa"/>
            <w:shd w:val="clear" w:color="auto" w:fill="auto"/>
            <w:noWrap/>
            <w:vAlign w:val="center"/>
          </w:tcPr>
          <w:p w14:paraId="54EFEDB1" w14:textId="5C609CAB"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52.36</w:t>
            </w:r>
          </w:p>
        </w:tc>
        <w:tc>
          <w:tcPr>
            <w:tcW w:w="1117" w:type="dxa"/>
            <w:vAlign w:val="center"/>
          </w:tcPr>
          <w:p w14:paraId="58BAD403" w14:textId="6DC638EC"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4.33</w:t>
            </w:r>
          </w:p>
        </w:tc>
        <w:tc>
          <w:tcPr>
            <w:tcW w:w="1117" w:type="dxa"/>
            <w:shd w:val="clear" w:color="auto" w:fill="auto"/>
            <w:noWrap/>
            <w:vAlign w:val="center"/>
          </w:tcPr>
          <w:p w14:paraId="137E8DE6" w14:textId="7A007018"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11.60</w:t>
            </w:r>
          </w:p>
        </w:tc>
        <w:tc>
          <w:tcPr>
            <w:tcW w:w="1117" w:type="dxa"/>
            <w:shd w:val="clear" w:color="auto" w:fill="auto"/>
            <w:noWrap/>
            <w:vAlign w:val="center"/>
          </w:tcPr>
          <w:p w14:paraId="791667EC" w14:textId="1142D4C4"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95.49</w:t>
            </w:r>
          </w:p>
        </w:tc>
        <w:tc>
          <w:tcPr>
            <w:tcW w:w="1202" w:type="dxa"/>
            <w:shd w:val="clear" w:color="auto" w:fill="auto"/>
            <w:noWrap/>
            <w:vAlign w:val="center"/>
          </w:tcPr>
          <w:p w14:paraId="6B9DD1DA" w14:textId="4A3FCA0D"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40.49</w:t>
            </w:r>
          </w:p>
        </w:tc>
      </w:tr>
      <w:tr w:rsidR="0015603A" w:rsidRPr="007E556B" w14:paraId="5B675773" w14:textId="77777777" w:rsidTr="004B1CA8">
        <w:trPr>
          <w:trHeight w:val="300"/>
        </w:trPr>
        <w:tc>
          <w:tcPr>
            <w:tcW w:w="3573" w:type="dxa"/>
            <w:shd w:val="clear" w:color="auto" w:fill="auto"/>
            <w:vAlign w:val="center"/>
          </w:tcPr>
          <w:p w14:paraId="7E6DF220" w14:textId="08389842"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Exchange Differences (Net)</w:t>
            </w:r>
          </w:p>
        </w:tc>
        <w:tc>
          <w:tcPr>
            <w:tcW w:w="1230" w:type="dxa"/>
            <w:shd w:val="clear" w:color="auto" w:fill="auto"/>
            <w:noWrap/>
            <w:vAlign w:val="center"/>
          </w:tcPr>
          <w:p w14:paraId="5AEEB5FA" w14:textId="3E18C3EE"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33.06</w:t>
            </w:r>
          </w:p>
        </w:tc>
        <w:tc>
          <w:tcPr>
            <w:tcW w:w="1117" w:type="dxa"/>
            <w:vAlign w:val="center"/>
          </w:tcPr>
          <w:p w14:paraId="12C81782" w14:textId="35C3EA21"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-15.54</w:t>
            </w:r>
          </w:p>
        </w:tc>
        <w:tc>
          <w:tcPr>
            <w:tcW w:w="1117" w:type="dxa"/>
            <w:shd w:val="clear" w:color="auto" w:fill="auto"/>
            <w:noWrap/>
            <w:vAlign w:val="center"/>
          </w:tcPr>
          <w:p w14:paraId="213A87FB" w14:textId="02D06CEB"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2.45</w:t>
            </w:r>
          </w:p>
        </w:tc>
        <w:tc>
          <w:tcPr>
            <w:tcW w:w="1117" w:type="dxa"/>
            <w:shd w:val="clear" w:color="auto" w:fill="auto"/>
            <w:noWrap/>
            <w:vAlign w:val="center"/>
          </w:tcPr>
          <w:p w14:paraId="5D7F7309" w14:textId="433912EB"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39.55</w:t>
            </w:r>
          </w:p>
        </w:tc>
        <w:tc>
          <w:tcPr>
            <w:tcW w:w="1202" w:type="dxa"/>
            <w:shd w:val="clear" w:color="auto" w:fill="auto"/>
            <w:noWrap/>
            <w:vAlign w:val="center"/>
          </w:tcPr>
          <w:p w14:paraId="7D6D0BB7" w14:textId="760A99B5"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4.36</w:t>
            </w:r>
          </w:p>
        </w:tc>
      </w:tr>
      <w:tr w:rsidR="0015603A" w:rsidRPr="007E556B" w14:paraId="5FD08703" w14:textId="77777777" w:rsidTr="004B1CA8">
        <w:trPr>
          <w:trHeight w:val="300"/>
        </w:trPr>
        <w:tc>
          <w:tcPr>
            <w:tcW w:w="3573" w:type="dxa"/>
            <w:shd w:val="clear" w:color="auto" w:fill="auto"/>
            <w:vAlign w:val="center"/>
          </w:tcPr>
          <w:p w14:paraId="73463AB9" w14:textId="6CD38372"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Other Expenses</w:t>
            </w:r>
          </w:p>
        </w:tc>
        <w:tc>
          <w:tcPr>
            <w:tcW w:w="1230" w:type="dxa"/>
            <w:shd w:val="clear" w:color="auto" w:fill="auto"/>
            <w:noWrap/>
            <w:vAlign w:val="center"/>
          </w:tcPr>
          <w:p w14:paraId="6847CAF5" w14:textId="16A2E15F"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143.46</w:t>
            </w:r>
          </w:p>
        </w:tc>
        <w:tc>
          <w:tcPr>
            <w:tcW w:w="1117" w:type="dxa"/>
            <w:vAlign w:val="center"/>
          </w:tcPr>
          <w:p w14:paraId="25420DAB" w14:textId="5C94281E"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219.19</w:t>
            </w:r>
          </w:p>
        </w:tc>
        <w:tc>
          <w:tcPr>
            <w:tcW w:w="1117" w:type="dxa"/>
            <w:shd w:val="clear" w:color="auto" w:fill="auto"/>
            <w:noWrap/>
            <w:vAlign w:val="center"/>
          </w:tcPr>
          <w:p w14:paraId="72132BD7" w14:textId="70A055F5"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94.10</w:t>
            </w:r>
          </w:p>
        </w:tc>
        <w:tc>
          <w:tcPr>
            <w:tcW w:w="1117" w:type="dxa"/>
            <w:shd w:val="clear" w:color="auto" w:fill="auto"/>
            <w:noWrap/>
            <w:vAlign w:val="center"/>
          </w:tcPr>
          <w:p w14:paraId="6485C553" w14:textId="1342CE67"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414.01</w:t>
            </w:r>
          </w:p>
        </w:tc>
        <w:tc>
          <w:tcPr>
            <w:tcW w:w="1202" w:type="dxa"/>
            <w:shd w:val="clear" w:color="auto" w:fill="auto"/>
            <w:noWrap/>
            <w:vAlign w:val="center"/>
          </w:tcPr>
          <w:p w14:paraId="7AEFE27B" w14:textId="469E081C"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94.30</w:t>
            </w:r>
          </w:p>
        </w:tc>
      </w:tr>
      <w:tr w:rsidR="0015603A" w:rsidRPr="007E556B" w14:paraId="5D5E4E53" w14:textId="6C8FAB36" w:rsidTr="004B1CA8">
        <w:trPr>
          <w:trHeight w:val="300"/>
        </w:trPr>
        <w:tc>
          <w:tcPr>
            <w:tcW w:w="3573" w:type="dxa"/>
            <w:shd w:val="clear" w:color="auto" w:fill="DEEAF6" w:themeFill="accent1" w:themeFillTint="33"/>
            <w:vAlign w:val="center"/>
          </w:tcPr>
          <w:p w14:paraId="7816A411" w14:textId="2639C309" w:rsidR="0015603A" w:rsidRPr="007E556B" w:rsidRDefault="0015603A" w:rsidP="0015603A">
            <w:pPr>
              <w:spacing w:after="0" w:line="360" w:lineRule="auto"/>
              <w:rPr>
                <w:rFonts w:asciiTheme="minorHAnsi" w:hAnsiTheme="minorHAnsi" w:cstheme="minorHAnsi"/>
                <w:b/>
                <w:bCs/>
                <w:color w:val="000000"/>
                <w:sz w:val="22"/>
                <w:szCs w:val="22"/>
              </w:rPr>
            </w:pPr>
            <w:r>
              <w:rPr>
                <w:rFonts w:ascii="Calibri" w:hAnsi="Calibri" w:cs="Calibri"/>
                <w:b/>
                <w:bCs/>
                <w:color w:val="000000"/>
                <w:sz w:val="22"/>
                <w:szCs w:val="22"/>
              </w:rPr>
              <w:t>Total Operating Expenses</w:t>
            </w:r>
          </w:p>
        </w:tc>
        <w:tc>
          <w:tcPr>
            <w:tcW w:w="1230" w:type="dxa"/>
            <w:shd w:val="clear" w:color="auto" w:fill="DEEAF6" w:themeFill="accent1" w:themeFillTint="33"/>
            <w:noWrap/>
            <w:vAlign w:val="center"/>
          </w:tcPr>
          <w:p w14:paraId="17A111D8" w14:textId="10616D7A" w:rsidR="0015603A" w:rsidRPr="007E556B" w:rsidRDefault="0015603A" w:rsidP="0015603A">
            <w:pPr>
              <w:spacing w:after="0" w:line="360" w:lineRule="auto"/>
              <w:jc w:val="center"/>
              <w:rPr>
                <w:rFonts w:asciiTheme="minorHAnsi" w:hAnsiTheme="minorHAnsi" w:cstheme="minorHAnsi"/>
                <w:b/>
                <w:bCs/>
                <w:sz w:val="22"/>
                <w:szCs w:val="22"/>
              </w:rPr>
            </w:pPr>
            <w:r>
              <w:rPr>
                <w:rFonts w:ascii="Calibri" w:hAnsi="Calibri" w:cs="Calibri"/>
                <w:b/>
                <w:bCs/>
                <w:color w:val="000000"/>
                <w:sz w:val="22"/>
                <w:szCs w:val="22"/>
              </w:rPr>
              <w:t>1,154.65</w:t>
            </w:r>
          </w:p>
        </w:tc>
        <w:tc>
          <w:tcPr>
            <w:tcW w:w="1117" w:type="dxa"/>
            <w:shd w:val="clear" w:color="auto" w:fill="DEEAF6" w:themeFill="accent1" w:themeFillTint="33"/>
            <w:vAlign w:val="center"/>
          </w:tcPr>
          <w:p w14:paraId="2C791808" w14:textId="2D807272" w:rsidR="0015603A" w:rsidRPr="007E556B" w:rsidRDefault="0015603A" w:rsidP="0015603A">
            <w:pPr>
              <w:spacing w:after="0" w:line="360" w:lineRule="auto"/>
              <w:jc w:val="center"/>
              <w:rPr>
                <w:rFonts w:asciiTheme="minorHAnsi" w:hAnsiTheme="minorHAnsi" w:cstheme="minorHAnsi"/>
                <w:b/>
                <w:bCs/>
                <w:sz w:val="22"/>
                <w:szCs w:val="22"/>
              </w:rPr>
            </w:pPr>
            <w:r>
              <w:rPr>
                <w:rFonts w:ascii="Calibri" w:hAnsi="Calibri" w:cs="Calibri"/>
                <w:b/>
                <w:bCs/>
                <w:color w:val="000000"/>
                <w:sz w:val="22"/>
                <w:szCs w:val="22"/>
              </w:rPr>
              <w:t>1,140.43</w:t>
            </w:r>
          </w:p>
        </w:tc>
        <w:tc>
          <w:tcPr>
            <w:tcW w:w="1117" w:type="dxa"/>
            <w:shd w:val="clear" w:color="auto" w:fill="DEEAF6" w:themeFill="accent1" w:themeFillTint="33"/>
            <w:noWrap/>
            <w:vAlign w:val="center"/>
          </w:tcPr>
          <w:p w14:paraId="19365414" w14:textId="7E38350A" w:rsidR="0015603A" w:rsidRPr="007E556B" w:rsidRDefault="0015603A" w:rsidP="0015603A">
            <w:pPr>
              <w:spacing w:after="0" w:line="360" w:lineRule="auto"/>
              <w:jc w:val="center"/>
              <w:rPr>
                <w:rFonts w:asciiTheme="minorHAnsi" w:hAnsiTheme="minorHAnsi" w:cstheme="minorHAnsi"/>
                <w:b/>
                <w:bCs/>
                <w:sz w:val="22"/>
                <w:szCs w:val="22"/>
              </w:rPr>
            </w:pPr>
            <w:r>
              <w:rPr>
                <w:rFonts w:ascii="Calibri" w:hAnsi="Calibri" w:cs="Calibri"/>
                <w:b/>
                <w:bCs/>
                <w:color w:val="000000"/>
                <w:sz w:val="22"/>
                <w:szCs w:val="22"/>
              </w:rPr>
              <w:t>1,051.03</w:t>
            </w:r>
          </w:p>
        </w:tc>
        <w:tc>
          <w:tcPr>
            <w:tcW w:w="1117" w:type="dxa"/>
            <w:shd w:val="clear" w:color="auto" w:fill="DEEAF6" w:themeFill="accent1" w:themeFillTint="33"/>
            <w:noWrap/>
            <w:vAlign w:val="center"/>
          </w:tcPr>
          <w:p w14:paraId="5444371D" w14:textId="3799A56D" w:rsidR="0015603A" w:rsidRPr="007E556B" w:rsidRDefault="0015603A" w:rsidP="0015603A">
            <w:pPr>
              <w:spacing w:after="0" w:line="360" w:lineRule="auto"/>
              <w:jc w:val="center"/>
              <w:rPr>
                <w:rFonts w:asciiTheme="minorHAnsi" w:hAnsiTheme="minorHAnsi" w:cstheme="minorHAnsi"/>
                <w:b/>
                <w:bCs/>
                <w:sz w:val="22"/>
                <w:szCs w:val="22"/>
              </w:rPr>
            </w:pPr>
            <w:r>
              <w:rPr>
                <w:rFonts w:ascii="Calibri" w:hAnsi="Calibri" w:cs="Calibri"/>
                <w:b/>
                <w:bCs/>
                <w:color w:val="000000"/>
                <w:sz w:val="22"/>
                <w:szCs w:val="22"/>
              </w:rPr>
              <w:t>1,430.20</w:t>
            </w:r>
          </w:p>
        </w:tc>
        <w:tc>
          <w:tcPr>
            <w:tcW w:w="1202" w:type="dxa"/>
            <w:shd w:val="clear" w:color="auto" w:fill="DEEAF6" w:themeFill="accent1" w:themeFillTint="33"/>
            <w:noWrap/>
            <w:vAlign w:val="center"/>
          </w:tcPr>
          <w:p w14:paraId="5803480C" w14:textId="7C86CA73" w:rsidR="0015603A" w:rsidRPr="007E556B" w:rsidRDefault="0015603A" w:rsidP="0015603A">
            <w:pPr>
              <w:spacing w:after="0" w:line="360" w:lineRule="auto"/>
              <w:jc w:val="center"/>
              <w:rPr>
                <w:rFonts w:asciiTheme="minorHAnsi" w:hAnsiTheme="minorHAnsi" w:cstheme="minorHAnsi"/>
                <w:b/>
                <w:bCs/>
                <w:sz w:val="22"/>
                <w:szCs w:val="22"/>
              </w:rPr>
            </w:pPr>
            <w:r>
              <w:rPr>
                <w:rFonts w:ascii="Calibri" w:hAnsi="Calibri" w:cs="Calibri"/>
                <w:b/>
                <w:bCs/>
                <w:color w:val="000000"/>
                <w:sz w:val="22"/>
                <w:szCs w:val="22"/>
              </w:rPr>
              <w:t>1,006.10</w:t>
            </w:r>
          </w:p>
        </w:tc>
      </w:tr>
      <w:tr w:rsidR="0015603A" w:rsidRPr="007E556B" w14:paraId="4364D5DF" w14:textId="7312ED13" w:rsidTr="004B1CA8">
        <w:trPr>
          <w:trHeight w:val="300"/>
        </w:trPr>
        <w:tc>
          <w:tcPr>
            <w:tcW w:w="3573" w:type="dxa"/>
            <w:shd w:val="clear" w:color="auto" w:fill="DEEAF6" w:themeFill="accent1" w:themeFillTint="33"/>
            <w:vAlign w:val="center"/>
            <w:hideMark/>
          </w:tcPr>
          <w:p w14:paraId="05EFA6AA" w14:textId="345470E0" w:rsidR="0015603A" w:rsidRPr="007E556B" w:rsidRDefault="0015603A" w:rsidP="0015603A">
            <w:pPr>
              <w:spacing w:after="0" w:line="360" w:lineRule="auto"/>
              <w:rPr>
                <w:rFonts w:asciiTheme="minorHAnsi" w:hAnsiTheme="minorHAnsi" w:cstheme="minorHAnsi"/>
                <w:b/>
                <w:bCs/>
                <w:color w:val="000000"/>
                <w:sz w:val="22"/>
                <w:szCs w:val="22"/>
              </w:rPr>
            </w:pPr>
            <w:r>
              <w:rPr>
                <w:rFonts w:ascii="Calibri" w:hAnsi="Calibri" w:cs="Calibri"/>
                <w:b/>
                <w:bCs/>
                <w:color w:val="000000"/>
                <w:sz w:val="22"/>
                <w:szCs w:val="22"/>
              </w:rPr>
              <w:t>EBITDA</w:t>
            </w:r>
          </w:p>
        </w:tc>
        <w:tc>
          <w:tcPr>
            <w:tcW w:w="1230" w:type="dxa"/>
            <w:shd w:val="clear" w:color="auto" w:fill="DEEAF6" w:themeFill="accent1" w:themeFillTint="33"/>
            <w:noWrap/>
            <w:vAlign w:val="center"/>
            <w:hideMark/>
          </w:tcPr>
          <w:p w14:paraId="55D9796F" w14:textId="6F9BE6BA"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282.58</w:t>
            </w:r>
          </w:p>
        </w:tc>
        <w:tc>
          <w:tcPr>
            <w:tcW w:w="1117" w:type="dxa"/>
            <w:shd w:val="clear" w:color="auto" w:fill="DEEAF6" w:themeFill="accent1" w:themeFillTint="33"/>
            <w:vAlign w:val="center"/>
          </w:tcPr>
          <w:p w14:paraId="3E19ED98" w14:textId="5A8A6255" w:rsidR="0015603A" w:rsidRPr="007E556B" w:rsidRDefault="0015603A" w:rsidP="0015603A">
            <w:pPr>
              <w:spacing w:after="0" w:line="360" w:lineRule="auto"/>
              <w:ind w:left="-102" w:right="-109"/>
              <w:jc w:val="center"/>
              <w:rPr>
                <w:rFonts w:asciiTheme="minorHAnsi" w:hAnsiTheme="minorHAnsi" w:cstheme="minorHAnsi"/>
                <w:b/>
                <w:bCs/>
                <w:sz w:val="22"/>
                <w:szCs w:val="22"/>
              </w:rPr>
            </w:pPr>
            <w:r>
              <w:rPr>
                <w:rFonts w:ascii="Calibri" w:hAnsi="Calibri" w:cs="Calibri"/>
                <w:b/>
                <w:bCs/>
                <w:color w:val="000000"/>
                <w:sz w:val="22"/>
                <w:szCs w:val="22"/>
              </w:rPr>
              <w:t>308.41</w:t>
            </w:r>
          </w:p>
        </w:tc>
        <w:tc>
          <w:tcPr>
            <w:tcW w:w="1117" w:type="dxa"/>
            <w:shd w:val="clear" w:color="auto" w:fill="DEEAF6" w:themeFill="accent1" w:themeFillTint="33"/>
            <w:noWrap/>
            <w:vAlign w:val="center"/>
            <w:hideMark/>
          </w:tcPr>
          <w:p w14:paraId="13148193" w14:textId="21E64FEB"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425.86</w:t>
            </w:r>
          </w:p>
        </w:tc>
        <w:tc>
          <w:tcPr>
            <w:tcW w:w="1117" w:type="dxa"/>
            <w:shd w:val="clear" w:color="auto" w:fill="DEEAF6" w:themeFill="accent1" w:themeFillTint="33"/>
            <w:noWrap/>
            <w:vAlign w:val="center"/>
            <w:hideMark/>
          </w:tcPr>
          <w:p w14:paraId="14BBAD9C" w14:textId="32D99894"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55.13</w:t>
            </w:r>
          </w:p>
        </w:tc>
        <w:tc>
          <w:tcPr>
            <w:tcW w:w="1202" w:type="dxa"/>
            <w:shd w:val="clear" w:color="auto" w:fill="DEEAF6" w:themeFill="accent1" w:themeFillTint="33"/>
            <w:noWrap/>
            <w:vAlign w:val="center"/>
            <w:hideMark/>
          </w:tcPr>
          <w:p w14:paraId="7EFFFEE7" w14:textId="21FB25E0"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417.15</w:t>
            </w:r>
          </w:p>
        </w:tc>
      </w:tr>
      <w:tr w:rsidR="0015603A" w:rsidRPr="007E556B" w14:paraId="26976992" w14:textId="6ED273A8" w:rsidTr="004B1CA8">
        <w:trPr>
          <w:trHeight w:val="300"/>
        </w:trPr>
        <w:tc>
          <w:tcPr>
            <w:tcW w:w="3573" w:type="dxa"/>
            <w:shd w:val="clear" w:color="auto" w:fill="auto"/>
            <w:vAlign w:val="center"/>
            <w:hideMark/>
          </w:tcPr>
          <w:p w14:paraId="0E6DAD46" w14:textId="752EABE8"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Less: Depreciation</w:t>
            </w:r>
          </w:p>
        </w:tc>
        <w:tc>
          <w:tcPr>
            <w:tcW w:w="1230" w:type="dxa"/>
            <w:shd w:val="clear" w:color="auto" w:fill="auto"/>
            <w:noWrap/>
            <w:vAlign w:val="center"/>
            <w:hideMark/>
          </w:tcPr>
          <w:p w14:paraId="209D0111" w14:textId="0C981DBE"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634.44</w:t>
            </w:r>
          </w:p>
        </w:tc>
        <w:tc>
          <w:tcPr>
            <w:tcW w:w="1117" w:type="dxa"/>
            <w:vAlign w:val="center"/>
          </w:tcPr>
          <w:p w14:paraId="7AAD9DF2" w14:textId="68C5690F"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547.18</w:t>
            </w:r>
          </w:p>
        </w:tc>
        <w:tc>
          <w:tcPr>
            <w:tcW w:w="1117" w:type="dxa"/>
            <w:shd w:val="clear" w:color="auto" w:fill="auto"/>
            <w:noWrap/>
            <w:vAlign w:val="center"/>
            <w:hideMark/>
          </w:tcPr>
          <w:p w14:paraId="423EAA37" w14:textId="08EAAABC"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503.19</w:t>
            </w:r>
          </w:p>
        </w:tc>
        <w:tc>
          <w:tcPr>
            <w:tcW w:w="1117" w:type="dxa"/>
            <w:shd w:val="clear" w:color="auto" w:fill="auto"/>
            <w:noWrap/>
            <w:vAlign w:val="center"/>
            <w:hideMark/>
          </w:tcPr>
          <w:p w14:paraId="7914CCEE" w14:textId="2137EB16"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503.57</w:t>
            </w:r>
          </w:p>
        </w:tc>
        <w:tc>
          <w:tcPr>
            <w:tcW w:w="1202" w:type="dxa"/>
            <w:shd w:val="clear" w:color="auto" w:fill="auto"/>
            <w:noWrap/>
            <w:vAlign w:val="center"/>
            <w:hideMark/>
          </w:tcPr>
          <w:p w14:paraId="2E06B535" w14:textId="02BEACCE"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277.99</w:t>
            </w:r>
          </w:p>
        </w:tc>
      </w:tr>
      <w:tr w:rsidR="0015603A" w:rsidRPr="007E556B" w14:paraId="1DDCF683" w14:textId="4DFCBF33" w:rsidTr="004B1CA8">
        <w:trPr>
          <w:trHeight w:val="300"/>
        </w:trPr>
        <w:tc>
          <w:tcPr>
            <w:tcW w:w="3573" w:type="dxa"/>
            <w:shd w:val="clear" w:color="auto" w:fill="DEEAF6" w:themeFill="accent1" w:themeFillTint="33"/>
            <w:vAlign w:val="center"/>
            <w:hideMark/>
          </w:tcPr>
          <w:p w14:paraId="19B9C176" w14:textId="08EB69BD" w:rsidR="0015603A" w:rsidRPr="007E556B" w:rsidRDefault="0015603A" w:rsidP="0015603A">
            <w:pPr>
              <w:spacing w:after="0" w:line="360" w:lineRule="auto"/>
              <w:rPr>
                <w:rFonts w:asciiTheme="minorHAnsi" w:hAnsiTheme="minorHAnsi" w:cstheme="minorHAnsi"/>
                <w:b/>
                <w:bCs/>
                <w:color w:val="000000"/>
                <w:sz w:val="22"/>
                <w:szCs w:val="22"/>
              </w:rPr>
            </w:pPr>
            <w:r>
              <w:rPr>
                <w:rFonts w:ascii="Calibri" w:hAnsi="Calibri" w:cs="Calibri"/>
                <w:b/>
                <w:bCs/>
                <w:color w:val="000000"/>
                <w:sz w:val="22"/>
                <w:szCs w:val="22"/>
              </w:rPr>
              <w:t>EBIT</w:t>
            </w:r>
          </w:p>
        </w:tc>
        <w:tc>
          <w:tcPr>
            <w:tcW w:w="1230" w:type="dxa"/>
            <w:shd w:val="clear" w:color="auto" w:fill="DEEAF6" w:themeFill="accent1" w:themeFillTint="33"/>
            <w:noWrap/>
            <w:vAlign w:val="center"/>
            <w:hideMark/>
          </w:tcPr>
          <w:p w14:paraId="063F80EC" w14:textId="30167E16"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-351.86</w:t>
            </w:r>
          </w:p>
        </w:tc>
        <w:tc>
          <w:tcPr>
            <w:tcW w:w="1117" w:type="dxa"/>
            <w:shd w:val="clear" w:color="auto" w:fill="DEEAF6" w:themeFill="accent1" w:themeFillTint="33"/>
            <w:vAlign w:val="center"/>
          </w:tcPr>
          <w:p w14:paraId="6C821E14" w14:textId="322913B8" w:rsidR="0015603A" w:rsidRPr="007E556B" w:rsidRDefault="0015603A" w:rsidP="0015603A">
            <w:pPr>
              <w:spacing w:after="0" w:line="360" w:lineRule="auto"/>
              <w:ind w:left="-102" w:right="-109"/>
              <w:jc w:val="center"/>
              <w:rPr>
                <w:rFonts w:asciiTheme="minorHAnsi" w:hAnsiTheme="minorHAnsi" w:cstheme="minorHAnsi"/>
                <w:b/>
                <w:bCs/>
                <w:sz w:val="22"/>
                <w:szCs w:val="22"/>
              </w:rPr>
            </w:pPr>
            <w:r>
              <w:rPr>
                <w:rFonts w:ascii="Calibri" w:hAnsi="Calibri" w:cs="Calibri"/>
                <w:b/>
                <w:bCs/>
                <w:color w:val="000000"/>
                <w:sz w:val="22"/>
                <w:szCs w:val="22"/>
              </w:rPr>
              <w:t>-238.77</w:t>
            </w:r>
          </w:p>
        </w:tc>
        <w:tc>
          <w:tcPr>
            <w:tcW w:w="1117" w:type="dxa"/>
            <w:shd w:val="clear" w:color="auto" w:fill="DEEAF6" w:themeFill="accent1" w:themeFillTint="33"/>
            <w:noWrap/>
            <w:vAlign w:val="center"/>
            <w:hideMark/>
          </w:tcPr>
          <w:p w14:paraId="4D4181ED" w14:textId="591CE9A7"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-77.33</w:t>
            </w:r>
          </w:p>
        </w:tc>
        <w:tc>
          <w:tcPr>
            <w:tcW w:w="1117" w:type="dxa"/>
            <w:shd w:val="clear" w:color="auto" w:fill="DEEAF6" w:themeFill="accent1" w:themeFillTint="33"/>
            <w:noWrap/>
            <w:vAlign w:val="center"/>
            <w:hideMark/>
          </w:tcPr>
          <w:p w14:paraId="652230AB" w14:textId="4058C130"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-448.44</w:t>
            </w:r>
          </w:p>
        </w:tc>
        <w:tc>
          <w:tcPr>
            <w:tcW w:w="1202" w:type="dxa"/>
            <w:shd w:val="clear" w:color="auto" w:fill="DEEAF6" w:themeFill="accent1" w:themeFillTint="33"/>
            <w:noWrap/>
            <w:vAlign w:val="center"/>
            <w:hideMark/>
          </w:tcPr>
          <w:p w14:paraId="6BB20C93" w14:textId="76FCF426"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139.16</w:t>
            </w:r>
          </w:p>
        </w:tc>
      </w:tr>
      <w:tr w:rsidR="0015603A" w:rsidRPr="007E556B" w14:paraId="1984A023" w14:textId="51579BB0" w:rsidTr="004B1CA8">
        <w:trPr>
          <w:trHeight w:val="300"/>
        </w:trPr>
        <w:tc>
          <w:tcPr>
            <w:tcW w:w="3573" w:type="dxa"/>
            <w:shd w:val="clear" w:color="auto" w:fill="auto"/>
            <w:vAlign w:val="center"/>
            <w:hideMark/>
          </w:tcPr>
          <w:p w14:paraId="48FB1739" w14:textId="28335CFC"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Less: Finance Costs</w:t>
            </w:r>
          </w:p>
        </w:tc>
        <w:tc>
          <w:tcPr>
            <w:tcW w:w="1230" w:type="dxa"/>
            <w:shd w:val="clear" w:color="auto" w:fill="auto"/>
            <w:noWrap/>
            <w:vAlign w:val="center"/>
            <w:hideMark/>
          </w:tcPr>
          <w:p w14:paraId="63B6D0C7" w14:textId="71790BA9"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662.22</w:t>
            </w:r>
          </w:p>
        </w:tc>
        <w:tc>
          <w:tcPr>
            <w:tcW w:w="1117" w:type="dxa"/>
            <w:vAlign w:val="center"/>
          </w:tcPr>
          <w:p w14:paraId="6F2CF6FC" w14:textId="4DF89DE4"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663.12</w:t>
            </w:r>
          </w:p>
        </w:tc>
        <w:tc>
          <w:tcPr>
            <w:tcW w:w="1117" w:type="dxa"/>
            <w:shd w:val="clear" w:color="auto" w:fill="auto"/>
            <w:noWrap/>
            <w:vAlign w:val="center"/>
            <w:hideMark/>
          </w:tcPr>
          <w:p w14:paraId="777451C9" w14:textId="5B42DE10"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733.88</w:t>
            </w:r>
          </w:p>
        </w:tc>
        <w:tc>
          <w:tcPr>
            <w:tcW w:w="1117" w:type="dxa"/>
            <w:shd w:val="clear" w:color="auto" w:fill="auto"/>
            <w:noWrap/>
            <w:vAlign w:val="center"/>
            <w:hideMark/>
          </w:tcPr>
          <w:p w14:paraId="447270A6" w14:textId="5A6769BA"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781.93</w:t>
            </w:r>
          </w:p>
        </w:tc>
        <w:tc>
          <w:tcPr>
            <w:tcW w:w="1202" w:type="dxa"/>
            <w:shd w:val="clear" w:color="auto" w:fill="auto"/>
            <w:noWrap/>
            <w:vAlign w:val="center"/>
            <w:hideMark/>
          </w:tcPr>
          <w:p w14:paraId="7558680B" w14:textId="30DD3F41"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805.09</w:t>
            </w:r>
          </w:p>
        </w:tc>
      </w:tr>
      <w:tr w:rsidR="0015603A" w:rsidRPr="007E556B" w14:paraId="3AB071B2" w14:textId="77777777" w:rsidTr="004B1CA8">
        <w:trPr>
          <w:trHeight w:val="300"/>
        </w:trPr>
        <w:tc>
          <w:tcPr>
            <w:tcW w:w="3573" w:type="dxa"/>
            <w:shd w:val="clear" w:color="auto" w:fill="DEEAF6" w:themeFill="accent1" w:themeFillTint="33"/>
            <w:vAlign w:val="center"/>
          </w:tcPr>
          <w:p w14:paraId="674B7151" w14:textId="09471882"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b/>
                <w:bCs/>
                <w:color w:val="000000"/>
                <w:sz w:val="22"/>
                <w:szCs w:val="22"/>
              </w:rPr>
              <w:t>Profit before Exceptional Items &amp; Tax</w:t>
            </w:r>
          </w:p>
        </w:tc>
        <w:tc>
          <w:tcPr>
            <w:tcW w:w="1230" w:type="dxa"/>
            <w:shd w:val="clear" w:color="auto" w:fill="DEEAF6" w:themeFill="accent1" w:themeFillTint="33"/>
            <w:noWrap/>
            <w:vAlign w:val="center"/>
          </w:tcPr>
          <w:p w14:paraId="544717FA" w14:textId="026F6BE5"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-1,014.08</w:t>
            </w:r>
          </w:p>
        </w:tc>
        <w:tc>
          <w:tcPr>
            <w:tcW w:w="1117" w:type="dxa"/>
            <w:shd w:val="clear" w:color="auto" w:fill="DEEAF6" w:themeFill="accent1" w:themeFillTint="33"/>
            <w:vAlign w:val="center"/>
          </w:tcPr>
          <w:p w14:paraId="06FCA807" w14:textId="76838656" w:rsidR="0015603A" w:rsidRPr="007E556B" w:rsidRDefault="0015603A" w:rsidP="0015603A">
            <w:pPr>
              <w:spacing w:after="0" w:line="360" w:lineRule="auto"/>
              <w:ind w:left="-102" w:right="-109"/>
              <w:jc w:val="center"/>
              <w:rPr>
                <w:rFonts w:asciiTheme="minorHAnsi" w:hAnsiTheme="minorHAnsi" w:cstheme="minorHAnsi"/>
                <w:b/>
                <w:bCs/>
                <w:sz w:val="22"/>
                <w:szCs w:val="22"/>
              </w:rPr>
            </w:pPr>
            <w:r>
              <w:rPr>
                <w:rFonts w:ascii="Calibri" w:hAnsi="Calibri" w:cs="Calibri"/>
                <w:b/>
                <w:bCs/>
                <w:color w:val="000000"/>
                <w:sz w:val="22"/>
                <w:szCs w:val="22"/>
              </w:rPr>
              <w:t>-901.89</w:t>
            </w:r>
          </w:p>
        </w:tc>
        <w:tc>
          <w:tcPr>
            <w:tcW w:w="1117" w:type="dxa"/>
            <w:shd w:val="clear" w:color="auto" w:fill="DEEAF6" w:themeFill="accent1" w:themeFillTint="33"/>
            <w:noWrap/>
            <w:vAlign w:val="center"/>
          </w:tcPr>
          <w:p w14:paraId="466FACB5" w14:textId="69CE5626"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-811.21</w:t>
            </w:r>
          </w:p>
        </w:tc>
        <w:tc>
          <w:tcPr>
            <w:tcW w:w="1117" w:type="dxa"/>
            <w:shd w:val="clear" w:color="auto" w:fill="DEEAF6" w:themeFill="accent1" w:themeFillTint="33"/>
            <w:noWrap/>
            <w:vAlign w:val="center"/>
          </w:tcPr>
          <w:p w14:paraId="45418241" w14:textId="49F9EBF1"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-1,230.37</w:t>
            </w:r>
          </w:p>
        </w:tc>
        <w:tc>
          <w:tcPr>
            <w:tcW w:w="1202" w:type="dxa"/>
            <w:shd w:val="clear" w:color="auto" w:fill="DEEAF6" w:themeFill="accent1" w:themeFillTint="33"/>
            <w:noWrap/>
            <w:vAlign w:val="center"/>
          </w:tcPr>
          <w:p w14:paraId="7D2EE408" w14:textId="2CFA6F7E"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-665.93</w:t>
            </w:r>
          </w:p>
        </w:tc>
      </w:tr>
      <w:tr w:rsidR="0015603A" w:rsidRPr="007E556B" w14:paraId="0BBC1D48" w14:textId="7E3CE7C0" w:rsidTr="004B1CA8">
        <w:trPr>
          <w:trHeight w:val="300"/>
        </w:trPr>
        <w:tc>
          <w:tcPr>
            <w:tcW w:w="3573" w:type="dxa"/>
            <w:shd w:val="clear" w:color="auto" w:fill="auto"/>
            <w:vAlign w:val="center"/>
            <w:hideMark/>
          </w:tcPr>
          <w:p w14:paraId="10003064" w14:textId="1604194B"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Less: Exceptional Items</w:t>
            </w:r>
          </w:p>
        </w:tc>
        <w:tc>
          <w:tcPr>
            <w:tcW w:w="1230" w:type="dxa"/>
            <w:shd w:val="clear" w:color="auto" w:fill="auto"/>
            <w:noWrap/>
            <w:vAlign w:val="center"/>
            <w:hideMark/>
          </w:tcPr>
          <w:p w14:paraId="724D1F5A" w14:textId="305D9614"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849.46</w:t>
            </w:r>
          </w:p>
        </w:tc>
        <w:tc>
          <w:tcPr>
            <w:tcW w:w="1117" w:type="dxa"/>
            <w:vAlign w:val="center"/>
          </w:tcPr>
          <w:p w14:paraId="5516E372" w14:textId="45E5511C"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368.88</w:t>
            </w:r>
          </w:p>
        </w:tc>
        <w:tc>
          <w:tcPr>
            <w:tcW w:w="1117" w:type="dxa"/>
            <w:shd w:val="clear" w:color="auto" w:fill="auto"/>
            <w:noWrap/>
            <w:vAlign w:val="center"/>
            <w:hideMark/>
          </w:tcPr>
          <w:p w14:paraId="13B8B449" w14:textId="1419E2B0"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663.46</w:t>
            </w:r>
          </w:p>
        </w:tc>
        <w:tc>
          <w:tcPr>
            <w:tcW w:w="1117" w:type="dxa"/>
            <w:shd w:val="clear" w:color="auto" w:fill="auto"/>
            <w:noWrap/>
            <w:vAlign w:val="center"/>
            <w:hideMark/>
          </w:tcPr>
          <w:p w14:paraId="2FE92046" w14:textId="499A52AB"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586.54</w:t>
            </w:r>
          </w:p>
        </w:tc>
        <w:tc>
          <w:tcPr>
            <w:tcW w:w="1202" w:type="dxa"/>
            <w:shd w:val="clear" w:color="auto" w:fill="auto"/>
            <w:noWrap/>
            <w:vAlign w:val="center"/>
            <w:hideMark/>
          </w:tcPr>
          <w:p w14:paraId="1D87E969" w14:textId="14A5283E"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color w:val="000000"/>
                <w:sz w:val="22"/>
                <w:szCs w:val="22"/>
              </w:rPr>
              <w:t>15.43</w:t>
            </w:r>
          </w:p>
        </w:tc>
      </w:tr>
      <w:tr w:rsidR="0015603A" w:rsidRPr="007E556B" w14:paraId="624C6891" w14:textId="19741857" w:rsidTr="004B1CA8">
        <w:trPr>
          <w:trHeight w:val="300"/>
        </w:trPr>
        <w:tc>
          <w:tcPr>
            <w:tcW w:w="3573" w:type="dxa"/>
            <w:shd w:val="clear" w:color="auto" w:fill="DEEAF6" w:themeFill="accent1" w:themeFillTint="33"/>
            <w:vAlign w:val="center"/>
            <w:hideMark/>
          </w:tcPr>
          <w:p w14:paraId="4ABC0270" w14:textId="1F3142DE" w:rsidR="0015603A" w:rsidRPr="007E556B" w:rsidRDefault="0015603A" w:rsidP="0015603A">
            <w:pPr>
              <w:spacing w:after="0" w:line="360" w:lineRule="auto"/>
              <w:rPr>
                <w:rFonts w:asciiTheme="minorHAnsi" w:hAnsiTheme="minorHAnsi" w:cstheme="minorHAnsi"/>
                <w:b/>
                <w:bCs/>
                <w:color w:val="000000"/>
                <w:sz w:val="22"/>
                <w:szCs w:val="22"/>
              </w:rPr>
            </w:pPr>
            <w:r>
              <w:rPr>
                <w:rFonts w:ascii="Calibri" w:hAnsi="Calibri" w:cs="Calibri"/>
                <w:b/>
                <w:bCs/>
                <w:color w:val="000000"/>
                <w:sz w:val="22"/>
                <w:szCs w:val="22"/>
              </w:rPr>
              <w:t>PBT</w:t>
            </w:r>
          </w:p>
        </w:tc>
        <w:tc>
          <w:tcPr>
            <w:tcW w:w="1230" w:type="dxa"/>
            <w:shd w:val="clear" w:color="auto" w:fill="DEEAF6" w:themeFill="accent1" w:themeFillTint="33"/>
            <w:noWrap/>
            <w:vAlign w:val="center"/>
            <w:hideMark/>
          </w:tcPr>
          <w:p w14:paraId="29B664C3" w14:textId="30E16BF6"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-1,863.54</w:t>
            </w:r>
          </w:p>
        </w:tc>
        <w:tc>
          <w:tcPr>
            <w:tcW w:w="1117" w:type="dxa"/>
            <w:shd w:val="clear" w:color="auto" w:fill="DEEAF6" w:themeFill="accent1" w:themeFillTint="33"/>
            <w:vAlign w:val="center"/>
          </w:tcPr>
          <w:p w14:paraId="797DEC15" w14:textId="7AA71656"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b/>
                <w:bCs/>
                <w:color w:val="000000"/>
                <w:sz w:val="22"/>
                <w:szCs w:val="22"/>
              </w:rPr>
              <w:t>-1,270.77</w:t>
            </w:r>
          </w:p>
        </w:tc>
        <w:tc>
          <w:tcPr>
            <w:tcW w:w="1117" w:type="dxa"/>
            <w:shd w:val="clear" w:color="auto" w:fill="DEEAF6" w:themeFill="accent1" w:themeFillTint="33"/>
            <w:noWrap/>
            <w:vAlign w:val="center"/>
            <w:hideMark/>
          </w:tcPr>
          <w:p w14:paraId="55444E7A" w14:textId="59EE2EE4"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-1,474.67</w:t>
            </w:r>
          </w:p>
        </w:tc>
        <w:tc>
          <w:tcPr>
            <w:tcW w:w="1117" w:type="dxa"/>
            <w:shd w:val="clear" w:color="auto" w:fill="DEEAF6" w:themeFill="accent1" w:themeFillTint="33"/>
            <w:noWrap/>
            <w:vAlign w:val="center"/>
            <w:hideMark/>
          </w:tcPr>
          <w:p w14:paraId="38837CA8" w14:textId="3EEFDF95"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-1,816.91</w:t>
            </w:r>
          </w:p>
        </w:tc>
        <w:tc>
          <w:tcPr>
            <w:tcW w:w="1202" w:type="dxa"/>
            <w:shd w:val="clear" w:color="auto" w:fill="DEEAF6" w:themeFill="accent1" w:themeFillTint="33"/>
            <w:noWrap/>
            <w:vAlign w:val="center"/>
            <w:hideMark/>
          </w:tcPr>
          <w:p w14:paraId="275206CF" w14:textId="121C31B8" w:rsidR="0015603A" w:rsidRPr="007E556B" w:rsidRDefault="0015603A" w:rsidP="0015603A">
            <w:pPr>
              <w:spacing w:after="0" w:line="360" w:lineRule="auto"/>
              <w:ind w:left="-102" w:right="-109"/>
              <w:jc w:val="center"/>
              <w:rPr>
                <w:rFonts w:asciiTheme="minorHAnsi" w:hAnsiTheme="minorHAnsi" w:cstheme="minorHAnsi"/>
                <w:b/>
                <w:bCs/>
                <w:color w:val="000000"/>
                <w:sz w:val="22"/>
                <w:szCs w:val="22"/>
              </w:rPr>
            </w:pPr>
            <w:r>
              <w:rPr>
                <w:rFonts w:ascii="Calibri" w:hAnsi="Calibri" w:cs="Calibri"/>
                <w:b/>
                <w:bCs/>
                <w:color w:val="000000"/>
                <w:sz w:val="22"/>
                <w:szCs w:val="22"/>
              </w:rPr>
              <w:t>-681.36</w:t>
            </w:r>
          </w:p>
        </w:tc>
      </w:tr>
      <w:tr w:rsidR="0015603A" w:rsidRPr="007E556B" w14:paraId="467DE730" w14:textId="265B46C0" w:rsidTr="004B1CA8">
        <w:trPr>
          <w:trHeight w:val="70"/>
        </w:trPr>
        <w:tc>
          <w:tcPr>
            <w:tcW w:w="3573" w:type="dxa"/>
            <w:shd w:val="clear" w:color="auto" w:fill="auto"/>
            <w:vAlign w:val="center"/>
            <w:hideMark/>
          </w:tcPr>
          <w:p w14:paraId="5B53BB50" w14:textId="3C03DD37"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color w:val="000000"/>
                <w:sz w:val="22"/>
                <w:szCs w:val="22"/>
              </w:rPr>
              <w:t>Less: Taxes</w:t>
            </w:r>
          </w:p>
        </w:tc>
        <w:tc>
          <w:tcPr>
            <w:tcW w:w="1230" w:type="dxa"/>
            <w:shd w:val="clear" w:color="auto" w:fill="auto"/>
            <w:noWrap/>
            <w:vAlign w:val="center"/>
            <w:hideMark/>
          </w:tcPr>
          <w:p w14:paraId="3645C680" w14:textId="0A06871F"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w:t>
            </w:r>
          </w:p>
        </w:tc>
        <w:tc>
          <w:tcPr>
            <w:tcW w:w="1117" w:type="dxa"/>
            <w:vAlign w:val="center"/>
          </w:tcPr>
          <w:p w14:paraId="42EAADFD" w14:textId="6C7C64E6"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color w:val="000000"/>
                <w:sz w:val="22"/>
                <w:szCs w:val="22"/>
              </w:rPr>
              <w:t>-</w:t>
            </w:r>
          </w:p>
        </w:tc>
        <w:tc>
          <w:tcPr>
            <w:tcW w:w="1117" w:type="dxa"/>
            <w:shd w:val="clear" w:color="auto" w:fill="auto"/>
            <w:noWrap/>
            <w:vAlign w:val="center"/>
            <w:hideMark/>
          </w:tcPr>
          <w:p w14:paraId="2DDCFF8E" w14:textId="2634A75D"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w:t>
            </w:r>
          </w:p>
        </w:tc>
        <w:tc>
          <w:tcPr>
            <w:tcW w:w="1117" w:type="dxa"/>
            <w:shd w:val="clear" w:color="auto" w:fill="auto"/>
            <w:noWrap/>
            <w:vAlign w:val="center"/>
            <w:hideMark/>
          </w:tcPr>
          <w:p w14:paraId="1244C960" w14:textId="631909A9"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w:t>
            </w:r>
          </w:p>
        </w:tc>
        <w:tc>
          <w:tcPr>
            <w:tcW w:w="1202" w:type="dxa"/>
            <w:shd w:val="clear" w:color="auto" w:fill="auto"/>
            <w:noWrap/>
            <w:vAlign w:val="center"/>
            <w:hideMark/>
          </w:tcPr>
          <w:p w14:paraId="73EE12BB" w14:textId="26A6DA2C"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color w:val="000000"/>
                <w:sz w:val="22"/>
                <w:szCs w:val="22"/>
              </w:rPr>
              <w:t>-</w:t>
            </w:r>
          </w:p>
        </w:tc>
      </w:tr>
      <w:tr w:rsidR="0015603A" w:rsidRPr="007E556B" w14:paraId="01965BEB" w14:textId="5D3A994F" w:rsidTr="004B1CA8">
        <w:trPr>
          <w:trHeight w:val="315"/>
        </w:trPr>
        <w:tc>
          <w:tcPr>
            <w:tcW w:w="3573" w:type="dxa"/>
            <w:shd w:val="clear" w:color="auto" w:fill="DEEAF6" w:themeFill="accent1" w:themeFillTint="33"/>
            <w:vAlign w:val="center"/>
            <w:hideMark/>
          </w:tcPr>
          <w:p w14:paraId="671AECE9" w14:textId="0233FD28" w:rsidR="0015603A" w:rsidRPr="007E556B" w:rsidRDefault="0015603A" w:rsidP="0015603A">
            <w:pPr>
              <w:spacing w:after="0" w:line="360" w:lineRule="auto"/>
              <w:rPr>
                <w:rFonts w:asciiTheme="minorHAnsi" w:hAnsiTheme="minorHAnsi" w:cstheme="minorHAnsi"/>
                <w:color w:val="000000"/>
                <w:sz w:val="22"/>
                <w:szCs w:val="22"/>
              </w:rPr>
            </w:pPr>
            <w:r>
              <w:rPr>
                <w:rFonts w:ascii="Calibri" w:hAnsi="Calibri" w:cs="Calibri"/>
                <w:b/>
                <w:bCs/>
                <w:color w:val="000000"/>
                <w:sz w:val="22"/>
                <w:szCs w:val="22"/>
              </w:rPr>
              <w:t>PAT</w:t>
            </w:r>
          </w:p>
        </w:tc>
        <w:tc>
          <w:tcPr>
            <w:tcW w:w="1230" w:type="dxa"/>
            <w:shd w:val="clear" w:color="auto" w:fill="DEEAF6" w:themeFill="accent1" w:themeFillTint="33"/>
            <w:noWrap/>
            <w:vAlign w:val="center"/>
            <w:hideMark/>
          </w:tcPr>
          <w:p w14:paraId="0EFF83A2" w14:textId="01EA27D8"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-1,863.54</w:t>
            </w:r>
          </w:p>
        </w:tc>
        <w:tc>
          <w:tcPr>
            <w:tcW w:w="1117" w:type="dxa"/>
            <w:shd w:val="clear" w:color="auto" w:fill="DEEAF6" w:themeFill="accent1" w:themeFillTint="33"/>
            <w:vAlign w:val="center"/>
          </w:tcPr>
          <w:p w14:paraId="6350D163" w14:textId="262105EA" w:rsidR="0015603A" w:rsidRPr="007E556B" w:rsidRDefault="0015603A" w:rsidP="0015603A">
            <w:pPr>
              <w:spacing w:after="0" w:line="360" w:lineRule="auto"/>
              <w:ind w:left="-102" w:right="-109"/>
              <w:jc w:val="center"/>
              <w:rPr>
                <w:rFonts w:asciiTheme="minorHAnsi" w:hAnsiTheme="minorHAnsi" w:cstheme="minorHAnsi"/>
                <w:sz w:val="22"/>
                <w:szCs w:val="22"/>
              </w:rPr>
            </w:pPr>
            <w:r>
              <w:rPr>
                <w:rFonts w:ascii="Calibri" w:hAnsi="Calibri" w:cs="Calibri"/>
                <w:b/>
                <w:bCs/>
                <w:color w:val="000000"/>
                <w:sz w:val="22"/>
                <w:szCs w:val="22"/>
              </w:rPr>
              <w:t>-1,270.77</w:t>
            </w:r>
          </w:p>
        </w:tc>
        <w:tc>
          <w:tcPr>
            <w:tcW w:w="1117" w:type="dxa"/>
            <w:shd w:val="clear" w:color="auto" w:fill="DEEAF6" w:themeFill="accent1" w:themeFillTint="33"/>
            <w:noWrap/>
            <w:vAlign w:val="center"/>
            <w:hideMark/>
          </w:tcPr>
          <w:p w14:paraId="7B69A149" w14:textId="21A20005"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-1,474.67</w:t>
            </w:r>
          </w:p>
        </w:tc>
        <w:tc>
          <w:tcPr>
            <w:tcW w:w="1117" w:type="dxa"/>
            <w:shd w:val="clear" w:color="auto" w:fill="DEEAF6" w:themeFill="accent1" w:themeFillTint="33"/>
            <w:noWrap/>
            <w:vAlign w:val="center"/>
            <w:hideMark/>
          </w:tcPr>
          <w:p w14:paraId="1E5D59A5" w14:textId="704D3545"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-1,816.91</w:t>
            </w:r>
          </w:p>
        </w:tc>
        <w:tc>
          <w:tcPr>
            <w:tcW w:w="1202" w:type="dxa"/>
            <w:shd w:val="clear" w:color="auto" w:fill="DEEAF6" w:themeFill="accent1" w:themeFillTint="33"/>
            <w:noWrap/>
            <w:vAlign w:val="center"/>
            <w:hideMark/>
          </w:tcPr>
          <w:p w14:paraId="7E44C69C" w14:textId="1E13A53B" w:rsidR="0015603A" w:rsidRPr="007E556B" w:rsidRDefault="0015603A" w:rsidP="0015603A">
            <w:pPr>
              <w:spacing w:after="0" w:line="360" w:lineRule="auto"/>
              <w:ind w:left="-102" w:right="-109"/>
              <w:jc w:val="center"/>
              <w:rPr>
                <w:rFonts w:asciiTheme="minorHAnsi" w:hAnsiTheme="minorHAnsi" w:cstheme="minorHAnsi"/>
                <w:color w:val="000000"/>
                <w:sz w:val="22"/>
                <w:szCs w:val="22"/>
              </w:rPr>
            </w:pPr>
            <w:r>
              <w:rPr>
                <w:rFonts w:ascii="Calibri" w:hAnsi="Calibri" w:cs="Calibri"/>
                <w:b/>
                <w:bCs/>
                <w:color w:val="000000"/>
                <w:sz w:val="22"/>
                <w:szCs w:val="22"/>
              </w:rPr>
              <w:t>-681.36</w:t>
            </w:r>
          </w:p>
        </w:tc>
      </w:tr>
    </w:tbl>
    <w:p w14:paraId="55521A44" w14:textId="77777777" w:rsidR="00324A0F" w:rsidRDefault="00324A0F" w:rsidP="00324A0F">
      <w:pPr>
        <w:spacing w:after="0" w:line="360" w:lineRule="auto"/>
        <w:rPr>
          <w:rFonts w:ascii="Arial" w:hAnsi="Arial" w:cs="Arial"/>
          <w:b/>
          <w:noProof/>
          <w:sz w:val="22"/>
          <w:szCs w:val="22"/>
        </w:rPr>
      </w:pPr>
    </w:p>
    <w:p w14:paraId="06DD8220" w14:textId="25E2A003" w:rsidR="00056E6F" w:rsidRPr="007514E5" w:rsidRDefault="00056E6F" w:rsidP="00B07001">
      <w:pPr>
        <w:pStyle w:val="ListParagraph"/>
        <w:numPr>
          <w:ilvl w:val="0"/>
          <w:numId w:val="15"/>
        </w:numPr>
        <w:tabs>
          <w:tab w:val="left" w:pos="-142"/>
        </w:tabs>
        <w:spacing w:line="360" w:lineRule="auto"/>
        <w:ind w:left="142"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3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39"/>
        <w:gridCol w:w="1140"/>
        <w:gridCol w:w="1139"/>
        <w:gridCol w:w="1140"/>
        <w:gridCol w:w="1140"/>
      </w:tblGrid>
      <w:tr w:rsidR="0015603A" w:rsidRPr="00120B73" w14:paraId="51ADB8EC" w14:textId="21922A0B" w:rsidTr="004B1CA8">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shd w:val="clear" w:color="auto" w:fill="002060"/>
            <w:noWrap/>
            <w:vAlign w:val="center"/>
          </w:tcPr>
          <w:p w14:paraId="7AD5AE15" w14:textId="77777777" w:rsidR="0015603A" w:rsidRPr="00120B73" w:rsidRDefault="0015603A" w:rsidP="0015603A">
            <w:pPr>
              <w:spacing w:line="360" w:lineRule="auto"/>
              <w:rPr>
                <w:rFonts w:asciiTheme="minorHAnsi" w:hAnsiTheme="minorHAnsi" w:cstheme="minorHAnsi"/>
                <w:b w:val="0"/>
                <w:bCs w:val="0"/>
                <w:color w:val="FFFFFF"/>
                <w:sz w:val="22"/>
                <w:szCs w:val="22"/>
                <w:lang w:val="en-IN" w:eastAsia="en-IN"/>
              </w:rPr>
            </w:pPr>
            <w:r w:rsidRPr="00120B73">
              <w:rPr>
                <w:rFonts w:asciiTheme="minorHAnsi" w:hAnsiTheme="minorHAnsi" w:cstheme="minorHAnsi"/>
                <w:color w:val="FFFFFF"/>
                <w:sz w:val="22"/>
                <w:szCs w:val="22"/>
                <w:lang w:val="en-IN" w:eastAsia="en-IN"/>
              </w:rPr>
              <w:t>Particular</w:t>
            </w:r>
          </w:p>
        </w:tc>
        <w:tc>
          <w:tcPr>
            <w:tcW w:w="1139" w:type="dxa"/>
            <w:tcBorders>
              <w:top w:val="none" w:sz="0" w:space="0" w:color="auto"/>
              <w:left w:val="none" w:sz="0" w:space="0" w:color="auto"/>
              <w:bottom w:val="none" w:sz="0" w:space="0" w:color="auto"/>
              <w:right w:val="none" w:sz="0" w:space="0" w:color="auto"/>
            </w:tcBorders>
            <w:shd w:val="clear" w:color="auto" w:fill="002060"/>
            <w:noWrap/>
            <w:vAlign w:val="center"/>
          </w:tcPr>
          <w:p w14:paraId="5B42466F" w14:textId="214BACC4" w:rsidR="0015603A" w:rsidRPr="0015603A" w:rsidRDefault="0015603A" w:rsidP="001560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sidRPr="0015603A">
              <w:rPr>
                <w:rFonts w:ascii="Calibri" w:hAnsi="Calibri" w:cs="Calibri"/>
                <w:color w:val="FFFFFF"/>
                <w:sz w:val="22"/>
                <w:szCs w:val="22"/>
              </w:rPr>
              <w:t>Mar-20</w:t>
            </w:r>
          </w:p>
        </w:tc>
        <w:tc>
          <w:tcPr>
            <w:tcW w:w="1140" w:type="dxa"/>
            <w:tcBorders>
              <w:top w:val="none" w:sz="0" w:space="0" w:color="auto"/>
              <w:left w:val="none" w:sz="0" w:space="0" w:color="auto"/>
              <w:bottom w:val="none" w:sz="0" w:space="0" w:color="auto"/>
              <w:right w:val="none" w:sz="0" w:space="0" w:color="auto"/>
            </w:tcBorders>
            <w:shd w:val="clear" w:color="auto" w:fill="002060"/>
            <w:vAlign w:val="center"/>
          </w:tcPr>
          <w:p w14:paraId="72EFDD78" w14:textId="6F2FB125" w:rsidR="0015603A" w:rsidRPr="0015603A" w:rsidRDefault="0015603A" w:rsidP="001560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sidRPr="0015603A">
              <w:rPr>
                <w:rFonts w:ascii="Calibri" w:hAnsi="Calibri" w:cs="Calibri"/>
                <w:color w:val="FFFFFF"/>
                <w:sz w:val="22"/>
                <w:szCs w:val="22"/>
              </w:rPr>
              <w:t>Mar-21</w:t>
            </w:r>
          </w:p>
        </w:tc>
        <w:tc>
          <w:tcPr>
            <w:tcW w:w="1139" w:type="dxa"/>
            <w:tcBorders>
              <w:top w:val="none" w:sz="0" w:space="0" w:color="auto"/>
              <w:left w:val="none" w:sz="0" w:space="0" w:color="auto"/>
              <w:bottom w:val="none" w:sz="0" w:space="0" w:color="auto"/>
              <w:right w:val="none" w:sz="0" w:space="0" w:color="auto"/>
            </w:tcBorders>
            <w:shd w:val="clear" w:color="auto" w:fill="002060"/>
            <w:noWrap/>
            <w:vAlign w:val="center"/>
          </w:tcPr>
          <w:p w14:paraId="1894FB40" w14:textId="3EDA4F59" w:rsidR="0015603A" w:rsidRPr="0015603A" w:rsidRDefault="0015603A" w:rsidP="001560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sidRPr="0015603A">
              <w:rPr>
                <w:rFonts w:ascii="Calibri" w:hAnsi="Calibri" w:cs="Calibri"/>
                <w:color w:val="FFFFFF"/>
                <w:sz w:val="22"/>
                <w:szCs w:val="22"/>
              </w:rPr>
              <w:t>Mar-22</w:t>
            </w:r>
          </w:p>
        </w:tc>
        <w:tc>
          <w:tcPr>
            <w:tcW w:w="1140" w:type="dxa"/>
            <w:tcBorders>
              <w:top w:val="none" w:sz="0" w:space="0" w:color="auto"/>
              <w:left w:val="none" w:sz="0" w:space="0" w:color="auto"/>
              <w:bottom w:val="none" w:sz="0" w:space="0" w:color="auto"/>
              <w:right w:val="none" w:sz="0" w:space="0" w:color="auto"/>
            </w:tcBorders>
            <w:shd w:val="clear" w:color="auto" w:fill="002060"/>
            <w:noWrap/>
            <w:vAlign w:val="center"/>
          </w:tcPr>
          <w:p w14:paraId="26778172" w14:textId="4ADF9E46" w:rsidR="0015603A" w:rsidRPr="0015603A" w:rsidRDefault="0015603A" w:rsidP="001560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sidRPr="0015603A">
              <w:rPr>
                <w:rFonts w:ascii="Calibri" w:hAnsi="Calibri" w:cs="Calibri"/>
                <w:color w:val="FFFFFF"/>
                <w:sz w:val="22"/>
                <w:szCs w:val="22"/>
              </w:rPr>
              <w:t>Mar-23</w:t>
            </w:r>
          </w:p>
        </w:tc>
        <w:tc>
          <w:tcPr>
            <w:tcW w:w="1140" w:type="dxa"/>
            <w:tcBorders>
              <w:top w:val="none" w:sz="0" w:space="0" w:color="auto"/>
              <w:left w:val="none" w:sz="0" w:space="0" w:color="auto"/>
              <w:bottom w:val="none" w:sz="0" w:space="0" w:color="auto"/>
            </w:tcBorders>
            <w:shd w:val="clear" w:color="auto" w:fill="002060"/>
            <w:vAlign w:val="center"/>
          </w:tcPr>
          <w:p w14:paraId="7F63B338" w14:textId="2A564D07" w:rsidR="0015603A" w:rsidRPr="0015603A" w:rsidRDefault="0015603A" w:rsidP="001560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sidRPr="0015603A">
              <w:rPr>
                <w:rFonts w:ascii="Calibri" w:hAnsi="Calibri" w:cs="Calibri"/>
                <w:color w:val="FFFFFF"/>
                <w:sz w:val="22"/>
                <w:szCs w:val="22"/>
              </w:rPr>
              <w:t>Mar-24</w:t>
            </w:r>
          </w:p>
        </w:tc>
      </w:tr>
      <w:tr w:rsidR="0015603A" w:rsidRPr="00120B73" w14:paraId="3A9C22BE" w14:textId="2EDF79A2" w:rsidTr="004B1CA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noWrap/>
            <w:vAlign w:val="center"/>
          </w:tcPr>
          <w:p w14:paraId="109C0CA8" w14:textId="77777777" w:rsidR="0015603A" w:rsidRPr="00120B73" w:rsidRDefault="0015603A" w:rsidP="0015603A">
            <w:pPr>
              <w:spacing w:line="360" w:lineRule="auto"/>
              <w:rPr>
                <w:rFonts w:asciiTheme="minorHAnsi" w:hAnsiTheme="minorHAnsi" w:cstheme="minorHAnsi"/>
                <w:sz w:val="22"/>
                <w:szCs w:val="22"/>
                <w:lang w:val="en-IN" w:eastAsia="en-IN"/>
              </w:rPr>
            </w:pPr>
            <w:r w:rsidRPr="00120B73">
              <w:rPr>
                <w:rFonts w:asciiTheme="minorHAnsi" w:hAnsiTheme="minorHAnsi" w:cstheme="minorHAnsi"/>
                <w:color w:val="000000"/>
                <w:sz w:val="22"/>
                <w:szCs w:val="22"/>
                <w:lang w:val="en-IN" w:eastAsia="en-IN"/>
              </w:rPr>
              <w:t>EBITDA Margin %</w:t>
            </w:r>
          </w:p>
        </w:tc>
        <w:tc>
          <w:tcPr>
            <w:tcW w:w="1139" w:type="dxa"/>
            <w:shd w:val="clear" w:color="auto" w:fill="auto"/>
            <w:noWrap/>
            <w:vAlign w:val="center"/>
          </w:tcPr>
          <w:p w14:paraId="48CF2C8E" w14:textId="2BE239AA" w:rsidR="0015603A" w:rsidRPr="00120B73"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33.45%</w:t>
            </w:r>
          </w:p>
        </w:tc>
        <w:tc>
          <w:tcPr>
            <w:tcW w:w="1140" w:type="dxa"/>
            <w:shd w:val="clear" w:color="auto" w:fill="auto"/>
            <w:vAlign w:val="center"/>
          </w:tcPr>
          <w:p w14:paraId="4568A0A6" w14:textId="20CAF9D7" w:rsidR="0015603A"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36.78%</w:t>
            </w:r>
          </w:p>
        </w:tc>
        <w:tc>
          <w:tcPr>
            <w:tcW w:w="1139" w:type="dxa"/>
            <w:shd w:val="clear" w:color="auto" w:fill="auto"/>
            <w:noWrap/>
            <w:vAlign w:val="center"/>
          </w:tcPr>
          <w:p w14:paraId="4EED2990" w14:textId="058EC58C" w:rsidR="0015603A" w:rsidRPr="00120B73"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49.44%</w:t>
            </w:r>
          </w:p>
        </w:tc>
        <w:tc>
          <w:tcPr>
            <w:tcW w:w="1140" w:type="dxa"/>
            <w:shd w:val="clear" w:color="auto" w:fill="auto"/>
            <w:noWrap/>
            <w:vAlign w:val="center"/>
          </w:tcPr>
          <w:p w14:paraId="7B605B51" w14:textId="346626EB" w:rsidR="0015603A" w:rsidRPr="00120B73"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6.30%</w:t>
            </w:r>
          </w:p>
        </w:tc>
        <w:tc>
          <w:tcPr>
            <w:tcW w:w="1140" w:type="dxa"/>
            <w:shd w:val="clear" w:color="auto" w:fill="auto"/>
            <w:vAlign w:val="center"/>
          </w:tcPr>
          <w:p w14:paraId="4E4A134B" w14:textId="032850C3" w:rsidR="0015603A"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50.01%</w:t>
            </w:r>
          </w:p>
        </w:tc>
      </w:tr>
      <w:tr w:rsidR="0015603A" w:rsidRPr="00120B73" w14:paraId="4312EC21" w14:textId="0AD2FD1D" w:rsidTr="004B1CA8">
        <w:trPr>
          <w:trHeight w:val="286"/>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noWrap/>
            <w:vAlign w:val="center"/>
            <w:hideMark/>
          </w:tcPr>
          <w:p w14:paraId="12EDB7A8" w14:textId="77777777" w:rsidR="0015603A" w:rsidRPr="00120B73" w:rsidRDefault="0015603A" w:rsidP="0015603A">
            <w:pPr>
              <w:spacing w:line="360" w:lineRule="auto"/>
              <w:rPr>
                <w:rFonts w:asciiTheme="minorHAnsi" w:hAnsiTheme="minorHAnsi" w:cstheme="minorHAnsi"/>
                <w:color w:val="000000"/>
                <w:sz w:val="22"/>
                <w:szCs w:val="22"/>
                <w:lang w:val="en-IN" w:eastAsia="en-IN"/>
              </w:rPr>
            </w:pPr>
            <w:r w:rsidRPr="00120B73">
              <w:rPr>
                <w:rFonts w:asciiTheme="minorHAnsi" w:hAnsiTheme="minorHAnsi" w:cstheme="minorHAnsi"/>
                <w:color w:val="000000"/>
                <w:sz w:val="22"/>
                <w:szCs w:val="22"/>
                <w:lang w:val="en-IN" w:eastAsia="en-IN"/>
              </w:rPr>
              <w:t>EBIT Margin %</w:t>
            </w:r>
          </w:p>
        </w:tc>
        <w:tc>
          <w:tcPr>
            <w:tcW w:w="1139" w:type="dxa"/>
            <w:shd w:val="clear" w:color="auto" w:fill="auto"/>
            <w:noWrap/>
            <w:vAlign w:val="center"/>
            <w:hideMark/>
          </w:tcPr>
          <w:p w14:paraId="7C8EFFA5" w14:textId="21B06E7B" w:rsidR="0015603A" w:rsidRPr="00120B73" w:rsidRDefault="0015603A" w:rsidP="001560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-41.65%</w:t>
            </w:r>
          </w:p>
        </w:tc>
        <w:tc>
          <w:tcPr>
            <w:tcW w:w="1140" w:type="dxa"/>
            <w:shd w:val="clear" w:color="auto" w:fill="auto"/>
            <w:vAlign w:val="center"/>
          </w:tcPr>
          <w:p w14:paraId="3165EF8F" w14:textId="088B1CBC" w:rsidR="0015603A" w:rsidRDefault="0015603A" w:rsidP="0015603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-28.48%</w:t>
            </w:r>
          </w:p>
        </w:tc>
        <w:tc>
          <w:tcPr>
            <w:tcW w:w="1139" w:type="dxa"/>
            <w:shd w:val="clear" w:color="auto" w:fill="auto"/>
            <w:noWrap/>
            <w:vAlign w:val="center"/>
            <w:hideMark/>
          </w:tcPr>
          <w:p w14:paraId="14F2611E" w14:textId="563F0565" w:rsidR="0015603A" w:rsidRPr="00120B73" w:rsidRDefault="0015603A" w:rsidP="001560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-8.98%</w:t>
            </w:r>
          </w:p>
        </w:tc>
        <w:tc>
          <w:tcPr>
            <w:tcW w:w="1140" w:type="dxa"/>
            <w:shd w:val="clear" w:color="auto" w:fill="auto"/>
            <w:noWrap/>
            <w:vAlign w:val="center"/>
            <w:hideMark/>
          </w:tcPr>
          <w:p w14:paraId="31847F43" w14:textId="168ED8AF" w:rsidR="0015603A" w:rsidRPr="00120B73" w:rsidRDefault="0015603A" w:rsidP="001560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-51.26%</w:t>
            </w:r>
          </w:p>
        </w:tc>
        <w:tc>
          <w:tcPr>
            <w:tcW w:w="1140" w:type="dxa"/>
            <w:shd w:val="clear" w:color="auto" w:fill="auto"/>
            <w:vAlign w:val="center"/>
          </w:tcPr>
          <w:p w14:paraId="5B450558" w14:textId="12487DAD" w:rsidR="0015603A" w:rsidRDefault="0015603A" w:rsidP="0015603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16.68%</w:t>
            </w:r>
          </w:p>
        </w:tc>
      </w:tr>
      <w:tr w:rsidR="0015603A" w:rsidRPr="00120B73" w14:paraId="38125E12" w14:textId="6265A8DD" w:rsidTr="004B1CA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noWrap/>
            <w:vAlign w:val="center"/>
            <w:hideMark/>
          </w:tcPr>
          <w:p w14:paraId="322BD098" w14:textId="7353C8BC" w:rsidR="0015603A" w:rsidRPr="00120B73" w:rsidRDefault="0015603A" w:rsidP="0015603A">
            <w:pPr>
              <w:spacing w:line="360" w:lineRule="auto"/>
              <w:rPr>
                <w:rFonts w:asciiTheme="minorHAnsi" w:hAnsiTheme="minorHAnsi" w:cstheme="minorHAnsi"/>
                <w:color w:val="000000"/>
                <w:sz w:val="22"/>
                <w:szCs w:val="22"/>
                <w:lang w:val="en-IN" w:eastAsia="en-IN"/>
              </w:rPr>
            </w:pPr>
            <w:r w:rsidRPr="00120B73">
              <w:rPr>
                <w:rFonts w:asciiTheme="minorHAnsi" w:hAnsiTheme="minorHAnsi" w:cstheme="minorHAnsi"/>
                <w:color w:val="000000"/>
                <w:sz w:val="22"/>
                <w:szCs w:val="22"/>
                <w:lang w:val="en-IN" w:eastAsia="en-IN"/>
              </w:rPr>
              <w:t>Revenue Growth (Y.O.Y.)</w:t>
            </w:r>
          </w:p>
        </w:tc>
        <w:tc>
          <w:tcPr>
            <w:tcW w:w="1139" w:type="dxa"/>
            <w:shd w:val="clear" w:color="auto" w:fill="auto"/>
            <w:noWrap/>
            <w:vAlign w:val="center"/>
            <w:hideMark/>
          </w:tcPr>
          <w:p w14:paraId="29C0D8F5" w14:textId="40021E72" w:rsidR="0015603A" w:rsidRPr="00120B73"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140" w:type="dxa"/>
            <w:shd w:val="clear" w:color="auto" w:fill="auto"/>
            <w:vAlign w:val="center"/>
          </w:tcPr>
          <w:p w14:paraId="08D1DA6F" w14:textId="554B5B61" w:rsidR="0015603A"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-0.75%</w:t>
            </w:r>
          </w:p>
        </w:tc>
        <w:tc>
          <w:tcPr>
            <w:tcW w:w="1139" w:type="dxa"/>
            <w:shd w:val="clear" w:color="auto" w:fill="auto"/>
            <w:noWrap/>
            <w:vAlign w:val="center"/>
            <w:hideMark/>
          </w:tcPr>
          <w:p w14:paraId="664FFCC7" w14:textId="036BE937" w:rsidR="0015603A" w:rsidRPr="00120B73"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2.72%</w:t>
            </w:r>
          </w:p>
        </w:tc>
        <w:tc>
          <w:tcPr>
            <w:tcW w:w="1140" w:type="dxa"/>
            <w:shd w:val="clear" w:color="auto" w:fill="auto"/>
            <w:noWrap/>
            <w:vAlign w:val="center"/>
            <w:hideMark/>
          </w:tcPr>
          <w:p w14:paraId="25A14CF7" w14:textId="3DB22A06" w:rsidR="0015603A" w:rsidRPr="00120B73"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1.56%</w:t>
            </w:r>
          </w:p>
        </w:tc>
        <w:tc>
          <w:tcPr>
            <w:tcW w:w="1140" w:type="dxa"/>
            <w:shd w:val="clear" w:color="auto" w:fill="auto"/>
            <w:vAlign w:val="center"/>
          </w:tcPr>
          <w:p w14:paraId="710C0897" w14:textId="485D57E7" w:rsidR="0015603A" w:rsidRDefault="0015603A" w:rsidP="0015603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-4.65%</w:t>
            </w:r>
          </w:p>
        </w:tc>
      </w:tr>
    </w:tbl>
    <w:p w14:paraId="41FC5EB2" w14:textId="6BFF647F" w:rsidR="00056E6F" w:rsidRPr="00056E6F" w:rsidRDefault="0015603A" w:rsidP="00B07001">
      <w:pPr>
        <w:pStyle w:val="ListParagraph"/>
        <w:numPr>
          <w:ilvl w:val="0"/>
          <w:numId w:val="15"/>
        </w:numPr>
        <w:tabs>
          <w:tab w:val="left" w:pos="-142"/>
        </w:tabs>
        <w:spacing w:line="360" w:lineRule="auto"/>
        <w:ind w:left="142" w:right="-472" w:hanging="426"/>
        <w:jc w:val="both"/>
        <w:rPr>
          <w:rFonts w:ascii="Arial" w:hAnsi="Arial" w:cs="Arial"/>
          <w:sz w:val="22"/>
          <w:szCs w:val="22"/>
          <w:lang w:val="en-IN"/>
        </w:rPr>
      </w:pPr>
      <w:r>
        <w:rPr>
          <w:rFonts w:ascii="Arial" w:hAnsi="Arial" w:cs="Arial"/>
          <w:b/>
          <w:bCs/>
          <w:sz w:val="22"/>
          <w:szCs w:val="22"/>
        </w:rPr>
        <w:t>G</w:t>
      </w:r>
      <w:r w:rsidR="00056E6F" w:rsidRPr="00056E6F">
        <w:rPr>
          <w:rFonts w:ascii="Arial" w:hAnsi="Arial" w:cs="Arial"/>
          <w:b/>
          <w:bCs/>
          <w:sz w:val="22"/>
          <w:szCs w:val="22"/>
        </w:rPr>
        <w:t>RAPHICAL REPRESENTATION OF THE KEY FINANCIALS OF THE COMPANY</w:t>
      </w:r>
      <w:r w:rsidR="00056E6F">
        <w:rPr>
          <w:rFonts w:ascii="Arial" w:hAnsi="Arial" w:cs="Arial"/>
          <w:b/>
          <w:bCs/>
          <w:sz w:val="22"/>
          <w:szCs w:val="22"/>
        </w:rPr>
        <w:t>:</w:t>
      </w:r>
    </w:p>
    <w:p w14:paraId="0FC1D7BD" w14:textId="0B8ACDE9" w:rsidR="00056E6F" w:rsidRDefault="0015603A" w:rsidP="00056E6F">
      <w:pPr>
        <w:pStyle w:val="ListParagraph"/>
        <w:tabs>
          <w:tab w:val="left" w:pos="-142"/>
        </w:tabs>
        <w:spacing w:line="360" w:lineRule="auto"/>
        <w:ind w:left="142" w:right="-472"/>
        <w:jc w:val="both"/>
        <w:rPr>
          <w:rFonts w:ascii="Arial" w:hAnsi="Arial" w:cs="Arial"/>
          <w:sz w:val="22"/>
          <w:szCs w:val="22"/>
          <w:lang w:val="en-IN"/>
        </w:rPr>
      </w:pPr>
      <w:r>
        <w:rPr>
          <w:rFonts w:ascii="Arial" w:hAnsi="Arial" w:cs="Arial"/>
          <w:noProof/>
          <w:sz w:val="22"/>
          <w:szCs w:val="22"/>
          <w:lang w:val="en-IN" w:eastAsia="en-IN"/>
        </w:rPr>
        <w:drawing>
          <wp:inline distT="0" distB="0" distL="0" distR="0" wp14:anchorId="75EA69A5" wp14:editId="7359EA98">
            <wp:extent cx="5905500" cy="3066415"/>
            <wp:effectExtent l="19050" t="19050" r="1905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3066415"/>
                    </a:xfrm>
                    <a:prstGeom prst="rect">
                      <a:avLst/>
                    </a:prstGeom>
                    <a:noFill/>
                    <a:ln>
                      <a:solidFill>
                        <a:schemeClr val="tx1"/>
                      </a:solidFill>
                    </a:ln>
                  </pic:spPr>
                </pic:pic>
              </a:graphicData>
            </a:graphic>
          </wp:inline>
        </w:drawing>
      </w:r>
    </w:p>
    <w:p w14:paraId="1E2A1C44" w14:textId="77777777" w:rsidR="0087294A" w:rsidRPr="00A74AF8" w:rsidRDefault="0087294A" w:rsidP="006A4F2B">
      <w:pPr>
        <w:tabs>
          <w:tab w:val="left" w:pos="142"/>
        </w:tabs>
        <w:spacing w:line="360" w:lineRule="auto"/>
        <w:ind w:left="142" w:right="-23"/>
        <w:jc w:val="both"/>
        <w:rPr>
          <w:rFonts w:ascii="Arial" w:hAnsi="Arial" w:cs="Arial"/>
          <w:b/>
          <w:i/>
          <w:sz w:val="22"/>
          <w:szCs w:val="22"/>
        </w:rPr>
      </w:pPr>
      <w:r w:rsidRPr="00A74AF8">
        <w:rPr>
          <w:rFonts w:ascii="Arial" w:hAnsi="Arial" w:cs="Arial"/>
          <w:b/>
          <w:i/>
          <w:sz w:val="22"/>
          <w:szCs w:val="22"/>
        </w:rPr>
        <w:t>Note</w:t>
      </w:r>
      <w:r>
        <w:rPr>
          <w:rFonts w:ascii="Arial" w:hAnsi="Arial" w:cs="Arial"/>
          <w:b/>
          <w:i/>
          <w:sz w:val="22"/>
          <w:szCs w:val="22"/>
        </w:rPr>
        <w:t>s</w:t>
      </w:r>
      <w:r w:rsidRPr="00A74AF8">
        <w:rPr>
          <w:rFonts w:ascii="Arial" w:hAnsi="Arial" w:cs="Arial"/>
          <w:b/>
          <w:i/>
          <w:sz w:val="22"/>
          <w:szCs w:val="22"/>
        </w:rPr>
        <w:t>:</w:t>
      </w:r>
    </w:p>
    <w:p w14:paraId="6E17EFC5" w14:textId="586315FA" w:rsidR="00EC0B59" w:rsidRPr="00EC0B59" w:rsidRDefault="00EC0B59" w:rsidP="006A4F2B">
      <w:pPr>
        <w:tabs>
          <w:tab w:val="left" w:pos="142"/>
        </w:tabs>
        <w:spacing w:line="360" w:lineRule="auto"/>
        <w:ind w:left="142" w:right="-23"/>
        <w:jc w:val="both"/>
        <w:rPr>
          <w:rFonts w:ascii="Arial" w:hAnsi="Arial" w:cs="Arial"/>
          <w:sz w:val="22"/>
          <w:szCs w:val="22"/>
        </w:rPr>
      </w:pPr>
      <w:r w:rsidRPr="00EC0B59">
        <w:rPr>
          <w:rFonts w:ascii="Arial" w:hAnsi="Arial" w:cs="Arial"/>
          <w:sz w:val="22"/>
          <w:szCs w:val="22"/>
        </w:rPr>
        <w:t>The EBITDA margin has fluctuated considerably, improving from 33.45% in March 2020 to 49.44% in March 2022, indicating better operational efficiency. However, there was a sharp decline to 6.30% in March 2023, likely due to increased costs, loss of tenancies, or lower revenue realization. By March 2024, the margin rebounded to 50.01% is a positive sign.</w:t>
      </w:r>
    </w:p>
    <w:p w14:paraId="61DE0F01" w14:textId="708DE288" w:rsidR="00EC0B59" w:rsidRPr="00EC0B59" w:rsidRDefault="00EC0B59" w:rsidP="006A4F2B">
      <w:pPr>
        <w:tabs>
          <w:tab w:val="left" w:pos="142"/>
        </w:tabs>
        <w:spacing w:line="360" w:lineRule="auto"/>
        <w:ind w:left="142" w:right="-23"/>
        <w:jc w:val="both"/>
        <w:rPr>
          <w:rFonts w:ascii="Arial" w:hAnsi="Arial" w:cs="Arial"/>
          <w:sz w:val="22"/>
          <w:szCs w:val="22"/>
        </w:rPr>
      </w:pPr>
      <w:r w:rsidRPr="00EC0B59">
        <w:rPr>
          <w:rFonts w:ascii="Arial" w:hAnsi="Arial" w:cs="Arial"/>
          <w:sz w:val="22"/>
          <w:szCs w:val="22"/>
        </w:rPr>
        <w:t>The EBIT margin has remained negative for most of the period, indicating that depreciation, amortization, and other fixed costs continue to weigh on profitability. Although it improved from -41.65% in March 2020 to -8.98% in March 2022, it fell drastically to -51.26% in March 2023, likely due to impairment provisions or increased expenses. The shift to 16.68% in March 2024 is a positive sign.</w:t>
      </w:r>
    </w:p>
    <w:p w14:paraId="78915EBE" w14:textId="53AC5A43" w:rsidR="000E09D0" w:rsidRPr="00EC0B59" w:rsidRDefault="00EC0B59" w:rsidP="00EC0B59">
      <w:pPr>
        <w:tabs>
          <w:tab w:val="left" w:pos="142"/>
        </w:tabs>
        <w:spacing w:line="360" w:lineRule="auto"/>
        <w:ind w:left="142" w:right="-23"/>
        <w:jc w:val="both"/>
        <w:rPr>
          <w:rFonts w:ascii="Arial" w:hAnsi="Arial" w:cs="Arial"/>
          <w:sz w:val="22"/>
          <w:szCs w:val="22"/>
          <w:highlight w:val="yellow"/>
        </w:rPr>
      </w:pPr>
      <w:r w:rsidRPr="00EC0B59">
        <w:rPr>
          <w:rFonts w:ascii="Arial" w:hAnsi="Arial" w:cs="Arial"/>
          <w:sz w:val="22"/>
          <w:szCs w:val="22"/>
        </w:rPr>
        <w:t xml:space="preserve">Revenue growth has been inconsistent, with a slight decline of -0.75% in March 2021, followed by modest growth of 2.72% in March 2022 and 1.56% in March 2023. However, in March 2024, revenue contracted by -4.65%, possibly due to tenancy losses, site dismantling, or industry-wide challenges. </w:t>
      </w:r>
      <w:bookmarkStart w:id="21" w:name="_Hlk124249007"/>
      <w:r w:rsidR="000E09D0">
        <w:br w:type="page"/>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4"/>
        <w:gridCol w:w="8248"/>
      </w:tblGrid>
      <w:tr w:rsidR="00600E0E" w:rsidRPr="003B6472" w14:paraId="6493DC78" w14:textId="77777777" w:rsidTr="004B1CA8">
        <w:trPr>
          <w:trHeight w:val="558"/>
        </w:trPr>
        <w:tc>
          <w:tcPr>
            <w:tcW w:w="1534" w:type="dxa"/>
            <w:shd w:val="clear" w:color="auto" w:fill="002060"/>
            <w:vAlign w:val="center"/>
          </w:tcPr>
          <w:p w14:paraId="6B2ECC1C" w14:textId="26F74EA9" w:rsidR="00600E0E" w:rsidRPr="003B6472" w:rsidRDefault="00600E0E" w:rsidP="0067033C">
            <w:pPr>
              <w:spacing w:after="0" w:line="240" w:lineRule="auto"/>
              <w:ind w:left="-112" w:firstLine="112"/>
              <w:jc w:val="center"/>
              <w:rPr>
                <w:rFonts w:ascii="Arial" w:eastAsia="Arial" w:hAnsi="Arial" w:cs="Arial"/>
                <w:b/>
                <w:color w:val="000000"/>
              </w:rPr>
            </w:pPr>
            <w:r>
              <w:br w:type="page"/>
            </w:r>
            <w:r>
              <w:rPr>
                <w:rFonts w:ascii="Arial" w:eastAsia="Arial" w:hAnsi="Arial" w:cs="Arial"/>
                <w:b/>
                <w:color w:val="FFFFFF"/>
                <w:sz w:val="22"/>
                <w:szCs w:val="22"/>
              </w:rPr>
              <w:t>PART F</w:t>
            </w:r>
          </w:p>
        </w:tc>
        <w:tc>
          <w:tcPr>
            <w:tcW w:w="8248" w:type="dxa"/>
            <w:shd w:val="clear" w:color="auto" w:fill="DEEAF6" w:themeFill="accent1" w:themeFillTint="33"/>
            <w:vAlign w:val="center"/>
          </w:tcPr>
          <w:p w14:paraId="7D594408" w14:textId="26F13495" w:rsidR="00600E0E" w:rsidRPr="003B6472" w:rsidRDefault="00600E0E" w:rsidP="0067033C">
            <w:pPr>
              <w:tabs>
                <w:tab w:val="left" w:pos="360"/>
              </w:tabs>
              <w:spacing w:after="0" w:line="240" w:lineRule="auto"/>
              <w:jc w:val="center"/>
              <w:rPr>
                <w:rFonts w:ascii="Arial" w:eastAsia="Arial" w:hAnsi="Arial" w:cs="Arial"/>
                <w:b/>
                <w:color w:val="000000"/>
              </w:rPr>
            </w:pPr>
            <w:r w:rsidRPr="0039670B">
              <w:rPr>
                <w:rFonts w:ascii="Arial" w:hAnsi="Arial" w:cs="Arial"/>
                <w:b/>
                <w:sz w:val="22"/>
                <w:szCs w:val="22"/>
              </w:rPr>
              <w:t>VALUATION OF THE COMPANY</w:t>
            </w:r>
          </w:p>
        </w:tc>
      </w:tr>
      <w:bookmarkEnd w:id="21"/>
    </w:tbl>
    <w:p w14:paraId="2468FFEC" w14:textId="77777777" w:rsidR="00600E0E" w:rsidRPr="0039670B" w:rsidRDefault="00600E0E" w:rsidP="0008705A">
      <w:pPr>
        <w:pStyle w:val="Default"/>
        <w:spacing w:line="360" w:lineRule="auto"/>
        <w:rPr>
          <w:b/>
          <w:color w:val="auto"/>
          <w:sz w:val="22"/>
          <w:szCs w:val="22"/>
          <w:u w:val="single"/>
        </w:rPr>
      </w:pPr>
    </w:p>
    <w:p w14:paraId="62C59201" w14:textId="77777777" w:rsidR="00D009F6" w:rsidRDefault="000423CA" w:rsidP="00D009F6">
      <w:pPr>
        <w:pStyle w:val="Default"/>
        <w:numPr>
          <w:ilvl w:val="0"/>
          <w:numId w:val="19"/>
        </w:numPr>
        <w:spacing w:after="240"/>
        <w:ind w:left="142"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p>
    <w:p w14:paraId="40BB08C0" w14:textId="71F86EF5" w:rsidR="000423CA" w:rsidRPr="00684E59" w:rsidRDefault="000423CA" w:rsidP="00D009F6">
      <w:pPr>
        <w:pStyle w:val="Default"/>
        <w:spacing w:after="240" w:line="360" w:lineRule="auto"/>
        <w:ind w:left="142" w:right="16"/>
        <w:jc w:val="both"/>
        <w:rPr>
          <w:color w:val="auto"/>
          <w:sz w:val="22"/>
          <w:szCs w:val="22"/>
        </w:rPr>
      </w:pPr>
      <w:r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624B972C" w14:textId="77777777" w:rsidR="000423CA" w:rsidRPr="000E0DB8" w:rsidRDefault="000423CA" w:rsidP="00B07001">
      <w:pPr>
        <w:pStyle w:val="Default"/>
        <w:numPr>
          <w:ilvl w:val="0"/>
          <w:numId w:val="21"/>
        </w:numPr>
        <w:tabs>
          <w:tab w:val="left" w:pos="567"/>
        </w:tabs>
        <w:spacing w:after="240" w:line="360" w:lineRule="auto"/>
        <w:ind w:left="567" w:right="16" w:hanging="425"/>
        <w:jc w:val="both"/>
        <w:rPr>
          <w:color w:val="auto"/>
          <w:sz w:val="22"/>
          <w:szCs w:val="22"/>
        </w:rPr>
      </w:pPr>
      <w:r w:rsidRPr="000E0DB8">
        <w:rPr>
          <w:sz w:val="22"/>
          <w:szCs w:val="22"/>
        </w:rPr>
        <w:t xml:space="preserve">The free cash flow method is similar to the method used for public companies. </w:t>
      </w:r>
    </w:p>
    <w:p w14:paraId="08F362A2" w14:textId="77777777" w:rsidR="000423CA" w:rsidRPr="006F5C85" w:rsidRDefault="000423CA" w:rsidP="00B07001">
      <w:pPr>
        <w:pStyle w:val="Default"/>
        <w:numPr>
          <w:ilvl w:val="0"/>
          <w:numId w:val="21"/>
        </w:numPr>
        <w:tabs>
          <w:tab w:val="left" w:pos="567"/>
        </w:tabs>
        <w:spacing w:after="240" w:line="360" w:lineRule="auto"/>
        <w:ind w:left="567"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7C1B86B0" w14:textId="77777777" w:rsidR="000423CA" w:rsidRDefault="000423CA" w:rsidP="00B07001">
      <w:pPr>
        <w:pStyle w:val="Default"/>
        <w:numPr>
          <w:ilvl w:val="0"/>
          <w:numId w:val="21"/>
        </w:numPr>
        <w:tabs>
          <w:tab w:val="left" w:pos="567"/>
        </w:tabs>
        <w:spacing w:after="240" w:line="360" w:lineRule="auto"/>
        <w:ind w:left="567" w:right="16" w:hanging="425"/>
        <w:jc w:val="both"/>
        <w:rPr>
          <w:color w:val="auto"/>
          <w:sz w:val="22"/>
          <w:szCs w:val="22"/>
        </w:rPr>
      </w:pPr>
      <w:r w:rsidRPr="00EC0549">
        <w:rPr>
          <w:color w:val="auto"/>
          <w:sz w:val="22"/>
          <w:szCs w:val="22"/>
        </w:rPr>
        <w:t>In this method, we calculate the free cash flow to firm (FCFF) for the projected period.</w:t>
      </w:r>
    </w:p>
    <w:p w14:paraId="470B03BA" w14:textId="77777777" w:rsidR="000423CA" w:rsidRDefault="000423CA" w:rsidP="00B07001">
      <w:pPr>
        <w:pStyle w:val="Default"/>
        <w:numPr>
          <w:ilvl w:val="0"/>
          <w:numId w:val="21"/>
        </w:numPr>
        <w:tabs>
          <w:tab w:val="left" w:pos="567"/>
        </w:tabs>
        <w:spacing w:line="360" w:lineRule="auto"/>
        <w:ind w:left="567"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0C9ABEBB" w14:textId="5305B61B" w:rsidR="000423CA" w:rsidRPr="00F06B4C" w:rsidRDefault="000423CA" w:rsidP="000423CA">
      <w:pPr>
        <w:pStyle w:val="Default"/>
        <w:spacing w:before="240" w:after="240" w:line="360" w:lineRule="auto"/>
        <w:ind w:left="142" w:right="16"/>
        <w:jc w:val="both"/>
        <w:rPr>
          <w:b/>
          <w:color w:val="auto"/>
          <w:sz w:val="22"/>
          <w:szCs w:val="22"/>
        </w:rPr>
      </w:pPr>
      <w:r>
        <w:rPr>
          <w:b/>
          <w:color w:val="auto"/>
          <w:sz w:val="22"/>
          <w:szCs w:val="22"/>
        </w:rPr>
        <w:t xml:space="preserve">RATIONALE FOR USING DCF METHOD FOR ENTERPRISE VALUATION: </w:t>
      </w:r>
    </w:p>
    <w:p w14:paraId="2793BC57" w14:textId="77777777" w:rsidR="000423CA" w:rsidRPr="00EC0549" w:rsidRDefault="000423CA" w:rsidP="00B07001">
      <w:pPr>
        <w:pStyle w:val="Default"/>
        <w:numPr>
          <w:ilvl w:val="0"/>
          <w:numId w:val="22"/>
        </w:numPr>
        <w:spacing w:after="240" w:line="360" w:lineRule="auto"/>
        <w:ind w:left="567"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Pr>
          <w:color w:val="auto"/>
          <w:sz w:val="22"/>
          <w:szCs w:val="22"/>
        </w:rPr>
        <w:t xml:space="preserve"> </w:t>
      </w:r>
      <w:r w:rsidRPr="00EC0549">
        <w:rPr>
          <w:color w:val="auto"/>
          <w:sz w:val="22"/>
          <w:szCs w:val="22"/>
        </w:rPr>
        <w:t>Asset Value Method) and Relative Valuation Approach (Market Multiple method).</w:t>
      </w:r>
    </w:p>
    <w:p w14:paraId="69AD161E" w14:textId="77777777" w:rsidR="000423CA" w:rsidRDefault="000423CA" w:rsidP="00B07001">
      <w:pPr>
        <w:pStyle w:val="Default"/>
        <w:numPr>
          <w:ilvl w:val="0"/>
          <w:numId w:val="22"/>
        </w:numPr>
        <w:spacing w:after="240" w:line="360" w:lineRule="auto"/>
        <w:ind w:left="567" w:right="16" w:hanging="425"/>
        <w:jc w:val="both"/>
        <w:rPr>
          <w:color w:val="auto"/>
          <w:sz w:val="22"/>
          <w:szCs w:val="22"/>
        </w:rPr>
      </w:pPr>
      <w:r>
        <w:rPr>
          <w:color w:val="auto"/>
          <w:sz w:val="22"/>
          <w:szCs w:val="22"/>
        </w:rPr>
        <w:t>Asset Based Model is inappropriate as the Company is a going concern and the model is unable to capture the Value of the company.</w:t>
      </w:r>
    </w:p>
    <w:p w14:paraId="6083BAC3" w14:textId="20E8898F" w:rsidR="00443BE2" w:rsidRPr="0039670B" w:rsidRDefault="00443BE2" w:rsidP="00B07001">
      <w:pPr>
        <w:pStyle w:val="Default"/>
        <w:numPr>
          <w:ilvl w:val="0"/>
          <w:numId w:val="22"/>
        </w:numPr>
        <w:spacing w:after="240" w:line="360" w:lineRule="auto"/>
        <w:ind w:left="567" w:right="16" w:hanging="425"/>
        <w:jc w:val="both"/>
        <w:rPr>
          <w:color w:val="auto"/>
          <w:sz w:val="22"/>
          <w:szCs w:val="22"/>
        </w:rPr>
      </w:pPr>
      <w:r w:rsidRPr="0039670B">
        <w:rPr>
          <w:color w:val="auto"/>
          <w:sz w:val="22"/>
          <w:szCs w:val="22"/>
        </w:rPr>
        <w:t>Market Multiple Approach is also not suitable as no proper similar recent comparable transactions are available.</w:t>
      </w:r>
    </w:p>
    <w:p w14:paraId="31EC2857" w14:textId="77777777" w:rsidR="000423CA" w:rsidRPr="00EC0549" w:rsidRDefault="000423CA" w:rsidP="00B07001">
      <w:pPr>
        <w:pStyle w:val="Default"/>
        <w:numPr>
          <w:ilvl w:val="0"/>
          <w:numId w:val="22"/>
        </w:numPr>
        <w:spacing w:after="240" w:line="360" w:lineRule="auto"/>
        <w:ind w:left="567" w:right="16" w:hanging="425"/>
        <w:jc w:val="both"/>
        <w:rPr>
          <w:color w:val="auto"/>
          <w:sz w:val="18"/>
          <w:szCs w:val="18"/>
        </w:rPr>
      </w:pPr>
      <w:r w:rsidRPr="0038176D">
        <w:rPr>
          <w:color w:val="auto"/>
          <w:sz w:val="22"/>
          <w:szCs w:val="22"/>
        </w:rPr>
        <w:t>Instead, DCF method is used which determines the value of a business based on its ability to</w:t>
      </w:r>
      <w:r w:rsidRPr="00EC0549">
        <w:rPr>
          <w:sz w:val="22"/>
          <w:szCs w:val="22"/>
        </w:rPr>
        <w:t xml:space="preserve"> generate desired economic benefit/ cash flows for the owners. Thus, considering the nature of business, we have used DCF method for valuing the Company</w:t>
      </w:r>
      <w:r>
        <w:rPr>
          <w:sz w:val="22"/>
          <w:szCs w:val="22"/>
        </w:rPr>
        <w:t>.</w:t>
      </w:r>
    </w:p>
    <w:p w14:paraId="2D2BA75C" w14:textId="77777777" w:rsidR="00443BE2" w:rsidRDefault="00443BE2" w:rsidP="00B07001">
      <w:pPr>
        <w:pStyle w:val="Default"/>
        <w:numPr>
          <w:ilvl w:val="0"/>
          <w:numId w:val="22"/>
        </w:numPr>
        <w:spacing w:after="240" w:line="360" w:lineRule="auto"/>
        <w:ind w:left="567" w:right="16"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4BD4544B" w14:textId="732670C7" w:rsidR="000423CA" w:rsidRDefault="000423CA" w:rsidP="00B07001">
      <w:pPr>
        <w:pStyle w:val="Default"/>
        <w:numPr>
          <w:ilvl w:val="0"/>
          <w:numId w:val="22"/>
        </w:numPr>
        <w:spacing w:after="240" w:line="360" w:lineRule="auto"/>
        <w:ind w:left="567" w:right="16" w:hanging="425"/>
        <w:jc w:val="both"/>
        <w:rPr>
          <w:color w:val="auto"/>
          <w:sz w:val="22"/>
          <w:szCs w:val="22"/>
        </w:rPr>
      </w:pPr>
      <w:r>
        <w:rPr>
          <w:color w:val="auto"/>
          <w:sz w:val="22"/>
          <w:szCs w:val="22"/>
        </w:rPr>
        <w:t xml:space="preserve">Dividends cannot be used as the Company has no </w:t>
      </w:r>
      <w:r w:rsidR="001E3C34">
        <w:rPr>
          <w:color w:val="auto"/>
          <w:sz w:val="22"/>
          <w:szCs w:val="22"/>
        </w:rPr>
        <w:t xml:space="preserve">recent </w:t>
      </w:r>
      <w:r>
        <w:rPr>
          <w:color w:val="auto"/>
          <w:sz w:val="22"/>
          <w:szCs w:val="22"/>
        </w:rPr>
        <w:t xml:space="preserve">history of paying dividends and we don’t foresee any dividend payments to occur in the future due to the high leverage of the firm. </w:t>
      </w:r>
    </w:p>
    <w:p w14:paraId="7C00432A" w14:textId="259242AC" w:rsidR="000423CA" w:rsidRPr="00B64458" w:rsidRDefault="000423CA" w:rsidP="00B07001">
      <w:pPr>
        <w:pStyle w:val="Default"/>
        <w:numPr>
          <w:ilvl w:val="0"/>
          <w:numId w:val="22"/>
        </w:numPr>
        <w:spacing w:after="240" w:line="360" w:lineRule="auto"/>
        <w:ind w:left="567" w:right="16" w:hanging="425"/>
        <w:jc w:val="both"/>
        <w:rPr>
          <w:color w:val="auto"/>
          <w:sz w:val="22"/>
          <w:szCs w:val="22"/>
        </w:rPr>
      </w:pPr>
      <w:r w:rsidRPr="008308D5">
        <w:rPr>
          <w:color w:val="auto"/>
          <w:sz w:val="22"/>
          <w:szCs w:val="22"/>
        </w:rPr>
        <w:t xml:space="preserve">The best method input option for the PV Model in the case of M/s </w:t>
      </w:r>
      <w:proofErr w:type="spellStart"/>
      <w:r w:rsidR="005430BF">
        <w:rPr>
          <w:color w:val="auto"/>
          <w:sz w:val="22"/>
          <w:szCs w:val="22"/>
          <w:lang w:val="en-US"/>
        </w:rPr>
        <w:t>Aadhaar</w:t>
      </w:r>
      <w:proofErr w:type="spellEnd"/>
      <w:r w:rsidR="001B5D5F">
        <w:rPr>
          <w:color w:val="auto"/>
          <w:sz w:val="22"/>
          <w:szCs w:val="22"/>
          <w:lang w:val="en-US"/>
        </w:rPr>
        <w:t xml:space="preserve"> Wholesale Trading and Distribution </w:t>
      </w:r>
      <w:r>
        <w:rPr>
          <w:color w:val="auto"/>
          <w:sz w:val="22"/>
          <w:szCs w:val="22"/>
          <w:lang w:val="en-US"/>
        </w:rPr>
        <w:t>Limited</w:t>
      </w:r>
      <w:r w:rsidRPr="008308D5">
        <w:rPr>
          <w:color w:val="auto"/>
          <w:sz w:val="22"/>
          <w:szCs w:val="22"/>
        </w:rPr>
        <w:t xml:space="preserve"> will be FCFF as it represents the benefits a</w:t>
      </w:r>
      <w:r w:rsidR="001B5D5F">
        <w:rPr>
          <w:color w:val="auto"/>
          <w:sz w:val="22"/>
          <w:szCs w:val="22"/>
        </w:rPr>
        <w:t>ttrib</w:t>
      </w:r>
      <w:r w:rsidRPr="008308D5">
        <w:rPr>
          <w:color w:val="auto"/>
          <w:sz w:val="22"/>
          <w:szCs w:val="22"/>
        </w:rPr>
        <w:t>u</w:t>
      </w:r>
      <w:r w:rsidR="001B5D5F">
        <w:rPr>
          <w:color w:val="auto"/>
          <w:sz w:val="22"/>
          <w:szCs w:val="22"/>
        </w:rPr>
        <w:t>t</w:t>
      </w:r>
      <w:r w:rsidRPr="008308D5">
        <w:rPr>
          <w:color w:val="auto"/>
          <w:sz w:val="22"/>
          <w:szCs w:val="22"/>
        </w:rPr>
        <w:t>able to all the stakeholders in the Business enterprise.</w:t>
      </w:r>
      <w:r w:rsidRPr="00987B89">
        <w:rPr>
          <w:color w:val="auto"/>
          <w:sz w:val="22"/>
          <w:szCs w:val="22"/>
        </w:rPr>
        <w:t xml:space="preserve"> </w:t>
      </w:r>
    </w:p>
    <w:p w14:paraId="311D962C" w14:textId="77777777" w:rsidR="000423CA" w:rsidRDefault="000423CA" w:rsidP="000423CA">
      <w:pPr>
        <w:pStyle w:val="Default"/>
        <w:spacing w:after="240" w:line="360" w:lineRule="auto"/>
        <w:ind w:right="-23" w:firstLine="142"/>
        <w:rPr>
          <w:b/>
          <w:color w:val="auto"/>
          <w:sz w:val="22"/>
          <w:szCs w:val="22"/>
        </w:rPr>
      </w:pPr>
      <w:r w:rsidRPr="006F5C85">
        <w:rPr>
          <w:b/>
          <w:color w:val="auto"/>
          <w:sz w:val="22"/>
          <w:szCs w:val="22"/>
        </w:rPr>
        <w:t>FCFF Model Formula and Key Inputs:</w:t>
      </w:r>
    </w:p>
    <w:p w14:paraId="5716EFD3" w14:textId="77777777" w:rsidR="000423CA" w:rsidRDefault="000423CA" w:rsidP="000423CA">
      <w:pPr>
        <w:pStyle w:val="Default"/>
        <w:spacing w:after="240" w:line="360" w:lineRule="auto"/>
        <w:ind w:right="-23"/>
        <w:jc w:val="center"/>
        <w:rPr>
          <w:b/>
          <w:color w:val="auto"/>
          <w:sz w:val="22"/>
          <w:szCs w:val="22"/>
          <w:u w:val="single"/>
        </w:rPr>
      </w:pPr>
      <w:r w:rsidRPr="006F5C85">
        <w:rPr>
          <w:noProof/>
          <w:color w:val="auto"/>
          <w:sz w:val="22"/>
          <w:szCs w:val="22"/>
          <w:lang w:eastAsia="en-IN"/>
        </w:rPr>
        <w:drawing>
          <wp:inline distT="0" distB="0" distL="0" distR="0" wp14:anchorId="7B2CA01F" wp14:editId="4F616265">
            <wp:extent cx="3819525" cy="636270"/>
            <wp:effectExtent l="19050" t="19050" r="28575" b="11430"/>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503" t="42819" r="50767" b="10060"/>
                    <a:stretch/>
                  </pic:blipFill>
                  <pic:spPr bwMode="auto">
                    <a:xfrm>
                      <a:off x="0" y="0"/>
                      <a:ext cx="3819525" cy="636270"/>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5FB4353" w14:textId="77777777" w:rsidR="000423CA" w:rsidRDefault="000423CA" w:rsidP="00B07001">
      <w:pPr>
        <w:pStyle w:val="Default"/>
        <w:numPr>
          <w:ilvl w:val="0"/>
          <w:numId w:val="20"/>
        </w:numPr>
        <w:spacing w:after="240" w:line="360" w:lineRule="auto"/>
        <w:ind w:left="426" w:right="-23" w:hanging="284"/>
        <w:jc w:val="both"/>
        <w:rPr>
          <w:color w:val="auto"/>
          <w:sz w:val="22"/>
          <w:szCs w:val="22"/>
        </w:rPr>
      </w:pPr>
      <w:r w:rsidRPr="00943F6E">
        <w:rPr>
          <w:b/>
          <w:color w:val="auto"/>
          <w:sz w:val="22"/>
          <w:szCs w:val="22"/>
        </w:rPr>
        <w:t>Free Cash Flow to Firm (FCFF)</w:t>
      </w:r>
      <w:r w:rsidRPr="00943F6E">
        <w:rPr>
          <w:b/>
          <w:bCs/>
          <w:color w:val="auto"/>
          <w:sz w:val="22"/>
          <w:szCs w:val="22"/>
        </w:rPr>
        <w:t>:</w:t>
      </w:r>
      <w:r w:rsidRPr="00943F6E">
        <w:rPr>
          <w:color w:val="auto"/>
          <w:sz w:val="22"/>
          <w:szCs w:val="22"/>
        </w:rPr>
        <w:t xml:space="preserve"> FCFF </w:t>
      </w:r>
      <w:r w:rsidRPr="00943F6E">
        <w:rPr>
          <w:sz w:val="22"/>
          <w:szCs w:val="22"/>
        </w:rPr>
        <w:t xml:space="preserve">is </w:t>
      </w:r>
      <w:r w:rsidRPr="00943F6E">
        <w:rPr>
          <w:color w:val="auto"/>
          <w:sz w:val="22"/>
          <w:szCs w:val="22"/>
        </w:rPr>
        <w:t>the </w:t>
      </w:r>
      <w:hyperlink r:id="rId19" w:history="1">
        <w:r w:rsidRPr="00943F6E">
          <w:rPr>
            <w:rStyle w:val="Hyperlink"/>
            <w:color w:val="auto"/>
            <w:sz w:val="22"/>
            <w:szCs w:val="22"/>
            <w:u w:val="none"/>
          </w:rPr>
          <w:t>cash</w:t>
        </w:r>
      </w:hyperlink>
      <w:r w:rsidRPr="00943F6E">
        <w:rPr>
          <w:color w:val="auto"/>
          <w:sz w:val="22"/>
          <w:szCs w:val="22"/>
        </w:rPr>
        <w:t> available to pay investors after a company pays its costs of doing business, invests in short-term assets like </w:t>
      </w:r>
      <w:hyperlink r:id="rId20" w:history="1">
        <w:r w:rsidRPr="00943F6E">
          <w:rPr>
            <w:rStyle w:val="Hyperlink"/>
            <w:color w:val="auto"/>
            <w:sz w:val="22"/>
            <w:szCs w:val="22"/>
            <w:u w:val="none"/>
          </w:rPr>
          <w:t>inventory</w:t>
        </w:r>
      </w:hyperlink>
      <w:r w:rsidRPr="00943F6E">
        <w:rPr>
          <w:color w:val="auto"/>
          <w:sz w:val="22"/>
          <w:szCs w:val="22"/>
        </w:rPr>
        <w:t>, and invests in assets like property, plants and equipment.</w:t>
      </w:r>
    </w:p>
    <w:p w14:paraId="3352A08B" w14:textId="77777777" w:rsidR="000423CA" w:rsidRPr="00B64458" w:rsidRDefault="000423CA" w:rsidP="000423CA">
      <w:pPr>
        <w:pStyle w:val="Default"/>
        <w:spacing w:after="240" w:line="360" w:lineRule="auto"/>
        <w:ind w:left="426" w:right="-23"/>
        <w:jc w:val="both"/>
        <w:rPr>
          <w:color w:val="auto"/>
          <w:sz w:val="22"/>
          <w:szCs w:val="22"/>
        </w:rPr>
      </w:pPr>
      <w:r w:rsidRPr="00B64458">
        <w:rPr>
          <w:bCs/>
          <w:i/>
          <w:iCs/>
          <w:color w:val="auto"/>
          <w:sz w:val="22"/>
          <w:szCs w:val="22"/>
        </w:rPr>
        <w:t>FCFF = Net Income + Non-Cash Charges + Interest (1 - tax rate) – Working Capital Investment – Fixed Capital Investment.</w:t>
      </w:r>
    </w:p>
    <w:p w14:paraId="03E5C2BA" w14:textId="77777777" w:rsidR="000423CA" w:rsidRPr="00237E8A" w:rsidRDefault="000423CA" w:rsidP="00B07001">
      <w:pPr>
        <w:pStyle w:val="Default"/>
        <w:numPr>
          <w:ilvl w:val="0"/>
          <w:numId w:val="20"/>
        </w:numPr>
        <w:spacing w:after="240" w:line="360" w:lineRule="auto"/>
        <w:ind w:left="426" w:right="-23" w:hanging="284"/>
        <w:jc w:val="both"/>
        <w:rPr>
          <w:b/>
          <w:i/>
          <w:color w:val="auto"/>
          <w:sz w:val="22"/>
          <w:szCs w:val="22"/>
        </w:rPr>
      </w:pPr>
      <w:r w:rsidRPr="006F5C85">
        <w:rPr>
          <w:b/>
          <w:sz w:val="22"/>
          <w:szCs w:val="22"/>
        </w:rPr>
        <w:t>Weighted Average Cost of Capital (WACC)</w:t>
      </w:r>
      <w:r w:rsidRPr="00940E9E">
        <w:rPr>
          <w:b/>
          <w:bCs/>
          <w:sz w:val="22"/>
          <w:szCs w:val="22"/>
        </w:rPr>
        <w:t>:</w:t>
      </w:r>
      <w:r>
        <w:rPr>
          <w:b/>
          <w:i/>
          <w:color w:val="auto"/>
          <w:sz w:val="22"/>
          <w:szCs w:val="22"/>
        </w:rPr>
        <w:t xml:space="preserve"> </w:t>
      </w:r>
      <w:bookmarkStart w:id="22" w:name="_Hlk120802501"/>
      <w:r w:rsidRPr="00943F6E">
        <w:rPr>
          <w:sz w:val="22"/>
          <w:szCs w:val="22"/>
        </w:rPr>
        <w:t xml:space="preserve">The weighted average cost of capital (WACC) is the rate that a company is expected to pay on average to all its security </w:t>
      </w:r>
      <w:r w:rsidRPr="00943F6E">
        <w:rPr>
          <w:color w:val="auto"/>
          <w:sz w:val="22"/>
          <w:szCs w:val="22"/>
        </w:rPr>
        <w:t xml:space="preserve">holders to finance its assets. The WACC is commonly referred to as the firm’s cost of capital. WACC is used as the discount rate to discount FCFF. </w:t>
      </w:r>
      <w:bookmarkEnd w:id="22"/>
    </w:p>
    <w:p w14:paraId="206BFEF6" w14:textId="77777777" w:rsidR="000423CA" w:rsidRPr="006F5C85" w:rsidRDefault="000423CA" w:rsidP="004149CC">
      <w:pPr>
        <w:pStyle w:val="Default"/>
        <w:spacing w:after="240" w:line="360" w:lineRule="auto"/>
        <w:ind w:left="426" w:right="-23"/>
        <w:jc w:val="center"/>
        <w:rPr>
          <w:b/>
          <w:i/>
          <w:color w:val="auto"/>
          <w:sz w:val="22"/>
          <w:szCs w:val="22"/>
        </w:rPr>
      </w:pPr>
      <w:r w:rsidRPr="006F5C85">
        <w:rPr>
          <w:b/>
          <w:i/>
          <w:noProof/>
          <w:color w:val="auto"/>
          <w:sz w:val="22"/>
          <w:szCs w:val="22"/>
          <w:lang w:eastAsia="en-IN"/>
        </w:rPr>
        <w:drawing>
          <wp:inline distT="0" distB="0" distL="0" distR="0" wp14:anchorId="14F8F188" wp14:editId="27B322FF">
            <wp:extent cx="4276725" cy="447675"/>
            <wp:effectExtent l="19050" t="19050" r="28575" b="28575"/>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6725" cy="447675"/>
                    </a:xfrm>
                    <a:prstGeom prst="rect">
                      <a:avLst/>
                    </a:prstGeom>
                    <a:noFill/>
                    <a:ln w="3175">
                      <a:solidFill>
                        <a:schemeClr val="tx1"/>
                      </a:solidFill>
                    </a:ln>
                  </pic:spPr>
                </pic:pic>
              </a:graphicData>
            </a:graphic>
          </wp:inline>
        </w:drawing>
      </w:r>
    </w:p>
    <w:p w14:paraId="6A20EF58" w14:textId="77777777" w:rsidR="000423CA" w:rsidRDefault="000423CA" w:rsidP="004149CC">
      <w:pPr>
        <w:pStyle w:val="Default"/>
        <w:spacing w:line="360" w:lineRule="auto"/>
        <w:ind w:left="426"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w:t>
      </w:r>
      <w:proofErr w:type="spellStart"/>
      <w:proofErr w:type="gramStart"/>
      <w:r w:rsidRPr="006F5C85">
        <w:rPr>
          <w:color w:val="222222"/>
          <w:sz w:val="22"/>
          <w:szCs w:val="22"/>
          <w:shd w:val="clear" w:color="auto" w:fill="FFFFFF"/>
        </w:rPr>
        <w:t>K</w:t>
      </w:r>
      <w:r w:rsidRPr="006F5C85">
        <w:rPr>
          <w:color w:val="222222"/>
          <w:sz w:val="22"/>
          <w:szCs w:val="22"/>
          <w:shd w:val="clear" w:color="auto" w:fill="FFFFFF"/>
          <w:vertAlign w:val="subscript"/>
        </w:rPr>
        <w:t>d</w:t>
      </w:r>
      <w:proofErr w:type="spellEnd"/>
      <w:proofErr w:type="gramEnd"/>
      <w:r w:rsidRPr="006F5C85">
        <w:rPr>
          <w:color w:val="222222"/>
          <w:sz w:val="22"/>
          <w:szCs w:val="22"/>
          <w:shd w:val="clear" w:color="auto" w:fill="FFFFFF"/>
          <w:vertAlign w:val="subscript"/>
        </w:rPr>
        <w:t xml:space="preserve"> </w:t>
      </w:r>
      <w:r w:rsidRPr="006F5C85">
        <w:rPr>
          <w:color w:val="222222"/>
          <w:sz w:val="22"/>
          <w:szCs w:val="22"/>
          <w:shd w:val="clear" w:color="auto" w:fill="FFFFFF"/>
        </w:rPr>
        <w:t xml:space="preserve">and </w:t>
      </w:r>
      <w:proofErr w:type="spellStart"/>
      <w:r w:rsidRPr="006F5C85">
        <w:rPr>
          <w:color w:val="222222"/>
          <w:sz w:val="22"/>
          <w:szCs w:val="22"/>
          <w:shd w:val="clear" w:color="auto" w:fill="FFFFFF"/>
        </w:rPr>
        <w:t>K</w:t>
      </w:r>
      <w:r w:rsidRPr="006F5C85">
        <w:rPr>
          <w:color w:val="222222"/>
          <w:sz w:val="22"/>
          <w:szCs w:val="22"/>
          <w:shd w:val="clear" w:color="auto" w:fill="FFFFFF"/>
          <w:vertAlign w:val="subscript"/>
        </w:rPr>
        <w:t>e</w:t>
      </w:r>
      <w:proofErr w:type="spellEnd"/>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0C8AE3DB" w14:textId="77777777" w:rsidR="000423CA" w:rsidRDefault="000423CA" w:rsidP="000423CA">
      <w:pPr>
        <w:pStyle w:val="Default"/>
        <w:spacing w:line="360" w:lineRule="auto"/>
        <w:ind w:left="567" w:right="-23"/>
        <w:jc w:val="both"/>
        <w:rPr>
          <w:color w:val="222222"/>
          <w:sz w:val="22"/>
          <w:szCs w:val="22"/>
          <w:shd w:val="clear" w:color="auto" w:fill="FFFFFF"/>
        </w:rPr>
      </w:pPr>
    </w:p>
    <w:p w14:paraId="4753F6B7" w14:textId="798F8D52" w:rsidR="000423CA" w:rsidRPr="00F72935" w:rsidRDefault="000423CA" w:rsidP="00F009EE">
      <w:pPr>
        <w:pStyle w:val="Default"/>
        <w:numPr>
          <w:ilvl w:val="0"/>
          <w:numId w:val="19"/>
        </w:numPr>
        <w:spacing w:line="360" w:lineRule="auto"/>
        <w:ind w:left="142" w:right="-23" w:hanging="426"/>
        <w:jc w:val="both"/>
        <w:rPr>
          <w:b/>
          <w:color w:val="auto"/>
          <w:sz w:val="22"/>
          <w:szCs w:val="22"/>
        </w:rPr>
      </w:pPr>
      <w:r w:rsidRPr="00F72935">
        <w:rPr>
          <w:b/>
          <w:color w:val="auto"/>
          <w:sz w:val="22"/>
          <w:szCs w:val="22"/>
        </w:rPr>
        <w:t>CALCULATION OF FREE CASH FLOW TO FIRM:</w:t>
      </w:r>
    </w:p>
    <w:p w14:paraId="132D79EE" w14:textId="5906AE5B" w:rsidR="00294466" w:rsidRDefault="00294466" w:rsidP="00F009EE">
      <w:pPr>
        <w:pStyle w:val="Default"/>
        <w:ind w:right="-590"/>
        <w:jc w:val="right"/>
        <w:rPr>
          <w:b/>
          <w:color w:val="auto"/>
          <w:sz w:val="22"/>
          <w:szCs w:val="22"/>
        </w:rPr>
      </w:pPr>
      <w:r w:rsidRPr="004149CC">
        <w:rPr>
          <w:bCs/>
          <w:color w:val="auto"/>
          <w:sz w:val="18"/>
          <w:szCs w:val="18"/>
        </w:rPr>
        <w:t>(</w:t>
      </w:r>
      <w:r w:rsidR="004C1C3E">
        <w:rPr>
          <w:bCs/>
          <w:color w:val="auto"/>
          <w:sz w:val="18"/>
          <w:szCs w:val="18"/>
        </w:rPr>
        <w:t>Figures</w:t>
      </w:r>
      <w:r w:rsidRPr="004149CC">
        <w:rPr>
          <w:bCs/>
          <w:color w:val="auto"/>
          <w:sz w:val="18"/>
          <w:szCs w:val="18"/>
        </w:rPr>
        <w:t xml:space="preserve"> in INR </w:t>
      </w:r>
      <w:r w:rsidR="00FC713F">
        <w:rPr>
          <w:bCs/>
          <w:color w:val="auto"/>
          <w:sz w:val="18"/>
          <w:szCs w:val="18"/>
        </w:rPr>
        <w:t>Crore</w:t>
      </w:r>
      <w:r w:rsidRPr="004149CC">
        <w:rPr>
          <w:bCs/>
          <w:color w:val="auto"/>
          <w:sz w:val="18"/>
          <w:szCs w:val="18"/>
        </w:rPr>
        <w:t>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93"/>
        <w:gridCol w:w="794"/>
        <w:gridCol w:w="794"/>
        <w:gridCol w:w="794"/>
        <w:gridCol w:w="794"/>
        <w:gridCol w:w="794"/>
        <w:gridCol w:w="794"/>
        <w:gridCol w:w="794"/>
        <w:gridCol w:w="794"/>
        <w:gridCol w:w="794"/>
      </w:tblGrid>
      <w:tr w:rsidR="004C1C3E" w:rsidRPr="004C1C3E" w14:paraId="3F235628" w14:textId="1DB59243" w:rsidTr="00911831">
        <w:trPr>
          <w:trHeight w:val="70"/>
        </w:trPr>
        <w:tc>
          <w:tcPr>
            <w:tcW w:w="2268" w:type="dxa"/>
            <w:shd w:val="clear" w:color="000000" w:fill="002060"/>
            <w:vAlign w:val="center"/>
            <w:hideMark/>
          </w:tcPr>
          <w:p w14:paraId="11D6A2A1" w14:textId="2D6A9F56" w:rsidR="004C1C3E" w:rsidRPr="004C1C3E" w:rsidRDefault="004C1C3E" w:rsidP="00DE719E">
            <w:pPr>
              <w:spacing w:after="0" w:line="240" w:lineRule="auto"/>
              <w:rPr>
                <w:rFonts w:asciiTheme="minorHAnsi" w:hAnsiTheme="minorHAnsi" w:cstheme="minorHAnsi"/>
                <w:b/>
                <w:bCs/>
                <w:color w:val="FFFFFF"/>
                <w:sz w:val="20"/>
                <w:szCs w:val="20"/>
                <w:lang w:val="en-IN" w:eastAsia="en-IN"/>
              </w:rPr>
            </w:pPr>
            <w:r w:rsidRPr="004C1C3E">
              <w:rPr>
                <w:rFonts w:asciiTheme="minorHAnsi" w:hAnsiTheme="minorHAnsi" w:cstheme="minorHAnsi"/>
                <w:b/>
                <w:bCs/>
                <w:color w:val="FFFFFF"/>
                <w:sz w:val="20"/>
                <w:szCs w:val="20"/>
                <w:lang w:val="en-IN" w:eastAsia="en-IN"/>
              </w:rPr>
              <w:t>Particulars</w:t>
            </w:r>
          </w:p>
        </w:tc>
        <w:tc>
          <w:tcPr>
            <w:tcW w:w="793" w:type="dxa"/>
            <w:shd w:val="clear" w:color="000000" w:fill="002060"/>
            <w:vAlign w:val="center"/>
          </w:tcPr>
          <w:p w14:paraId="7229B288" w14:textId="59603678"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lang w:val="en-IN" w:eastAsia="en-IN"/>
              </w:rPr>
            </w:pPr>
            <w:r w:rsidRPr="004C1C3E">
              <w:rPr>
                <w:rFonts w:asciiTheme="minorHAnsi" w:hAnsiTheme="minorHAnsi" w:cstheme="minorHAnsi"/>
                <w:b/>
                <w:bCs/>
                <w:color w:val="FFFFFF"/>
                <w:sz w:val="20"/>
                <w:szCs w:val="20"/>
              </w:rPr>
              <w:t>Mar-25</w:t>
            </w:r>
          </w:p>
        </w:tc>
        <w:tc>
          <w:tcPr>
            <w:tcW w:w="794" w:type="dxa"/>
            <w:shd w:val="clear" w:color="000000" w:fill="002060"/>
            <w:vAlign w:val="center"/>
          </w:tcPr>
          <w:p w14:paraId="2CAB4794" w14:textId="5B166D70"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r w:rsidRPr="004C1C3E">
              <w:rPr>
                <w:rFonts w:asciiTheme="minorHAnsi" w:hAnsiTheme="minorHAnsi" w:cstheme="minorHAnsi"/>
                <w:b/>
                <w:bCs/>
                <w:color w:val="FFFFFF"/>
                <w:sz w:val="20"/>
                <w:szCs w:val="20"/>
              </w:rPr>
              <w:t>Mar-26</w:t>
            </w:r>
          </w:p>
        </w:tc>
        <w:tc>
          <w:tcPr>
            <w:tcW w:w="794" w:type="dxa"/>
            <w:shd w:val="clear" w:color="000000" w:fill="002060"/>
            <w:vAlign w:val="center"/>
          </w:tcPr>
          <w:p w14:paraId="388CB457" w14:textId="06714559"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r w:rsidRPr="004C1C3E">
              <w:rPr>
                <w:rFonts w:asciiTheme="minorHAnsi" w:hAnsiTheme="minorHAnsi" w:cstheme="minorHAnsi"/>
                <w:b/>
                <w:bCs/>
                <w:color w:val="FFFFFF"/>
                <w:sz w:val="20"/>
                <w:szCs w:val="20"/>
              </w:rPr>
              <w:t>Mar-27</w:t>
            </w:r>
          </w:p>
        </w:tc>
        <w:tc>
          <w:tcPr>
            <w:tcW w:w="794" w:type="dxa"/>
            <w:shd w:val="clear" w:color="000000" w:fill="002060"/>
            <w:vAlign w:val="center"/>
          </w:tcPr>
          <w:p w14:paraId="3B418200" w14:textId="427E0AC6"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r w:rsidRPr="004C1C3E">
              <w:rPr>
                <w:rFonts w:asciiTheme="minorHAnsi" w:hAnsiTheme="minorHAnsi" w:cstheme="minorHAnsi"/>
                <w:b/>
                <w:bCs/>
                <w:color w:val="FFFFFF"/>
                <w:sz w:val="20"/>
                <w:szCs w:val="20"/>
              </w:rPr>
              <w:t>Mar-28</w:t>
            </w:r>
          </w:p>
        </w:tc>
        <w:tc>
          <w:tcPr>
            <w:tcW w:w="794" w:type="dxa"/>
            <w:shd w:val="clear" w:color="000000" w:fill="002060"/>
            <w:vAlign w:val="center"/>
          </w:tcPr>
          <w:p w14:paraId="44B30683" w14:textId="7870248B"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r w:rsidRPr="004C1C3E">
              <w:rPr>
                <w:rFonts w:asciiTheme="minorHAnsi" w:hAnsiTheme="minorHAnsi" w:cstheme="minorHAnsi"/>
                <w:b/>
                <w:bCs/>
                <w:color w:val="FFFFFF"/>
                <w:sz w:val="20"/>
                <w:szCs w:val="20"/>
              </w:rPr>
              <w:t>Mar-29</w:t>
            </w:r>
          </w:p>
        </w:tc>
        <w:tc>
          <w:tcPr>
            <w:tcW w:w="794" w:type="dxa"/>
            <w:shd w:val="clear" w:color="000000" w:fill="002060"/>
            <w:vAlign w:val="center"/>
          </w:tcPr>
          <w:p w14:paraId="230DBA37" w14:textId="0136E7CE"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r w:rsidRPr="004C1C3E">
              <w:rPr>
                <w:rFonts w:asciiTheme="minorHAnsi" w:hAnsiTheme="minorHAnsi" w:cstheme="minorHAnsi"/>
                <w:b/>
                <w:bCs/>
                <w:color w:val="FFFFFF"/>
                <w:sz w:val="20"/>
                <w:szCs w:val="20"/>
              </w:rPr>
              <w:t>Mar-30</w:t>
            </w:r>
          </w:p>
        </w:tc>
        <w:tc>
          <w:tcPr>
            <w:tcW w:w="794" w:type="dxa"/>
            <w:shd w:val="clear" w:color="000000" w:fill="002060"/>
            <w:vAlign w:val="center"/>
          </w:tcPr>
          <w:p w14:paraId="60AD95AA" w14:textId="32676E54"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r w:rsidRPr="004C1C3E">
              <w:rPr>
                <w:rFonts w:asciiTheme="minorHAnsi" w:hAnsiTheme="minorHAnsi" w:cstheme="minorHAnsi"/>
                <w:b/>
                <w:bCs/>
                <w:color w:val="FFFFFF"/>
                <w:sz w:val="20"/>
                <w:szCs w:val="20"/>
              </w:rPr>
              <w:t>Mar-31</w:t>
            </w:r>
          </w:p>
        </w:tc>
        <w:tc>
          <w:tcPr>
            <w:tcW w:w="794" w:type="dxa"/>
            <w:shd w:val="clear" w:color="000000" w:fill="002060"/>
            <w:vAlign w:val="center"/>
          </w:tcPr>
          <w:p w14:paraId="7E5371BF" w14:textId="4500519A"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r w:rsidRPr="004C1C3E">
              <w:rPr>
                <w:rFonts w:asciiTheme="minorHAnsi" w:hAnsiTheme="minorHAnsi" w:cstheme="minorHAnsi"/>
                <w:b/>
                <w:bCs/>
                <w:color w:val="FFFFFF"/>
                <w:sz w:val="20"/>
                <w:szCs w:val="20"/>
              </w:rPr>
              <w:t>Mar-32</w:t>
            </w:r>
          </w:p>
        </w:tc>
        <w:tc>
          <w:tcPr>
            <w:tcW w:w="794" w:type="dxa"/>
            <w:shd w:val="clear" w:color="000000" w:fill="002060"/>
            <w:vAlign w:val="center"/>
          </w:tcPr>
          <w:p w14:paraId="28F069A8" w14:textId="77777777"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p>
        </w:tc>
        <w:tc>
          <w:tcPr>
            <w:tcW w:w="794" w:type="dxa"/>
            <w:shd w:val="clear" w:color="000000" w:fill="002060"/>
            <w:vAlign w:val="center"/>
          </w:tcPr>
          <w:p w14:paraId="59B8E5B6" w14:textId="3AFA21D3" w:rsidR="004C1C3E" w:rsidRPr="004C1C3E" w:rsidRDefault="004C1C3E" w:rsidP="00911831">
            <w:pPr>
              <w:spacing w:after="0" w:line="276" w:lineRule="auto"/>
              <w:ind w:left="-105" w:right="-86"/>
              <w:jc w:val="center"/>
              <w:rPr>
                <w:rFonts w:asciiTheme="minorHAnsi" w:hAnsiTheme="minorHAnsi" w:cstheme="minorHAnsi"/>
                <w:b/>
                <w:bCs/>
                <w:color w:val="FFFFFF"/>
                <w:sz w:val="20"/>
                <w:szCs w:val="20"/>
              </w:rPr>
            </w:pPr>
          </w:p>
        </w:tc>
      </w:tr>
      <w:tr w:rsidR="00911831" w:rsidRPr="004C1C3E" w14:paraId="5CAA46BC" w14:textId="25515B00" w:rsidTr="00911831">
        <w:trPr>
          <w:trHeight w:val="300"/>
        </w:trPr>
        <w:tc>
          <w:tcPr>
            <w:tcW w:w="2268" w:type="dxa"/>
            <w:shd w:val="clear" w:color="auto" w:fill="auto"/>
            <w:vAlign w:val="bottom"/>
            <w:hideMark/>
          </w:tcPr>
          <w:p w14:paraId="0207BDC8" w14:textId="34005F98" w:rsidR="00911831" w:rsidRPr="004C1C3E" w:rsidRDefault="00911831" w:rsidP="00DE719E">
            <w:pPr>
              <w:spacing w:after="0" w:line="240" w:lineRule="auto"/>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Revenue from Operations</w:t>
            </w:r>
          </w:p>
        </w:tc>
        <w:tc>
          <w:tcPr>
            <w:tcW w:w="793" w:type="dxa"/>
            <w:shd w:val="clear" w:color="auto" w:fill="auto"/>
            <w:noWrap/>
            <w:vAlign w:val="center"/>
            <w:hideMark/>
          </w:tcPr>
          <w:p w14:paraId="7E084F5C" w14:textId="4E2C518F" w:rsidR="00911831" w:rsidRPr="00911831" w:rsidRDefault="00911831" w:rsidP="00911831">
            <w:pPr>
              <w:spacing w:after="0" w:line="276" w:lineRule="auto"/>
              <w:ind w:left="-114" w:right="-15"/>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857.13</w:t>
            </w:r>
          </w:p>
        </w:tc>
        <w:tc>
          <w:tcPr>
            <w:tcW w:w="794" w:type="dxa"/>
            <w:vAlign w:val="center"/>
          </w:tcPr>
          <w:p w14:paraId="7461A875" w14:textId="134BCBDF"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829.33</w:t>
            </w:r>
          </w:p>
        </w:tc>
        <w:tc>
          <w:tcPr>
            <w:tcW w:w="794" w:type="dxa"/>
            <w:vAlign w:val="center"/>
          </w:tcPr>
          <w:p w14:paraId="2ED80BE8" w14:textId="6370D92F"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852.13</w:t>
            </w:r>
          </w:p>
        </w:tc>
        <w:tc>
          <w:tcPr>
            <w:tcW w:w="794" w:type="dxa"/>
            <w:vAlign w:val="center"/>
          </w:tcPr>
          <w:p w14:paraId="0F8C67CC" w14:textId="3352B22D"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866.13</w:t>
            </w:r>
          </w:p>
        </w:tc>
        <w:tc>
          <w:tcPr>
            <w:tcW w:w="794" w:type="dxa"/>
            <w:shd w:val="clear" w:color="auto" w:fill="auto"/>
            <w:noWrap/>
            <w:vAlign w:val="center"/>
            <w:hideMark/>
          </w:tcPr>
          <w:p w14:paraId="1FD974FC" w14:textId="002887FA" w:rsidR="00911831" w:rsidRPr="00911831" w:rsidRDefault="00911831" w:rsidP="00911831">
            <w:pPr>
              <w:spacing w:after="0" w:line="276" w:lineRule="auto"/>
              <w:ind w:left="-114" w:right="-15"/>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861.80</w:t>
            </w:r>
          </w:p>
        </w:tc>
        <w:tc>
          <w:tcPr>
            <w:tcW w:w="794" w:type="dxa"/>
            <w:shd w:val="clear" w:color="auto" w:fill="auto"/>
            <w:noWrap/>
            <w:vAlign w:val="center"/>
            <w:hideMark/>
          </w:tcPr>
          <w:p w14:paraId="7469BBFD" w14:textId="331BB582" w:rsidR="00911831" w:rsidRPr="00911831" w:rsidRDefault="00911831" w:rsidP="00911831">
            <w:pPr>
              <w:spacing w:after="0" w:line="276" w:lineRule="auto"/>
              <w:ind w:left="-114" w:right="-15"/>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863.61</w:t>
            </w:r>
          </w:p>
        </w:tc>
        <w:tc>
          <w:tcPr>
            <w:tcW w:w="794" w:type="dxa"/>
            <w:shd w:val="clear" w:color="auto" w:fill="auto"/>
            <w:noWrap/>
            <w:vAlign w:val="center"/>
            <w:hideMark/>
          </w:tcPr>
          <w:p w14:paraId="175DCDF3" w14:textId="61306E78" w:rsidR="00911831" w:rsidRPr="00911831" w:rsidRDefault="00911831" w:rsidP="00911831">
            <w:pPr>
              <w:spacing w:after="0" w:line="276" w:lineRule="auto"/>
              <w:ind w:left="-114" w:right="-15"/>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882.54</w:t>
            </w:r>
          </w:p>
        </w:tc>
        <w:tc>
          <w:tcPr>
            <w:tcW w:w="794" w:type="dxa"/>
            <w:shd w:val="clear" w:color="auto" w:fill="auto"/>
            <w:noWrap/>
            <w:vAlign w:val="center"/>
            <w:hideMark/>
          </w:tcPr>
          <w:p w14:paraId="04B2B2A1" w14:textId="2DCBD4BC" w:rsidR="00911831" w:rsidRPr="00911831" w:rsidRDefault="00911831" w:rsidP="00911831">
            <w:pPr>
              <w:spacing w:after="0" w:line="276" w:lineRule="auto"/>
              <w:ind w:left="-114" w:right="-15"/>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904.08</w:t>
            </w:r>
          </w:p>
        </w:tc>
        <w:tc>
          <w:tcPr>
            <w:tcW w:w="794" w:type="dxa"/>
            <w:vAlign w:val="center"/>
          </w:tcPr>
          <w:p w14:paraId="10EB7815" w14:textId="2B903C38"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922.57</w:t>
            </w:r>
          </w:p>
        </w:tc>
        <w:tc>
          <w:tcPr>
            <w:tcW w:w="794" w:type="dxa"/>
            <w:vAlign w:val="center"/>
          </w:tcPr>
          <w:p w14:paraId="3D1CC759" w14:textId="08B0B69E"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942.22</w:t>
            </w:r>
          </w:p>
        </w:tc>
      </w:tr>
      <w:tr w:rsidR="00911831" w:rsidRPr="004C1C3E" w14:paraId="1AB189BE" w14:textId="14186B97" w:rsidTr="00911831">
        <w:trPr>
          <w:trHeight w:val="300"/>
        </w:trPr>
        <w:tc>
          <w:tcPr>
            <w:tcW w:w="2268" w:type="dxa"/>
            <w:shd w:val="clear" w:color="auto" w:fill="auto"/>
            <w:vAlign w:val="bottom"/>
          </w:tcPr>
          <w:p w14:paraId="76EAC912" w14:textId="22DA69C8" w:rsidR="00911831" w:rsidRPr="004C1C3E" w:rsidRDefault="00911831" w:rsidP="00D479EB">
            <w:pPr>
              <w:spacing w:after="0" w:line="240" w:lineRule="auto"/>
              <w:rPr>
                <w:rFonts w:asciiTheme="minorHAnsi" w:hAnsiTheme="minorHAnsi" w:cstheme="minorHAnsi"/>
                <w:color w:val="000000"/>
                <w:sz w:val="20"/>
                <w:szCs w:val="20"/>
              </w:rPr>
            </w:pPr>
            <w:r w:rsidRPr="004C1C3E">
              <w:rPr>
                <w:rFonts w:asciiTheme="minorHAnsi" w:hAnsiTheme="minorHAnsi" w:cstheme="minorHAnsi"/>
                <w:color w:val="000000"/>
                <w:sz w:val="20"/>
                <w:szCs w:val="20"/>
              </w:rPr>
              <w:t xml:space="preserve">MSA </w:t>
            </w:r>
            <w:r w:rsidR="00D479EB">
              <w:rPr>
                <w:rFonts w:asciiTheme="minorHAnsi" w:hAnsiTheme="minorHAnsi" w:cstheme="minorHAnsi"/>
                <w:color w:val="000000"/>
                <w:sz w:val="20"/>
                <w:szCs w:val="20"/>
              </w:rPr>
              <w:t>R</w:t>
            </w:r>
            <w:r w:rsidRPr="004C1C3E">
              <w:rPr>
                <w:rFonts w:asciiTheme="minorHAnsi" w:hAnsiTheme="minorHAnsi" w:cstheme="minorHAnsi"/>
                <w:color w:val="000000"/>
                <w:sz w:val="20"/>
                <w:szCs w:val="20"/>
              </w:rPr>
              <w:t xml:space="preserve">enegotiation </w:t>
            </w:r>
            <w:r w:rsidR="00D479EB">
              <w:rPr>
                <w:rFonts w:asciiTheme="minorHAnsi" w:hAnsiTheme="minorHAnsi" w:cstheme="minorHAnsi"/>
                <w:color w:val="000000"/>
                <w:sz w:val="20"/>
                <w:szCs w:val="20"/>
              </w:rPr>
              <w:t>charges</w:t>
            </w:r>
          </w:p>
        </w:tc>
        <w:tc>
          <w:tcPr>
            <w:tcW w:w="793" w:type="dxa"/>
            <w:shd w:val="clear" w:color="auto" w:fill="auto"/>
            <w:noWrap/>
            <w:vAlign w:val="center"/>
          </w:tcPr>
          <w:p w14:paraId="28309F2B" w14:textId="7306CEEC"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-50.00</w:t>
            </w:r>
          </w:p>
        </w:tc>
        <w:tc>
          <w:tcPr>
            <w:tcW w:w="794" w:type="dxa"/>
            <w:vAlign w:val="center"/>
          </w:tcPr>
          <w:p w14:paraId="4F7D5D91" w14:textId="2DE7FF03"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w:t>
            </w:r>
          </w:p>
        </w:tc>
        <w:tc>
          <w:tcPr>
            <w:tcW w:w="794" w:type="dxa"/>
            <w:vAlign w:val="center"/>
          </w:tcPr>
          <w:p w14:paraId="06FF3D8E" w14:textId="77871F5E"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-9.18</w:t>
            </w:r>
          </w:p>
        </w:tc>
        <w:tc>
          <w:tcPr>
            <w:tcW w:w="794" w:type="dxa"/>
            <w:vAlign w:val="center"/>
          </w:tcPr>
          <w:p w14:paraId="1ED3DFF9" w14:textId="3582FF9E"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-27.40</w:t>
            </w:r>
          </w:p>
        </w:tc>
        <w:tc>
          <w:tcPr>
            <w:tcW w:w="794" w:type="dxa"/>
            <w:shd w:val="clear" w:color="auto" w:fill="auto"/>
            <w:noWrap/>
            <w:vAlign w:val="center"/>
          </w:tcPr>
          <w:p w14:paraId="6C56F030" w14:textId="5DC7603D"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-21.30</w:t>
            </w:r>
          </w:p>
        </w:tc>
        <w:tc>
          <w:tcPr>
            <w:tcW w:w="794" w:type="dxa"/>
            <w:shd w:val="clear" w:color="auto" w:fill="auto"/>
            <w:noWrap/>
            <w:vAlign w:val="center"/>
          </w:tcPr>
          <w:p w14:paraId="5E494AC9" w14:textId="2900397C"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-4.69</w:t>
            </w:r>
          </w:p>
        </w:tc>
        <w:tc>
          <w:tcPr>
            <w:tcW w:w="794" w:type="dxa"/>
            <w:shd w:val="clear" w:color="auto" w:fill="auto"/>
            <w:noWrap/>
            <w:vAlign w:val="center"/>
          </w:tcPr>
          <w:p w14:paraId="3CC6E9D8" w14:textId="7F442EC2"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-2.66</w:t>
            </w:r>
          </w:p>
        </w:tc>
        <w:tc>
          <w:tcPr>
            <w:tcW w:w="794" w:type="dxa"/>
            <w:shd w:val="clear" w:color="auto" w:fill="auto"/>
            <w:noWrap/>
            <w:vAlign w:val="center"/>
          </w:tcPr>
          <w:p w14:paraId="3605E1BB" w14:textId="4C20D264"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-6.20</w:t>
            </w:r>
          </w:p>
        </w:tc>
        <w:tc>
          <w:tcPr>
            <w:tcW w:w="794" w:type="dxa"/>
            <w:vAlign w:val="center"/>
          </w:tcPr>
          <w:p w14:paraId="73650043" w14:textId="42F1383E"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-5.57</w:t>
            </w:r>
          </w:p>
        </w:tc>
        <w:tc>
          <w:tcPr>
            <w:tcW w:w="794" w:type="dxa"/>
            <w:vAlign w:val="center"/>
          </w:tcPr>
          <w:p w14:paraId="07E4338F" w14:textId="2B79B398"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-0.38</w:t>
            </w:r>
          </w:p>
        </w:tc>
      </w:tr>
      <w:tr w:rsidR="00911831" w:rsidRPr="004C1C3E" w14:paraId="2F68559A" w14:textId="589AB529" w:rsidTr="00911831">
        <w:trPr>
          <w:trHeight w:val="300"/>
        </w:trPr>
        <w:tc>
          <w:tcPr>
            <w:tcW w:w="2268" w:type="dxa"/>
            <w:shd w:val="clear" w:color="auto" w:fill="auto"/>
            <w:vAlign w:val="bottom"/>
          </w:tcPr>
          <w:p w14:paraId="7BC4EF37" w14:textId="3A3D7D2D" w:rsidR="00911831" w:rsidRPr="004C1C3E" w:rsidRDefault="00911831" w:rsidP="00DE719E">
            <w:pPr>
              <w:spacing w:after="0" w:line="240" w:lineRule="auto"/>
              <w:ind w:right="-111"/>
              <w:rPr>
                <w:rFonts w:asciiTheme="minorHAnsi" w:hAnsiTheme="minorHAnsi" w:cstheme="minorHAnsi"/>
                <w:color w:val="000000"/>
                <w:sz w:val="20"/>
                <w:szCs w:val="20"/>
              </w:rPr>
            </w:pPr>
            <w:r w:rsidRPr="004C1C3E">
              <w:rPr>
                <w:rFonts w:asciiTheme="minorHAnsi" w:hAnsiTheme="minorHAnsi" w:cstheme="minorHAnsi"/>
                <w:color w:val="000000"/>
                <w:sz w:val="20"/>
                <w:szCs w:val="20"/>
              </w:rPr>
              <w:t>Energy &amp; Other Re-imbursements</w:t>
            </w:r>
          </w:p>
        </w:tc>
        <w:tc>
          <w:tcPr>
            <w:tcW w:w="793" w:type="dxa"/>
            <w:shd w:val="clear" w:color="auto" w:fill="auto"/>
            <w:noWrap/>
            <w:vAlign w:val="center"/>
          </w:tcPr>
          <w:p w14:paraId="4D1A1BD2" w14:textId="46C0F9F8"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vAlign w:val="center"/>
          </w:tcPr>
          <w:p w14:paraId="72DF0133" w14:textId="36B8A864"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vAlign w:val="center"/>
          </w:tcPr>
          <w:p w14:paraId="70BAC6C5" w14:textId="38B2EC66"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vAlign w:val="center"/>
          </w:tcPr>
          <w:p w14:paraId="6D122ABB" w14:textId="4FACA593"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shd w:val="clear" w:color="auto" w:fill="auto"/>
            <w:noWrap/>
            <w:vAlign w:val="center"/>
          </w:tcPr>
          <w:p w14:paraId="7DAA3774" w14:textId="4294F10F"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shd w:val="clear" w:color="auto" w:fill="auto"/>
            <w:noWrap/>
            <w:vAlign w:val="center"/>
          </w:tcPr>
          <w:p w14:paraId="061E5A20" w14:textId="393975C8"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shd w:val="clear" w:color="auto" w:fill="auto"/>
            <w:noWrap/>
            <w:vAlign w:val="center"/>
          </w:tcPr>
          <w:p w14:paraId="55743033" w14:textId="75922C42"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shd w:val="clear" w:color="auto" w:fill="auto"/>
            <w:noWrap/>
            <w:vAlign w:val="center"/>
          </w:tcPr>
          <w:p w14:paraId="656A05AB" w14:textId="66FB90C4"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vAlign w:val="center"/>
          </w:tcPr>
          <w:p w14:paraId="066C4926" w14:textId="453BBF50"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c>
          <w:tcPr>
            <w:tcW w:w="794" w:type="dxa"/>
            <w:vAlign w:val="center"/>
          </w:tcPr>
          <w:p w14:paraId="4224D949" w14:textId="199D9ED8"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537.82</w:t>
            </w:r>
          </w:p>
        </w:tc>
      </w:tr>
      <w:tr w:rsidR="00911831" w:rsidRPr="004C1C3E" w14:paraId="18C80F42" w14:textId="1AB094DF" w:rsidTr="00911831">
        <w:trPr>
          <w:trHeight w:val="300"/>
        </w:trPr>
        <w:tc>
          <w:tcPr>
            <w:tcW w:w="2268" w:type="dxa"/>
            <w:shd w:val="clear" w:color="auto" w:fill="auto"/>
            <w:vAlign w:val="bottom"/>
          </w:tcPr>
          <w:p w14:paraId="790F48D6" w14:textId="3C24622E" w:rsidR="00911831" w:rsidRPr="004C1C3E" w:rsidRDefault="00911831" w:rsidP="00DE719E">
            <w:pPr>
              <w:spacing w:after="0" w:line="240" w:lineRule="auto"/>
              <w:rPr>
                <w:rFonts w:asciiTheme="minorHAnsi" w:hAnsiTheme="minorHAnsi" w:cstheme="minorHAnsi"/>
                <w:color w:val="000000"/>
                <w:sz w:val="20"/>
                <w:szCs w:val="20"/>
              </w:rPr>
            </w:pPr>
            <w:r w:rsidRPr="004C1C3E">
              <w:rPr>
                <w:rFonts w:asciiTheme="minorHAnsi" w:hAnsiTheme="minorHAnsi" w:cstheme="minorHAnsi"/>
                <w:color w:val="000000"/>
                <w:sz w:val="20"/>
                <w:szCs w:val="20"/>
              </w:rPr>
              <w:t>Other Income</w:t>
            </w:r>
          </w:p>
        </w:tc>
        <w:tc>
          <w:tcPr>
            <w:tcW w:w="793" w:type="dxa"/>
            <w:shd w:val="clear" w:color="auto" w:fill="auto"/>
            <w:noWrap/>
            <w:vAlign w:val="center"/>
          </w:tcPr>
          <w:p w14:paraId="5A6A3BF7" w14:textId="0C0F3BF4"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17.57</w:t>
            </w:r>
          </w:p>
        </w:tc>
        <w:tc>
          <w:tcPr>
            <w:tcW w:w="794" w:type="dxa"/>
            <w:vAlign w:val="center"/>
          </w:tcPr>
          <w:p w14:paraId="14B8A169" w14:textId="091D25DB"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17.00</w:t>
            </w:r>
          </w:p>
        </w:tc>
        <w:tc>
          <w:tcPr>
            <w:tcW w:w="794" w:type="dxa"/>
            <w:vAlign w:val="center"/>
          </w:tcPr>
          <w:p w14:paraId="68315547" w14:textId="051816F8"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17.46</w:t>
            </w:r>
          </w:p>
        </w:tc>
        <w:tc>
          <w:tcPr>
            <w:tcW w:w="794" w:type="dxa"/>
            <w:vAlign w:val="center"/>
          </w:tcPr>
          <w:p w14:paraId="6FF4918C" w14:textId="15889DF7"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17.75</w:t>
            </w:r>
          </w:p>
        </w:tc>
        <w:tc>
          <w:tcPr>
            <w:tcW w:w="794" w:type="dxa"/>
            <w:shd w:val="clear" w:color="auto" w:fill="auto"/>
            <w:noWrap/>
            <w:vAlign w:val="center"/>
          </w:tcPr>
          <w:p w14:paraId="388B673F" w14:textId="43BFAB55"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17.66</w:t>
            </w:r>
          </w:p>
        </w:tc>
        <w:tc>
          <w:tcPr>
            <w:tcW w:w="794" w:type="dxa"/>
            <w:shd w:val="clear" w:color="auto" w:fill="auto"/>
            <w:noWrap/>
            <w:vAlign w:val="center"/>
          </w:tcPr>
          <w:p w14:paraId="5704A0AB" w14:textId="07490776"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17.70</w:t>
            </w:r>
          </w:p>
        </w:tc>
        <w:tc>
          <w:tcPr>
            <w:tcW w:w="794" w:type="dxa"/>
            <w:shd w:val="clear" w:color="auto" w:fill="auto"/>
            <w:noWrap/>
            <w:vAlign w:val="center"/>
          </w:tcPr>
          <w:p w14:paraId="6794B695" w14:textId="50E3D527"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18.09</w:t>
            </w:r>
          </w:p>
        </w:tc>
        <w:tc>
          <w:tcPr>
            <w:tcW w:w="794" w:type="dxa"/>
            <w:shd w:val="clear" w:color="auto" w:fill="auto"/>
            <w:noWrap/>
            <w:vAlign w:val="center"/>
          </w:tcPr>
          <w:p w14:paraId="4F2D52A3" w14:textId="597564C0"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18.53</w:t>
            </w:r>
          </w:p>
        </w:tc>
        <w:tc>
          <w:tcPr>
            <w:tcW w:w="794" w:type="dxa"/>
            <w:vAlign w:val="center"/>
          </w:tcPr>
          <w:p w14:paraId="21DF249D" w14:textId="2D73BBA8"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18.91</w:t>
            </w:r>
          </w:p>
        </w:tc>
        <w:tc>
          <w:tcPr>
            <w:tcW w:w="794" w:type="dxa"/>
            <w:vAlign w:val="center"/>
          </w:tcPr>
          <w:p w14:paraId="034BF034" w14:textId="3E0F5464" w:rsidR="00911831" w:rsidRPr="00911831" w:rsidRDefault="00911831" w:rsidP="00911831">
            <w:pPr>
              <w:spacing w:after="0" w:line="276" w:lineRule="auto"/>
              <w:ind w:left="-114" w:right="-15"/>
              <w:jc w:val="center"/>
              <w:rPr>
                <w:rFonts w:asciiTheme="minorHAnsi" w:hAnsiTheme="minorHAnsi" w:cstheme="minorHAnsi"/>
                <w:color w:val="000000"/>
                <w:sz w:val="20"/>
                <w:szCs w:val="20"/>
              </w:rPr>
            </w:pPr>
            <w:r w:rsidRPr="00911831">
              <w:rPr>
                <w:rFonts w:ascii="Calibri" w:hAnsi="Calibri" w:cs="Calibri"/>
                <w:color w:val="000000"/>
                <w:sz w:val="20"/>
                <w:szCs w:val="22"/>
              </w:rPr>
              <w:t>19.31</w:t>
            </w:r>
          </w:p>
        </w:tc>
      </w:tr>
      <w:tr w:rsidR="00911831" w:rsidRPr="004C1C3E" w14:paraId="3F31A948" w14:textId="134AAF6B" w:rsidTr="00911831">
        <w:trPr>
          <w:trHeight w:val="300"/>
        </w:trPr>
        <w:tc>
          <w:tcPr>
            <w:tcW w:w="2268" w:type="dxa"/>
            <w:shd w:val="clear" w:color="auto" w:fill="DEEAF6" w:themeFill="accent1" w:themeFillTint="33"/>
            <w:vAlign w:val="center"/>
            <w:hideMark/>
          </w:tcPr>
          <w:p w14:paraId="0B6880CD" w14:textId="3F13E0E3" w:rsidR="00911831" w:rsidRPr="004C1C3E" w:rsidRDefault="00911831" w:rsidP="00DE719E">
            <w:pPr>
              <w:spacing w:after="0" w:line="240" w:lineRule="auto"/>
              <w:rPr>
                <w:rFonts w:asciiTheme="minorHAnsi" w:hAnsiTheme="minorHAnsi" w:cstheme="minorHAnsi"/>
                <w:b/>
                <w:bCs/>
                <w:color w:val="000000"/>
                <w:sz w:val="20"/>
                <w:szCs w:val="20"/>
                <w:lang w:val="en-IN" w:eastAsia="en-IN"/>
              </w:rPr>
            </w:pPr>
            <w:r w:rsidRPr="004C1C3E">
              <w:rPr>
                <w:rFonts w:asciiTheme="minorHAnsi" w:hAnsiTheme="minorHAnsi" w:cstheme="minorHAnsi"/>
                <w:b/>
                <w:bCs/>
                <w:color w:val="000000"/>
                <w:sz w:val="20"/>
                <w:szCs w:val="20"/>
              </w:rPr>
              <w:t>Total Income</w:t>
            </w:r>
          </w:p>
        </w:tc>
        <w:tc>
          <w:tcPr>
            <w:tcW w:w="793" w:type="dxa"/>
            <w:shd w:val="clear" w:color="auto" w:fill="DEEAF6" w:themeFill="accent1" w:themeFillTint="33"/>
            <w:noWrap/>
            <w:vAlign w:val="center"/>
            <w:hideMark/>
          </w:tcPr>
          <w:p w14:paraId="4321FE88" w14:textId="49B6BB2F"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1,362.52</w:t>
            </w:r>
          </w:p>
        </w:tc>
        <w:tc>
          <w:tcPr>
            <w:tcW w:w="794" w:type="dxa"/>
            <w:shd w:val="clear" w:color="auto" w:fill="DEEAF6" w:themeFill="accent1" w:themeFillTint="33"/>
            <w:vAlign w:val="center"/>
          </w:tcPr>
          <w:p w14:paraId="635E380C" w14:textId="3575AAE7"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1,384.14</w:t>
            </w:r>
          </w:p>
        </w:tc>
        <w:tc>
          <w:tcPr>
            <w:tcW w:w="794" w:type="dxa"/>
            <w:shd w:val="clear" w:color="auto" w:fill="DEEAF6" w:themeFill="accent1" w:themeFillTint="33"/>
            <w:vAlign w:val="center"/>
          </w:tcPr>
          <w:p w14:paraId="16D1C658" w14:textId="31A3D66F"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1,398.24</w:t>
            </w:r>
          </w:p>
        </w:tc>
        <w:tc>
          <w:tcPr>
            <w:tcW w:w="794" w:type="dxa"/>
            <w:shd w:val="clear" w:color="auto" w:fill="DEEAF6" w:themeFill="accent1" w:themeFillTint="33"/>
            <w:vAlign w:val="center"/>
          </w:tcPr>
          <w:p w14:paraId="26CD7EC9" w14:textId="6B3D0CAC"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1,394.30</w:t>
            </w:r>
          </w:p>
        </w:tc>
        <w:tc>
          <w:tcPr>
            <w:tcW w:w="794" w:type="dxa"/>
            <w:shd w:val="clear" w:color="auto" w:fill="DEEAF6" w:themeFill="accent1" w:themeFillTint="33"/>
            <w:noWrap/>
            <w:vAlign w:val="center"/>
            <w:hideMark/>
          </w:tcPr>
          <w:p w14:paraId="0A2E7AE1" w14:textId="70AB1FDB"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1,395.98</w:t>
            </w:r>
          </w:p>
        </w:tc>
        <w:tc>
          <w:tcPr>
            <w:tcW w:w="794" w:type="dxa"/>
            <w:shd w:val="clear" w:color="auto" w:fill="DEEAF6" w:themeFill="accent1" w:themeFillTint="33"/>
            <w:noWrap/>
            <w:vAlign w:val="center"/>
            <w:hideMark/>
          </w:tcPr>
          <w:p w14:paraId="342CCA8D" w14:textId="34A8F373"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1,414.44</w:t>
            </w:r>
          </w:p>
        </w:tc>
        <w:tc>
          <w:tcPr>
            <w:tcW w:w="794" w:type="dxa"/>
            <w:shd w:val="clear" w:color="auto" w:fill="DEEAF6" w:themeFill="accent1" w:themeFillTint="33"/>
            <w:noWrap/>
            <w:vAlign w:val="center"/>
            <w:hideMark/>
          </w:tcPr>
          <w:p w14:paraId="356361A2" w14:textId="4961178F"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1,435.79</w:t>
            </w:r>
          </w:p>
        </w:tc>
        <w:tc>
          <w:tcPr>
            <w:tcW w:w="794" w:type="dxa"/>
            <w:shd w:val="clear" w:color="auto" w:fill="DEEAF6" w:themeFill="accent1" w:themeFillTint="33"/>
            <w:noWrap/>
            <w:vAlign w:val="center"/>
            <w:hideMark/>
          </w:tcPr>
          <w:p w14:paraId="40A55899" w14:textId="0108B4F0"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1,454.23</w:t>
            </w:r>
          </w:p>
        </w:tc>
        <w:tc>
          <w:tcPr>
            <w:tcW w:w="794" w:type="dxa"/>
            <w:shd w:val="clear" w:color="auto" w:fill="DEEAF6" w:themeFill="accent1" w:themeFillTint="33"/>
            <w:vAlign w:val="center"/>
          </w:tcPr>
          <w:p w14:paraId="09E93D8D" w14:textId="3EFFD377"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1,473.73</w:t>
            </w:r>
          </w:p>
        </w:tc>
        <w:tc>
          <w:tcPr>
            <w:tcW w:w="794" w:type="dxa"/>
            <w:shd w:val="clear" w:color="auto" w:fill="DEEAF6" w:themeFill="accent1" w:themeFillTint="33"/>
            <w:vAlign w:val="center"/>
          </w:tcPr>
          <w:p w14:paraId="33385C03" w14:textId="4403F708" w:rsidR="00911831" w:rsidRPr="00911831" w:rsidRDefault="00911831" w:rsidP="00911831">
            <w:pPr>
              <w:spacing w:after="0" w:line="276" w:lineRule="auto"/>
              <w:ind w:left="-106" w:right="-60"/>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1,498.97</w:t>
            </w:r>
          </w:p>
        </w:tc>
      </w:tr>
      <w:tr w:rsidR="00911831" w:rsidRPr="004C1C3E" w14:paraId="43AA1162" w14:textId="142EBC27" w:rsidTr="00911831">
        <w:trPr>
          <w:trHeight w:val="158"/>
        </w:trPr>
        <w:tc>
          <w:tcPr>
            <w:tcW w:w="2268" w:type="dxa"/>
            <w:shd w:val="clear" w:color="auto" w:fill="auto"/>
            <w:vAlign w:val="center"/>
            <w:hideMark/>
          </w:tcPr>
          <w:p w14:paraId="42C69783" w14:textId="34702B0E" w:rsidR="00911831" w:rsidRPr="004C1C3E" w:rsidRDefault="00911831" w:rsidP="00DE719E">
            <w:pPr>
              <w:spacing w:after="0" w:line="240" w:lineRule="auto"/>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Infrastructure O&amp;M Cost</w:t>
            </w:r>
          </w:p>
        </w:tc>
        <w:tc>
          <w:tcPr>
            <w:tcW w:w="793" w:type="dxa"/>
            <w:shd w:val="clear" w:color="auto" w:fill="auto"/>
            <w:noWrap/>
            <w:vAlign w:val="center"/>
            <w:hideMark/>
          </w:tcPr>
          <w:p w14:paraId="57AF6231" w14:textId="1EA0D4A8"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805.60</w:t>
            </w:r>
          </w:p>
        </w:tc>
        <w:tc>
          <w:tcPr>
            <w:tcW w:w="794" w:type="dxa"/>
            <w:vAlign w:val="center"/>
          </w:tcPr>
          <w:p w14:paraId="7BE35396" w14:textId="0D03F45B"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816.51</w:t>
            </w:r>
          </w:p>
        </w:tc>
        <w:tc>
          <w:tcPr>
            <w:tcW w:w="794" w:type="dxa"/>
            <w:vAlign w:val="center"/>
          </w:tcPr>
          <w:p w14:paraId="4E873AAE" w14:textId="0EF9A5D0"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827.96</w:t>
            </w:r>
          </w:p>
        </w:tc>
        <w:tc>
          <w:tcPr>
            <w:tcW w:w="794" w:type="dxa"/>
            <w:vAlign w:val="center"/>
          </w:tcPr>
          <w:p w14:paraId="073D4F06" w14:textId="275F3327"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839.95</w:t>
            </w:r>
          </w:p>
        </w:tc>
        <w:tc>
          <w:tcPr>
            <w:tcW w:w="794" w:type="dxa"/>
            <w:shd w:val="clear" w:color="auto" w:fill="auto"/>
            <w:noWrap/>
            <w:vAlign w:val="center"/>
            <w:hideMark/>
          </w:tcPr>
          <w:p w14:paraId="7E56D753" w14:textId="7595DFD0"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852.53</w:t>
            </w:r>
          </w:p>
        </w:tc>
        <w:tc>
          <w:tcPr>
            <w:tcW w:w="794" w:type="dxa"/>
            <w:shd w:val="clear" w:color="auto" w:fill="auto"/>
            <w:noWrap/>
            <w:vAlign w:val="center"/>
            <w:hideMark/>
          </w:tcPr>
          <w:p w14:paraId="648F9013" w14:textId="5DE1D53F"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865.71</w:t>
            </w:r>
          </w:p>
        </w:tc>
        <w:tc>
          <w:tcPr>
            <w:tcW w:w="794" w:type="dxa"/>
            <w:shd w:val="clear" w:color="auto" w:fill="auto"/>
            <w:noWrap/>
            <w:vAlign w:val="center"/>
            <w:hideMark/>
          </w:tcPr>
          <w:p w14:paraId="72970BBB" w14:textId="206986BB"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879.53</w:t>
            </w:r>
          </w:p>
        </w:tc>
        <w:tc>
          <w:tcPr>
            <w:tcW w:w="794" w:type="dxa"/>
            <w:shd w:val="clear" w:color="auto" w:fill="auto"/>
            <w:noWrap/>
            <w:vAlign w:val="center"/>
            <w:hideMark/>
          </w:tcPr>
          <w:p w14:paraId="27A9F52E" w14:textId="5C0E7752"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894.02</w:t>
            </w:r>
          </w:p>
        </w:tc>
        <w:tc>
          <w:tcPr>
            <w:tcW w:w="794" w:type="dxa"/>
            <w:vAlign w:val="center"/>
          </w:tcPr>
          <w:p w14:paraId="7BEDACD9" w14:textId="6DA36D2A"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909.21</w:t>
            </w:r>
          </w:p>
        </w:tc>
        <w:tc>
          <w:tcPr>
            <w:tcW w:w="794" w:type="dxa"/>
            <w:vAlign w:val="center"/>
          </w:tcPr>
          <w:p w14:paraId="5FF4EE92" w14:textId="5D3A7E21"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925.13</w:t>
            </w:r>
          </w:p>
        </w:tc>
      </w:tr>
      <w:tr w:rsidR="00911831" w:rsidRPr="004C1C3E" w14:paraId="46A70134" w14:textId="52713F0A" w:rsidTr="00911831">
        <w:trPr>
          <w:trHeight w:val="330"/>
        </w:trPr>
        <w:tc>
          <w:tcPr>
            <w:tcW w:w="2268" w:type="dxa"/>
            <w:shd w:val="clear" w:color="auto" w:fill="auto"/>
            <w:vAlign w:val="center"/>
            <w:hideMark/>
          </w:tcPr>
          <w:p w14:paraId="6E69C5E0" w14:textId="35EB3ED6" w:rsidR="00911831" w:rsidRPr="004C1C3E" w:rsidRDefault="00911831" w:rsidP="00DE719E">
            <w:pPr>
              <w:spacing w:after="0" w:line="240" w:lineRule="auto"/>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Employee Benefit Cost</w:t>
            </w:r>
          </w:p>
        </w:tc>
        <w:tc>
          <w:tcPr>
            <w:tcW w:w="793" w:type="dxa"/>
            <w:shd w:val="clear" w:color="auto" w:fill="auto"/>
            <w:noWrap/>
            <w:vAlign w:val="center"/>
            <w:hideMark/>
          </w:tcPr>
          <w:p w14:paraId="6AD90414" w14:textId="79D4D6E2"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75.36</w:t>
            </w:r>
          </w:p>
        </w:tc>
        <w:tc>
          <w:tcPr>
            <w:tcW w:w="794" w:type="dxa"/>
            <w:vAlign w:val="center"/>
          </w:tcPr>
          <w:p w14:paraId="43656A57" w14:textId="6075B8D0"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79.13</w:t>
            </w:r>
          </w:p>
        </w:tc>
        <w:tc>
          <w:tcPr>
            <w:tcW w:w="794" w:type="dxa"/>
            <w:vAlign w:val="center"/>
          </w:tcPr>
          <w:p w14:paraId="060E687D" w14:textId="734265E0"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83.08</w:t>
            </w:r>
          </w:p>
        </w:tc>
        <w:tc>
          <w:tcPr>
            <w:tcW w:w="794" w:type="dxa"/>
            <w:vAlign w:val="center"/>
          </w:tcPr>
          <w:p w14:paraId="57C9B4A0" w14:textId="42C1BF76"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87.24</w:t>
            </w:r>
          </w:p>
        </w:tc>
        <w:tc>
          <w:tcPr>
            <w:tcW w:w="794" w:type="dxa"/>
            <w:shd w:val="clear" w:color="auto" w:fill="auto"/>
            <w:noWrap/>
            <w:vAlign w:val="center"/>
            <w:hideMark/>
          </w:tcPr>
          <w:p w14:paraId="227E6E13" w14:textId="7335290D"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91.60</w:t>
            </w:r>
          </w:p>
        </w:tc>
        <w:tc>
          <w:tcPr>
            <w:tcW w:w="794" w:type="dxa"/>
            <w:shd w:val="clear" w:color="auto" w:fill="auto"/>
            <w:noWrap/>
            <w:vAlign w:val="center"/>
            <w:hideMark/>
          </w:tcPr>
          <w:p w14:paraId="67519DA6" w14:textId="71C619D7"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96.18</w:t>
            </w:r>
          </w:p>
        </w:tc>
        <w:tc>
          <w:tcPr>
            <w:tcW w:w="794" w:type="dxa"/>
            <w:shd w:val="clear" w:color="auto" w:fill="auto"/>
            <w:noWrap/>
            <w:vAlign w:val="center"/>
            <w:hideMark/>
          </w:tcPr>
          <w:p w14:paraId="4119E5D6" w14:textId="6B78D12B"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100.99</w:t>
            </w:r>
          </w:p>
        </w:tc>
        <w:tc>
          <w:tcPr>
            <w:tcW w:w="794" w:type="dxa"/>
            <w:shd w:val="clear" w:color="auto" w:fill="auto"/>
            <w:noWrap/>
            <w:vAlign w:val="center"/>
            <w:hideMark/>
          </w:tcPr>
          <w:p w14:paraId="1993183D" w14:textId="536E618A"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106.04</w:t>
            </w:r>
          </w:p>
        </w:tc>
        <w:tc>
          <w:tcPr>
            <w:tcW w:w="794" w:type="dxa"/>
            <w:vAlign w:val="center"/>
          </w:tcPr>
          <w:p w14:paraId="54389BAC" w14:textId="4F666DFB"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111.34</w:t>
            </w:r>
          </w:p>
        </w:tc>
        <w:tc>
          <w:tcPr>
            <w:tcW w:w="794" w:type="dxa"/>
            <w:vAlign w:val="center"/>
          </w:tcPr>
          <w:p w14:paraId="5D8C40F7" w14:textId="4436593D"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116.91</w:t>
            </w:r>
          </w:p>
        </w:tc>
      </w:tr>
      <w:tr w:rsidR="00911831" w:rsidRPr="004C1C3E" w14:paraId="1B43588A" w14:textId="68A537DE" w:rsidTr="00911831">
        <w:trPr>
          <w:trHeight w:val="315"/>
        </w:trPr>
        <w:tc>
          <w:tcPr>
            <w:tcW w:w="2268" w:type="dxa"/>
            <w:shd w:val="clear" w:color="auto" w:fill="auto"/>
            <w:vAlign w:val="center"/>
            <w:hideMark/>
          </w:tcPr>
          <w:p w14:paraId="0FE606C1" w14:textId="65C8413A" w:rsidR="00911831" w:rsidRPr="004C1C3E" w:rsidRDefault="00911831" w:rsidP="00DE719E">
            <w:pPr>
              <w:spacing w:after="0" w:line="240" w:lineRule="auto"/>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 xml:space="preserve">Bad Debts &amp; Prov. </w:t>
            </w:r>
          </w:p>
        </w:tc>
        <w:tc>
          <w:tcPr>
            <w:tcW w:w="793" w:type="dxa"/>
            <w:shd w:val="clear" w:color="auto" w:fill="auto"/>
            <w:noWrap/>
            <w:vAlign w:val="center"/>
            <w:hideMark/>
          </w:tcPr>
          <w:p w14:paraId="069DCBF2" w14:textId="4A41A2A1"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38.46</w:t>
            </w:r>
          </w:p>
        </w:tc>
        <w:tc>
          <w:tcPr>
            <w:tcW w:w="794" w:type="dxa"/>
            <w:vAlign w:val="center"/>
          </w:tcPr>
          <w:p w14:paraId="2B0B38BC" w14:textId="16479ADC"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38.83</w:t>
            </w:r>
          </w:p>
        </w:tc>
        <w:tc>
          <w:tcPr>
            <w:tcW w:w="794" w:type="dxa"/>
            <w:vAlign w:val="center"/>
          </w:tcPr>
          <w:p w14:paraId="1DD43F51" w14:textId="0668FC6A"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38.96</w:t>
            </w:r>
          </w:p>
        </w:tc>
        <w:tc>
          <w:tcPr>
            <w:tcW w:w="794" w:type="dxa"/>
            <w:vAlign w:val="center"/>
          </w:tcPr>
          <w:p w14:paraId="11CDB46A" w14:textId="43153C3C"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39.53</w:t>
            </w:r>
          </w:p>
        </w:tc>
        <w:tc>
          <w:tcPr>
            <w:tcW w:w="794" w:type="dxa"/>
            <w:shd w:val="clear" w:color="auto" w:fill="auto"/>
            <w:noWrap/>
            <w:vAlign w:val="center"/>
            <w:hideMark/>
          </w:tcPr>
          <w:p w14:paraId="6EA5AE5F" w14:textId="4B6407FE"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39.89</w:t>
            </w:r>
          </w:p>
        </w:tc>
        <w:tc>
          <w:tcPr>
            <w:tcW w:w="794" w:type="dxa"/>
            <w:shd w:val="clear" w:color="auto" w:fill="auto"/>
            <w:noWrap/>
            <w:vAlign w:val="center"/>
            <w:hideMark/>
          </w:tcPr>
          <w:p w14:paraId="651F59D6" w14:textId="4F28E965"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40.00</w:t>
            </w:r>
          </w:p>
        </w:tc>
        <w:tc>
          <w:tcPr>
            <w:tcW w:w="794" w:type="dxa"/>
            <w:shd w:val="clear" w:color="auto" w:fill="auto"/>
            <w:noWrap/>
            <w:vAlign w:val="center"/>
            <w:hideMark/>
          </w:tcPr>
          <w:p w14:paraId="7EC65329" w14:textId="50A09001"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40.44</w:t>
            </w:r>
          </w:p>
        </w:tc>
        <w:tc>
          <w:tcPr>
            <w:tcW w:w="794" w:type="dxa"/>
            <w:shd w:val="clear" w:color="auto" w:fill="auto"/>
            <w:noWrap/>
            <w:vAlign w:val="center"/>
            <w:hideMark/>
          </w:tcPr>
          <w:p w14:paraId="197145BB" w14:textId="27341549"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41.07</w:t>
            </w:r>
          </w:p>
        </w:tc>
        <w:tc>
          <w:tcPr>
            <w:tcW w:w="794" w:type="dxa"/>
            <w:vAlign w:val="center"/>
          </w:tcPr>
          <w:p w14:paraId="469F13D9" w14:textId="5F20D11D"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41.75</w:t>
            </w:r>
          </w:p>
        </w:tc>
        <w:tc>
          <w:tcPr>
            <w:tcW w:w="794" w:type="dxa"/>
            <w:vAlign w:val="center"/>
          </w:tcPr>
          <w:p w14:paraId="255D2E52" w14:textId="5878704E"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42.32</w:t>
            </w:r>
          </w:p>
        </w:tc>
      </w:tr>
      <w:tr w:rsidR="00911831" w:rsidRPr="004C1C3E" w14:paraId="5CB21E72" w14:textId="02C6BE22" w:rsidTr="00911831">
        <w:trPr>
          <w:trHeight w:val="70"/>
        </w:trPr>
        <w:tc>
          <w:tcPr>
            <w:tcW w:w="2268" w:type="dxa"/>
            <w:shd w:val="clear" w:color="auto" w:fill="auto"/>
            <w:vAlign w:val="center"/>
          </w:tcPr>
          <w:p w14:paraId="4AB133FC" w14:textId="2680660D" w:rsidR="00911831" w:rsidRPr="004C1C3E" w:rsidRDefault="00911831" w:rsidP="00DE719E">
            <w:pPr>
              <w:spacing w:after="0" w:line="240" w:lineRule="auto"/>
              <w:rPr>
                <w:rFonts w:asciiTheme="minorHAnsi" w:hAnsiTheme="minorHAnsi" w:cstheme="minorHAnsi"/>
                <w:color w:val="000000"/>
                <w:sz w:val="20"/>
                <w:szCs w:val="20"/>
                <w:lang w:val="en-IN"/>
              </w:rPr>
            </w:pPr>
            <w:r w:rsidRPr="004C1C3E">
              <w:rPr>
                <w:rFonts w:asciiTheme="minorHAnsi" w:hAnsiTheme="minorHAnsi" w:cstheme="minorHAnsi"/>
                <w:color w:val="000000"/>
                <w:sz w:val="20"/>
                <w:szCs w:val="20"/>
              </w:rPr>
              <w:t>Other Expenses</w:t>
            </w:r>
          </w:p>
        </w:tc>
        <w:tc>
          <w:tcPr>
            <w:tcW w:w="793" w:type="dxa"/>
            <w:shd w:val="clear" w:color="auto" w:fill="auto"/>
            <w:noWrap/>
            <w:vAlign w:val="center"/>
          </w:tcPr>
          <w:p w14:paraId="0B243925" w14:textId="10AE7853"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88.95</w:t>
            </w:r>
          </w:p>
        </w:tc>
        <w:tc>
          <w:tcPr>
            <w:tcW w:w="794" w:type="dxa"/>
            <w:vAlign w:val="center"/>
          </w:tcPr>
          <w:p w14:paraId="07B0F7D1" w14:textId="1EA53A4F"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86.07</w:t>
            </w:r>
          </w:p>
        </w:tc>
        <w:tc>
          <w:tcPr>
            <w:tcW w:w="794" w:type="dxa"/>
            <w:vAlign w:val="center"/>
          </w:tcPr>
          <w:p w14:paraId="2B1FC952" w14:textId="6AB8487D"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88.43</w:t>
            </w:r>
          </w:p>
        </w:tc>
        <w:tc>
          <w:tcPr>
            <w:tcW w:w="794" w:type="dxa"/>
            <w:vAlign w:val="center"/>
          </w:tcPr>
          <w:p w14:paraId="7D7B11B2" w14:textId="39EFBF19"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89.89</w:t>
            </w:r>
          </w:p>
        </w:tc>
        <w:tc>
          <w:tcPr>
            <w:tcW w:w="794" w:type="dxa"/>
            <w:shd w:val="clear" w:color="auto" w:fill="auto"/>
            <w:noWrap/>
            <w:vAlign w:val="center"/>
          </w:tcPr>
          <w:p w14:paraId="7562E1BB" w14:textId="63B70D89"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89.44</w:t>
            </w:r>
          </w:p>
        </w:tc>
        <w:tc>
          <w:tcPr>
            <w:tcW w:w="794" w:type="dxa"/>
            <w:shd w:val="clear" w:color="auto" w:fill="auto"/>
            <w:noWrap/>
            <w:vAlign w:val="center"/>
          </w:tcPr>
          <w:p w14:paraId="6D7ABDBD" w14:textId="102FDF7D"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89.63</w:t>
            </w:r>
          </w:p>
        </w:tc>
        <w:tc>
          <w:tcPr>
            <w:tcW w:w="794" w:type="dxa"/>
            <w:shd w:val="clear" w:color="auto" w:fill="auto"/>
            <w:noWrap/>
            <w:vAlign w:val="center"/>
          </w:tcPr>
          <w:p w14:paraId="18CDF0C7" w14:textId="104BF5F1"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91.59</w:t>
            </w:r>
          </w:p>
        </w:tc>
        <w:tc>
          <w:tcPr>
            <w:tcW w:w="794" w:type="dxa"/>
            <w:shd w:val="clear" w:color="auto" w:fill="auto"/>
            <w:noWrap/>
            <w:vAlign w:val="center"/>
          </w:tcPr>
          <w:p w14:paraId="2F9AB22C" w14:textId="647B21FA"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93.82</w:t>
            </w:r>
          </w:p>
        </w:tc>
        <w:tc>
          <w:tcPr>
            <w:tcW w:w="794" w:type="dxa"/>
            <w:vAlign w:val="center"/>
          </w:tcPr>
          <w:p w14:paraId="452FA3ED" w14:textId="62C9965D"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95.74</w:t>
            </w:r>
          </w:p>
        </w:tc>
        <w:tc>
          <w:tcPr>
            <w:tcW w:w="794" w:type="dxa"/>
            <w:vAlign w:val="center"/>
          </w:tcPr>
          <w:p w14:paraId="1D78D6A0" w14:textId="3BC8F627"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97.78</w:t>
            </w:r>
          </w:p>
        </w:tc>
      </w:tr>
      <w:tr w:rsidR="00911831" w:rsidRPr="004C1C3E" w14:paraId="1EFDDED9" w14:textId="3FCE7B6A" w:rsidTr="00911831">
        <w:trPr>
          <w:trHeight w:val="300"/>
        </w:trPr>
        <w:tc>
          <w:tcPr>
            <w:tcW w:w="2268" w:type="dxa"/>
            <w:shd w:val="clear" w:color="auto" w:fill="DEEAF6" w:themeFill="accent1" w:themeFillTint="33"/>
            <w:vAlign w:val="center"/>
            <w:hideMark/>
          </w:tcPr>
          <w:p w14:paraId="01A872A4" w14:textId="6BB499DD" w:rsidR="00911831" w:rsidRPr="004C1C3E" w:rsidRDefault="00911831" w:rsidP="00DE719E">
            <w:pPr>
              <w:spacing w:after="0" w:line="240" w:lineRule="auto"/>
              <w:rPr>
                <w:rFonts w:asciiTheme="minorHAnsi" w:hAnsiTheme="minorHAnsi" w:cstheme="minorHAnsi"/>
                <w:b/>
                <w:bCs/>
                <w:color w:val="000000"/>
                <w:sz w:val="20"/>
                <w:szCs w:val="20"/>
                <w:lang w:val="en-IN" w:eastAsia="en-IN"/>
              </w:rPr>
            </w:pPr>
            <w:r w:rsidRPr="004C1C3E">
              <w:rPr>
                <w:rFonts w:asciiTheme="minorHAnsi" w:hAnsiTheme="minorHAnsi" w:cstheme="minorHAnsi"/>
                <w:b/>
                <w:bCs/>
                <w:color w:val="000000"/>
                <w:sz w:val="20"/>
                <w:szCs w:val="20"/>
              </w:rPr>
              <w:t>Total Expenses</w:t>
            </w:r>
          </w:p>
        </w:tc>
        <w:tc>
          <w:tcPr>
            <w:tcW w:w="793" w:type="dxa"/>
            <w:shd w:val="clear" w:color="auto" w:fill="DEEAF6" w:themeFill="accent1" w:themeFillTint="33"/>
            <w:noWrap/>
            <w:vAlign w:val="center"/>
            <w:hideMark/>
          </w:tcPr>
          <w:p w14:paraId="36429C26" w14:textId="0C8332BE"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1,008.36</w:t>
            </w:r>
          </w:p>
        </w:tc>
        <w:tc>
          <w:tcPr>
            <w:tcW w:w="794" w:type="dxa"/>
            <w:shd w:val="clear" w:color="auto" w:fill="DEEAF6" w:themeFill="accent1" w:themeFillTint="33"/>
            <w:vAlign w:val="center"/>
          </w:tcPr>
          <w:p w14:paraId="6949B5D0" w14:textId="138912AA"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1,020.54</w:t>
            </w:r>
          </w:p>
        </w:tc>
        <w:tc>
          <w:tcPr>
            <w:tcW w:w="794" w:type="dxa"/>
            <w:shd w:val="clear" w:color="auto" w:fill="DEEAF6" w:themeFill="accent1" w:themeFillTint="33"/>
            <w:vAlign w:val="center"/>
          </w:tcPr>
          <w:p w14:paraId="4620F68D" w14:textId="1C00CE26"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1,038.43</w:t>
            </w:r>
          </w:p>
        </w:tc>
        <w:tc>
          <w:tcPr>
            <w:tcW w:w="794" w:type="dxa"/>
            <w:shd w:val="clear" w:color="auto" w:fill="DEEAF6" w:themeFill="accent1" w:themeFillTint="33"/>
            <w:vAlign w:val="center"/>
          </w:tcPr>
          <w:p w14:paraId="58F07502" w14:textId="75254C2D"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1,056.61</w:t>
            </w:r>
          </w:p>
        </w:tc>
        <w:tc>
          <w:tcPr>
            <w:tcW w:w="794" w:type="dxa"/>
            <w:shd w:val="clear" w:color="auto" w:fill="DEEAF6" w:themeFill="accent1" w:themeFillTint="33"/>
            <w:noWrap/>
            <w:vAlign w:val="center"/>
            <w:hideMark/>
          </w:tcPr>
          <w:p w14:paraId="346D3BD8" w14:textId="1431E437"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1,073.45</w:t>
            </w:r>
          </w:p>
        </w:tc>
        <w:tc>
          <w:tcPr>
            <w:tcW w:w="794" w:type="dxa"/>
            <w:shd w:val="clear" w:color="auto" w:fill="DEEAF6" w:themeFill="accent1" w:themeFillTint="33"/>
            <w:noWrap/>
            <w:vAlign w:val="center"/>
            <w:hideMark/>
          </w:tcPr>
          <w:p w14:paraId="5D9D8AD5" w14:textId="5B617B44"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1,091.51</w:t>
            </w:r>
          </w:p>
        </w:tc>
        <w:tc>
          <w:tcPr>
            <w:tcW w:w="794" w:type="dxa"/>
            <w:shd w:val="clear" w:color="auto" w:fill="DEEAF6" w:themeFill="accent1" w:themeFillTint="33"/>
            <w:noWrap/>
            <w:vAlign w:val="center"/>
            <w:hideMark/>
          </w:tcPr>
          <w:p w14:paraId="7FE40483" w14:textId="5ECA07D3"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1,112.54</w:t>
            </w:r>
          </w:p>
        </w:tc>
        <w:tc>
          <w:tcPr>
            <w:tcW w:w="794" w:type="dxa"/>
            <w:shd w:val="clear" w:color="auto" w:fill="DEEAF6" w:themeFill="accent1" w:themeFillTint="33"/>
            <w:noWrap/>
            <w:vAlign w:val="center"/>
            <w:hideMark/>
          </w:tcPr>
          <w:p w14:paraId="698E0E72" w14:textId="62D8D3D0"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1,134.95</w:t>
            </w:r>
          </w:p>
        </w:tc>
        <w:tc>
          <w:tcPr>
            <w:tcW w:w="794" w:type="dxa"/>
            <w:shd w:val="clear" w:color="auto" w:fill="DEEAF6" w:themeFill="accent1" w:themeFillTint="33"/>
            <w:vAlign w:val="center"/>
          </w:tcPr>
          <w:p w14:paraId="45991DFD" w14:textId="20F3908C"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1,158.03</w:t>
            </w:r>
          </w:p>
        </w:tc>
        <w:tc>
          <w:tcPr>
            <w:tcW w:w="794" w:type="dxa"/>
            <w:shd w:val="clear" w:color="auto" w:fill="DEEAF6" w:themeFill="accent1" w:themeFillTint="33"/>
            <w:vAlign w:val="center"/>
          </w:tcPr>
          <w:p w14:paraId="6F616054" w14:textId="19FA7548"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1,182.14</w:t>
            </w:r>
          </w:p>
        </w:tc>
      </w:tr>
      <w:tr w:rsidR="00911831" w:rsidRPr="004C1C3E" w14:paraId="3655BCFA" w14:textId="05B97A05" w:rsidTr="00911831">
        <w:trPr>
          <w:trHeight w:val="300"/>
        </w:trPr>
        <w:tc>
          <w:tcPr>
            <w:tcW w:w="2268" w:type="dxa"/>
            <w:shd w:val="clear" w:color="auto" w:fill="DEEAF6" w:themeFill="accent1" w:themeFillTint="33"/>
            <w:vAlign w:val="center"/>
            <w:hideMark/>
          </w:tcPr>
          <w:p w14:paraId="0C5AF697" w14:textId="23604DCF" w:rsidR="00911831" w:rsidRPr="004C1C3E" w:rsidRDefault="00911831" w:rsidP="00DE719E">
            <w:pPr>
              <w:spacing w:after="0" w:line="240" w:lineRule="auto"/>
              <w:rPr>
                <w:rFonts w:asciiTheme="minorHAnsi" w:hAnsiTheme="minorHAnsi" w:cstheme="minorHAnsi"/>
                <w:b/>
                <w:bCs/>
                <w:color w:val="000000"/>
                <w:sz w:val="20"/>
                <w:szCs w:val="20"/>
                <w:lang w:val="en-IN" w:eastAsia="en-IN"/>
              </w:rPr>
            </w:pPr>
            <w:r w:rsidRPr="004C1C3E">
              <w:rPr>
                <w:rFonts w:asciiTheme="minorHAnsi" w:hAnsiTheme="minorHAnsi" w:cstheme="minorHAnsi"/>
                <w:b/>
                <w:bCs/>
                <w:color w:val="000000"/>
                <w:sz w:val="20"/>
                <w:szCs w:val="20"/>
              </w:rPr>
              <w:t>EBITDA</w:t>
            </w:r>
          </w:p>
        </w:tc>
        <w:tc>
          <w:tcPr>
            <w:tcW w:w="793" w:type="dxa"/>
            <w:shd w:val="clear" w:color="auto" w:fill="DEEAF6" w:themeFill="accent1" w:themeFillTint="33"/>
            <w:noWrap/>
            <w:vAlign w:val="center"/>
            <w:hideMark/>
          </w:tcPr>
          <w:p w14:paraId="18B2A479" w14:textId="0C728E4A"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354.15</w:t>
            </w:r>
          </w:p>
        </w:tc>
        <w:tc>
          <w:tcPr>
            <w:tcW w:w="794" w:type="dxa"/>
            <w:shd w:val="clear" w:color="auto" w:fill="DEEAF6" w:themeFill="accent1" w:themeFillTint="33"/>
            <w:vAlign w:val="center"/>
          </w:tcPr>
          <w:p w14:paraId="23DF4903" w14:textId="450CA065"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363.61</w:t>
            </w:r>
          </w:p>
        </w:tc>
        <w:tc>
          <w:tcPr>
            <w:tcW w:w="794" w:type="dxa"/>
            <w:shd w:val="clear" w:color="auto" w:fill="DEEAF6" w:themeFill="accent1" w:themeFillTint="33"/>
            <w:vAlign w:val="center"/>
          </w:tcPr>
          <w:p w14:paraId="6FB89D09" w14:textId="06FF2516"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359.80</w:t>
            </w:r>
          </w:p>
        </w:tc>
        <w:tc>
          <w:tcPr>
            <w:tcW w:w="794" w:type="dxa"/>
            <w:shd w:val="clear" w:color="auto" w:fill="DEEAF6" w:themeFill="accent1" w:themeFillTint="33"/>
            <w:vAlign w:val="center"/>
          </w:tcPr>
          <w:p w14:paraId="0ADC5EC7" w14:textId="49B50303"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337.69</w:t>
            </w:r>
          </w:p>
        </w:tc>
        <w:tc>
          <w:tcPr>
            <w:tcW w:w="794" w:type="dxa"/>
            <w:shd w:val="clear" w:color="auto" w:fill="DEEAF6" w:themeFill="accent1" w:themeFillTint="33"/>
            <w:noWrap/>
            <w:vAlign w:val="center"/>
            <w:hideMark/>
          </w:tcPr>
          <w:p w14:paraId="185C707B" w14:textId="28AEC71B"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322.53</w:t>
            </w:r>
          </w:p>
        </w:tc>
        <w:tc>
          <w:tcPr>
            <w:tcW w:w="794" w:type="dxa"/>
            <w:shd w:val="clear" w:color="auto" w:fill="DEEAF6" w:themeFill="accent1" w:themeFillTint="33"/>
            <w:noWrap/>
            <w:vAlign w:val="center"/>
            <w:hideMark/>
          </w:tcPr>
          <w:p w14:paraId="2D53CCD7" w14:textId="6569421B"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322.93</w:t>
            </w:r>
          </w:p>
        </w:tc>
        <w:tc>
          <w:tcPr>
            <w:tcW w:w="794" w:type="dxa"/>
            <w:shd w:val="clear" w:color="auto" w:fill="DEEAF6" w:themeFill="accent1" w:themeFillTint="33"/>
            <w:noWrap/>
            <w:vAlign w:val="center"/>
            <w:hideMark/>
          </w:tcPr>
          <w:p w14:paraId="02E629C1" w14:textId="06328EA5"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323.25</w:t>
            </w:r>
          </w:p>
        </w:tc>
        <w:tc>
          <w:tcPr>
            <w:tcW w:w="794" w:type="dxa"/>
            <w:shd w:val="clear" w:color="auto" w:fill="DEEAF6" w:themeFill="accent1" w:themeFillTint="33"/>
            <w:noWrap/>
            <w:vAlign w:val="center"/>
            <w:hideMark/>
          </w:tcPr>
          <w:p w14:paraId="52DC75D4" w14:textId="26D5A3C8"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319.28</w:t>
            </w:r>
          </w:p>
        </w:tc>
        <w:tc>
          <w:tcPr>
            <w:tcW w:w="794" w:type="dxa"/>
            <w:shd w:val="clear" w:color="auto" w:fill="DEEAF6" w:themeFill="accent1" w:themeFillTint="33"/>
            <w:vAlign w:val="center"/>
          </w:tcPr>
          <w:p w14:paraId="5613AB9B" w14:textId="23F4B81A"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315.69</w:t>
            </w:r>
          </w:p>
        </w:tc>
        <w:tc>
          <w:tcPr>
            <w:tcW w:w="794" w:type="dxa"/>
            <w:shd w:val="clear" w:color="auto" w:fill="DEEAF6" w:themeFill="accent1" w:themeFillTint="33"/>
            <w:vAlign w:val="center"/>
          </w:tcPr>
          <w:p w14:paraId="378ABCE7" w14:textId="1916B921"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316.83</w:t>
            </w:r>
          </w:p>
        </w:tc>
      </w:tr>
      <w:tr w:rsidR="00911831" w:rsidRPr="004C1C3E" w14:paraId="2D8CC46B" w14:textId="607DAE67" w:rsidTr="00911831">
        <w:trPr>
          <w:trHeight w:val="300"/>
        </w:trPr>
        <w:tc>
          <w:tcPr>
            <w:tcW w:w="2268" w:type="dxa"/>
            <w:shd w:val="clear" w:color="auto" w:fill="auto"/>
            <w:vAlign w:val="center"/>
            <w:hideMark/>
          </w:tcPr>
          <w:p w14:paraId="123F8AFB" w14:textId="2B5D1FD9" w:rsidR="00911831" w:rsidRPr="004C1C3E" w:rsidRDefault="00911831" w:rsidP="00DE719E">
            <w:pPr>
              <w:spacing w:after="0" w:line="240" w:lineRule="auto"/>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 xml:space="preserve">Depreciation </w:t>
            </w:r>
            <w:r>
              <w:rPr>
                <w:rFonts w:asciiTheme="minorHAnsi" w:hAnsiTheme="minorHAnsi" w:cstheme="minorHAnsi"/>
                <w:color w:val="000000"/>
                <w:sz w:val="20"/>
                <w:szCs w:val="20"/>
              </w:rPr>
              <w:t>&amp;</w:t>
            </w:r>
            <w:r w:rsidRPr="004C1C3E">
              <w:rPr>
                <w:rFonts w:asciiTheme="minorHAnsi" w:hAnsiTheme="minorHAnsi" w:cstheme="minorHAnsi"/>
                <w:color w:val="000000"/>
                <w:sz w:val="20"/>
                <w:szCs w:val="20"/>
              </w:rPr>
              <w:t xml:space="preserve"> Amortization</w:t>
            </w:r>
          </w:p>
        </w:tc>
        <w:tc>
          <w:tcPr>
            <w:tcW w:w="793" w:type="dxa"/>
            <w:shd w:val="clear" w:color="auto" w:fill="auto"/>
            <w:noWrap/>
            <w:vAlign w:val="center"/>
            <w:hideMark/>
          </w:tcPr>
          <w:p w14:paraId="2AC36F97" w14:textId="10914BF9" w:rsidR="00911831" w:rsidRPr="00911831" w:rsidRDefault="00911831" w:rsidP="00911831">
            <w:pPr>
              <w:spacing w:after="0" w:line="276" w:lineRule="auto"/>
              <w:ind w:left="-109" w:right="-57"/>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280.08</w:t>
            </w:r>
          </w:p>
        </w:tc>
        <w:tc>
          <w:tcPr>
            <w:tcW w:w="794" w:type="dxa"/>
            <w:vAlign w:val="center"/>
          </w:tcPr>
          <w:p w14:paraId="62294D24" w14:textId="25AACC34" w:rsidR="00911831" w:rsidRPr="00911831" w:rsidRDefault="00911831" w:rsidP="00911831">
            <w:pPr>
              <w:spacing w:after="0" w:line="276" w:lineRule="auto"/>
              <w:ind w:left="-109" w:right="-57"/>
              <w:jc w:val="center"/>
              <w:rPr>
                <w:rFonts w:asciiTheme="minorHAnsi" w:hAnsiTheme="minorHAnsi" w:cstheme="minorHAnsi"/>
                <w:color w:val="000000"/>
                <w:sz w:val="20"/>
                <w:szCs w:val="20"/>
              </w:rPr>
            </w:pPr>
            <w:r w:rsidRPr="00911831">
              <w:rPr>
                <w:rFonts w:ascii="Calibri" w:hAnsi="Calibri" w:cs="Calibri"/>
                <w:color w:val="000000"/>
                <w:sz w:val="20"/>
                <w:szCs w:val="22"/>
              </w:rPr>
              <w:t>254.00</w:t>
            </w:r>
          </w:p>
        </w:tc>
        <w:tc>
          <w:tcPr>
            <w:tcW w:w="794" w:type="dxa"/>
            <w:vAlign w:val="center"/>
          </w:tcPr>
          <w:p w14:paraId="35EC1EC7" w14:textId="5E91BBD1" w:rsidR="00911831" w:rsidRPr="00911831" w:rsidRDefault="00911831" w:rsidP="00911831">
            <w:pPr>
              <w:spacing w:after="0" w:line="276" w:lineRule="auto"/>
              <w:ind w:left="-109" w:right="-57"/>
              <w:jc w:val="center"/>
              <w:rPr>
                <w:rFonts w:asciiTheme="minorHAnsi" w:hAnsiTheme="minorHAnsi" w:cstheme="minorHAnsi"/>
                <w:color w:val="000000"/>
                <w:sz w:val="20"/>
                <w:szCs w:val="20"/>
              </w:rPr>
            </w:pPr>
            <w:r w:rsidRPr="00911831">
              <w:rPr>
                <w:rFonts w:ascii="Calibri" w:hAnsi="Calibri" w:cs="Calibri"/>
                <w:color w:val="000000"/>
                <w:sz w:val="20"/>
                <w:szCs w:val="22"/>
              </w:rPr>
              <w:t>230.34</w:t>
            </w:r>
          </w:p>
        </w:tc>
        <w:tc>
          <w:tcPr>
            <w:tcW w:w="794" w:type="dxa"/>
            <w:vAlign w:val="center"/>
          </w:tcPr>
          <w:p w14:paraId="27194FF6" w14:textId="65745E7A" w:rsidR="00911831" w:rsidRPr="00911831" w:rsidRDefault="00911831" w:rsidP="00911831">
            <w:pPr>
              <w:spacing w:after="0" w:line="276" w:lineRule="auto"/>
              <w:ind w:left="-109" w:right="-57"/>
              <w:jc w:val="center"/>
              <w:rPr>
                <w:rFonts w:asciiTheme="minorHAnsi" w:hAnsiTheme="minorHAnsi" w:cstheme="minorHAnsi"/>
                <w:color w:val="000000"/>
                <w:sz w:val="20"/>
                <w:szCs w:val="20"/>
              </w:rPr>
            </w:pPr>
            <w:r w:rsidRPr="00911831">
              <w:rPr>
                <w:rFonts w:ascii="Calibri" w:hAnsi="Calibri" w:cs="Calibri"/>
                <w:color w:val="000000"/>
                <w:sz w:val="20"/>
                <w:szCs w:val="22"/>
              </w:rPr>
              <w:t>208.89</w:t>
            </w:r>
          </w:p>
        </w:tc>
        <w:tc>
          <w:tcPr>
            <w:tcW w:w="794" w:type="dxa"/>
            <w:shd w:val="clear" w:color="auto" w:fill="auto"/>
            <w:noWrap/>
            <w:vAlign w:val="center"/>
            <w:hideMark/>
          </w:tcPr>
          <w:p w14:paraId="269CB45F" w14:textId="4A208852" w:rsidR="00911831" w:rsidRPr="00911831" w:rsidRDefault="00911831" w:rsidP="00911831">
            <w:pPr>
              <w:spacing w:after="0" w:line="276" w:lineRule="auto"/>
              <w:ind w:left="-109" w:right="-57"/>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189.43</w:t>
            </w:r>
          </w:p>
        </w:tc>
        <w:tc>
          <w:tcPr>
            <w:tcW w:w="794" w:type="dxa"/>
            <w:shd w:val="clear" w:color="auto" w:fill="auto"/>
            <w:noWrap/>
            <w:vAlign w:val="center"/>
            <w:hideMark/>
          </w:tcPr>
          <w:p w14:paraId="64C0630C" w14:textId="615C8F46" w:rsidR="00911831" w:rsidRPr="00911831" w:rsidRDefault="00911831" w:rsidP="00911831">
            <w:pPr>
              <w:spacing w:after="0" w:line="276" w:lineRule="auto"/>
              <w:ind w:left="-109" w:right="-57"/>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171.79</w:t>
            </w:r>
          </w:p>
        </w:tc>
        <w:tc>
          <w:tcPr>
            <w:tcW w:w="794" w:type="dxa"/>
            <w:shd w:val="clear" w:color="auto" w:fill="auto"/>
            <w:noWrap/>
            <w:vAlign w:val="center"/>
            <w:hideMark/>
          </w:tcPr>
          <w:p w14:paraId="43A4A896" w14:textId="6694D2DE" w:rsidR="00911831" w:rsidRPr="00911831" w:rsidRDefault="00911831" w:rsidP="00911831">
            <w:pPr>
              <w:spacing w:after="0" w:line="276" w:lineRule="auto"/>
              <w:ind w:left="-109" w:right="-57"/>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155.79</w:t>
            </w:r>
          </w:p>
        </w:tc>
        <w:tc>
          <w:tcPr>
            <w:tcW w:w="794" w:type="dxa"/>
            <w:shd w:val="clear" w:color="auto" w:fill="auto"/>
            <w:noWrap/>
            <w:vAlign w:val="center"/>
            <w:hideMark/>
          </w:tcPr>
          <w:p w14:paraId="1EE46B8B" w14:textId="6E8FEE8A" w:rsidR="00911831" w:rsidRPr="00911831" w:rsidRDefault="00911831" w:rsidP="00911831">
            <w:pPr>
              <w:spacing w:after="0" w:line="276" w:lineRule="auto"/>
              <w:ind w:left="-109" w:right="-57"/>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141.28</w:t>
            </w:r>
          </w:p>
        </w:tc>
        <w:tc>
          <w:tcPr>
            <w:tcW w:w="794" w:type="dxa"/>
            <w:vAlign w:val="center"/>
          </w:tcPr>
          <w:p w14:paraId="02462570" w14:textId="19BF4A8B" w:rsidR="00911831" w:rsidRPr="00911831" w:rsidRDefault="00911831" w:rsidP="00911831">
            <w:pPr>
              <w:spacing w:after="0" w:line="276" w:lineRule="auto"/>
              <w:ind w:left="-109" w:right="-57"/>
              <w:jc w:val="center"/>
              <w:rPr>
                <w:rFonts w:asciiTheme="minorHAnsi" w:hAnsiTheme="minorHAnsi" w:cstheme="minorHAnsi"/>
                <w:color w:val="000000"/>
                <w:sz w:val="20"/>
                <w:szCs w:val="20"/>
              </w:rPr>
            </w:pPr>
            <w:r w:rsidRPr="00911831">
              <w:rPr>
                <w:rFonts w:ascii="Calibri" w:hAnsi="Calibri" w:cs="Calibri"/>
                <w:color w:val="000000"/>
                <w:sz w:val="20"/>
                <w:szCs w:val="22"/>
              </w:rPr>
              <w:t>128.12</w:t>
            </w:r>
          </w:p>
        </w:tc>
        <w:tc>
          <w:tcPr>
            <w:tcW w:w="794" w:type="dxa"/>
            <w:vAlign w:val="center"/>
          </w:tcPr>
          <w:p w14:paraId="50988001" w14:textId="19E0C8BD" w:rsidR="00911831" w:rsidRPr="00911831" w:rsidRDefault="00911831" w:rsidP="00911831">
            <w:pPr>
              <w:spacing w:after="0" w:line="276" w:lineRule="auto"/>
              <w:ind w:left="-109" w:right="-57"/>
              <w:jc w:val="center"/>
              <w:rPr>
                <w:rFonts w:asciiTheme="minorHAnsi" w:hAnsiTheme="minorHAnsi" w:cstheme="minorHAnsi"/>
                <w:color w:val="000000"/>
                <w:sz w:val="20"/>
                <w:szCs w:val="20"/>
              </w:rPr>
            </w:pPr>
            <w:r w:rsidRPr="00911831">
              <w:rPr>
                <w:rFonts w:ascii="Calibri" w:hAnsi="Calibri" w:cs="Calibri"/>
                <w:color w:val="000000"/>
                <w:sz w:val="20"/>
                <w:szCs w:val="22"/>
              </w:rPr>
              <w:t>116.19</w:t>
            </w:r>
          </w:p>
        </w:tc>
      </w:tr>
      <w:tr w:rsidR="00911831" w:rsidRPr="004C1C3E" w14:paraId="77216CF2" w14:textId="0573975C" w:rsidTr="00911831">
        <w:trPr>
          <w:trHeight w:val="300"/>
        </w:trPr>
        <w:tc>
          <w:tcPr>
            <w:tcW w:w="2268" w:type="dxa"/>
            <w:shd w:val="clear" w:color="auto" w:fill="DEEAF6" w:themeFill="accent1" w:themeFillTint="33"/>
            <w:vAlign w:val="center"/>
            <w:hideMark/>
          </w:tcPr>
          <w:p w14:paraId="0C580A6D" w14:textId="35E3935D" w:rsidR="00911831" w:rsidRPr="004C1C3E" w:rsidRDefault="00911831" w:rsidP="00DE719E">
            <w:pPr>
              <w:spacing w:after="0" w:line="240" w:lineRule="auto"/>
              <w:rPr>
                <w:rFonts w:asciiTheme="minorHAnsi" w:hAnsiTheme="minorHAnsi" w:cstheme="minorHAnsi"/>
                <w:b/>
                <w:bCs/>
                <w:color w:val="000000"/>
                <w:sz w:val="20"/>
                <w:szCs w:val="20"/>
                <w:lang w:val="en-IN" w:eastAsia="en-IN"/>
              </w:rPr>
            </w:pPr>
            <w:r w:rsidRPr="004C1C3E">
              <w:rPr>
                <w:rFonts w:asciiTheme="minorHAnsi" w:hAnsiTheme="minorHAnsi" w:cstheme="minorHAnsi"/>
                <w:b/>
                <w:bCs/>
                <w:color w:val="000000"/>
                <w:sz w:val="20"/>
                <w:szCs w:val="20"/>
              </w:rPr>
              <w:t>EBIT</w:t>
            </w:r>
          </w:p>
        </w:tc>
        <w:tc>
          <w:tcPr>
            <w:tcW w:w="793" w:type="dxa"/>
            <w:shd w:val="clear" w:color="auto" w:fill="DEEAF6" w:themeFill="accent1" w:themeFillTint="33"/>
            <w:noWrap/>
            <w:vAlign w:val="center"/>
            <w:hideMark/>
          </w:tcPr>
          <w:p w14:paraId="2894AB00" w14:textId="1149751E"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74.07</w:t>
            </w:r>
          </w:p>
        </w:tc>
        <w:tc>
          <w:tcPr>
            <w:tcW w:w="794" w:type="dxa"/>
            <w:shd w:val="clear" w:color="auto" w:fill="DEEAF6" w:themeFill="accent1" w:themeFillTint="33"/>
            <w:vAlign w:val="center"/>
          </w:tcPr>
          <w:p w14:paraId="2B1F8EF7" w14:textId="172D578A"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109.61</w:t>
            </w:r>
          </w:p>
        </w:tc>
        <w:tc>
          <w:tcPr>
            <w:tcW w:w="794" w:type="dxa"/>
            <w:shd w:val="clear" w:color="auto" w:fill="DEEAF6" w:themeFill="accent1" w:themeFillTint="33"/>
            <w:vAlign w:val="center"/>
          </w:tcPr>
          <w:p w14:paraId="55E6BF17" w14:textId="034772C4"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129.46</w:t>
            </w:r>
          </w:p>
        </w:tc>
        <w:tc>
          <w:tcPr>
            <w:tcW w:w="794" w:type="dxa"/>
            <w:shd w:val="clear" w:color="auto" w:fill="DEEAF6" w:themeFill="accent1" w:themeFillTint="33"/>
            <w:vAlign w:val="center"/>
          </w:tcPr>
          <w:p w14:paraId="2BDA3A78" w14:textId="17249EFC"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128.81</w:t>
            </w:r>
          </w:p>
        </w:tc>
        <w:tc>
          <w:tcPr>
            <w:tcW w:w="794" w:type="dxa"/>
            <w:shd w:val="clear" w:color="auto" w:fill="DEEAF6" w:themeFill="accent1" w:themeFillTint="33"/>
            <w:noWrap/>
            <w:vAlign w:val="center"/>
            <w:hideMark/>
          </w:tcPr>
          <w:p w14:paraId="6A70E9B4" w14:textId="1227ED32"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133.10</w:t>
            </w:r>
          </w:p>
        </w:tc>
        <w:tc>
          <w:tcPr>
            <w:tcW w:w="794" w:type="dxa"/>
            <w:shd w:val="clear" w:color="auto" w:fill="DEEAF6" w:themeFill="accent1" w:themeFillTint="33"/>
            <w:noWrap/>
            <w:vAlign w:val="center"/>
            <w:hideMark/>
          </w:tcPr>
          <w:p w14:paraId="08C27BE8" w14:textId="02E49B49"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151.14</w:t>
            </w:r>
          </w:p>
        </w:tc>
        <w:tc>
          <w:tcPr>
            <w:tcW w:w="794" w:type="dxa"/>
            <w:shd w:val="clear" w:color="auto" w:fill="DEEAF6" w:themeFill="accent1" w:themeFillTint="33"/>
            <w:noWrap/>
            <w:vAlign w:val="center"/>
            <w:hideMark/>
          </w:tcPr>
          <w:p w14:paraId="28181AC5" w14:textId="22D455C0"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167.46</w:t>
            </w:r>
          </w:p>
        </w:tc>
        <w:tc>
          <w:tcPr>
            <w:tcW w:w="794" w:type="dxa"/>
            <w:shd w:val="clear" w:color="auto" w:fill="DEEAF6" w:themeFill="accent1" w:themeFillTint="33"/>
            <w:noWrap/>
            <w:vAlign w:val="center"/>
            <w:hideMark/>
          </w:tcPr>
          <w:p w14:paraId="3FC7C6D7" w14:textId="27B3D352"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178.00</w:t>
            </w:r>
          </w:p>
        </w:tc>
        <w:tc>
          <w:tcPr>
            <w:tcW w:w="794" w:type="dxa"/>
            <w:shd w:val="clear" w:color="auto" w:fill="DEEAF6" w:themeFill="accent1" w:themeFillTint="33"/>
            <w:vAlign w:val="center"/>
          </w:tcPr>
          <w:p w14:paraId="016D2342" w14:textId="0953C0F8"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187.57</w:t>
            </w:r>
          </w:p>
        </w:tc>
        <w:tc>
          <w:tcPr>
            <w:tcW w:w="794" w:type="dxa"/>
            <w:shd w:val="clear" w:color="auto" w:fill="DEEAF6" w:themeFill="accent1" w:themeFillTint="33"/>
            <w:vAlign w:val="center"/>
          </w:tcPr>
          <w:p w14:paraId="3E82549A" w14:textId="4864F4AC" w:rsidR="00911831" w:rsidRPr="00911831" w:rsidRDefault="00911831" w:rsidP="00911831">
            <w:pPr>
              <w:spacing w:after="0" w:line="276" w:lineRule="auto"/>
              <w:ind w:left="-109" w:right="-57"/>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200.64</w:t>
            </w:r>
          </w:p>
        </w:tc>
      </w:tr>
      <w:tr w:rsidR="00911831" w:rsidRPr="004C1C3E" w14:paraId="42EAA0C8" w14:textId="28F469EB" w:rsidTr="00911831">
        <w:trPr>
          <w:trHeight w:val="300"/>
        </w:trPr>
        <w:tc>
          <w:tcPr>
            <w:tcW w:w="2268" w:type="dxa"/>
            <w:shd w:val="clear" w:color="auto" w:fill="auto"/>
            <w:noWrap/>
            <w:vAlign w:val="center"/>
            <w:hideMark/>
          </w:tcPr>
          <w:p w14:paraId="585D660A" w14:textId="1150C423" w:rsidR="00911831" w:rsidRPr="004C1C3E" w:rsidRDefault="00911831" w:rsidP="00DE719E">
            <w:pPr>
              <w:spacing w:after="0" w:line="240" w:lineRule="auto"/>
              <w:rPr>
                <w:rFonts w:asciiTheme="minorHAnsi" w:hAnsiTheme="minorHAnsi" w:cstheme="minorHAnsi"/>
                <w:sz w:val="20"/>
                <w:szCs w:val="20"/>
                <w:lang w:val="en-IN" w:eastAsia="en-IN"/>
              </w:rPr>
            </w:pPr>
            <w:r w:rsidRPr="004C1C3E">
              <w:rPr>
                <w:rFonts w:asciiTheme="minorHAnsi" w:hAnsiTheme="minorHAnsi" w:cstheme="minorHAnsi"/>
                <w:sz w:val="20"/>
                <w:szCs w:val="20"/>
              </w:rPr>
              <w:t>Tax Rate (T)</w:t>
            </w:r>
          </w:p>
        </w:tc>
        <w:tc>
          <w:tcPr>
            <w:tcW w:w="793" w:type="dxa"/>
            <w:shd w:val="clear" w:color="auto" w:fill="auto"/>
            <w:noWrap/>
            <w:vAlign w:val="center"/>
            <w:hideMark/>
          </w:tcPr>
          <w:p w14:paraId="12207DA7" w14:textId="2CFBEF81" w:rsidR="00911831" w:rsidRPr="004C1C3E" w:rsidRDefault="00911831" w:rsidP="00911831">
            <w:pPr>
              <w:spacing w:after="0" w:line="276" w:lineRule="auto"/>
              <w:ind w:left="-105" w:right="-86"/>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34.94%</w:t>
            </w:r>
          </w:p>
        </w:tc>
        <w:tc>
          <w:tcPr>
            <w:tcW w:w="794" w:type="dxa"/>
            <w:vAlign w:val="center"/>
          </w:tcPr>
          <w:p w14:paraId="79AAFC3D" w14:textId="581FFFFA"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34.94%</w:t>
            </w:r>
          </w:p>
        </w:tc>
        <w:tc>
          <w:tcPr>
            <w:tcW w:w="794" w:type="dxa"/>
            <w:vAlign w:val="center"/>
          </w:tcPr>
          <w:p w14:paraId="281552BF" w14:textId="5EAC0B09"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34.94%</w:t>
            </w:r>
          </w:p>
        </w:tc>
        <w:tc>
          <w:tcPr>
            <w:tcW w:w="794" w:type="dxa"/>
            <w:vAlign w:val="center"/>
          </w:tcPr>
          <w:p w14:paraId="56FF02B0" w14:textId="093043B8"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34.94%</w:t>
            </w:r>
          </w:p>
        </w:tc>
        <w:tc>
          <w:tcPr>
            <w:tcW w:w="794" w:type="dxa"/>
            <w:shd w:val="clear" w:color="auto" w:fill="auto"/>
            <w:noWrap/>
            <w:vAlign w:val="center"/>
            <w:hideMark/>
          </w:tcPr>
          <w:p w14:paraId="0381385A" w14:textId="4B31C52A" w:rsidR="00911831" w:rsidRPr="004C1C3E" w:rsidRDefault="00911831" w:rsidP="00911831">
            <w:pPr>
              <w:spacing w:after="0" w:line="276" w:lineRule="auto"/>
              <w:ind w:left="-105" w:right="-86"/>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34.94%</w:t>
            </w:r>
          </w:p>
        </w:tc>
        <w:tc>
          <w:tcPr>
            <w:tcW w:w="794" w:type="dxa"/>
            <w:shd w:val="clear" w:color="auto" w:fill="auto"/>
            <w:noWrap/>
            <w:vAlign w:val="center"/>
            <w:hideMark/>
          </w:tcPr>
          <w:p w14:paraId="0F5B8F84" w14:textId="0BFC2F46" w:rsidR="00911831" w:rsidRPr="004C1C3E" w:rsidRDefault="00911831" w:rsidP="00911831">
            <w:pPr>
              <w:spacing w:after="0" w:line="276" w:lineRule="auto"/>
              <w:ind w:left="-105" w:right="-86"/>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34.94%</w:t>
            </w:r>
          </w:p>
        </w:tc>
        <w:tc>
          <w:tcPr>
            <w:tcW w:w="794" w:type="dxa"/>
            <w:shd w:val="clear" w:color="auto" w:fill="auto"/>
            <w:noWrap/>
            <w:vAlign w:val="center"/>
            <w:hideMark/>
          </w:tcPr>
          <w:p w14:paraId="469D84FB" w14:textId="0ED71148" w:rsidR="00911831" w:rsidRPr="004C1C3E" w:rsidRDefault="00911831" w:rsidP="00911831">
            <w:pPr>
              <w:spacing w:after="0" w:line="276" w:lineRule="auto"/>
              <w:ind w:left="-105" w:right="-86"/>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34.94%</w:t>
            </w:r>
          </w:p>
        </w:tc>
        <w:tc>
          <w:tcPr>
            <w:tcW w:w="794" w:type="dxa"/>
            <w:shd w:val="clear" w:color="auto" w:fill="auto"/>
            <w:noWrap/>
            <w:vAlign w:val="center"/>
            <w:hideMark/>
          </w:tcPr>
          <w:p w14:paraId="24037CB5" w14:textId="0CA4DA87" w:rsidR="00911831" w:rsidRPr="004C1C3E" w:rsidRDefault="00911831" w:rsidP="00911831">
            <w:pPr>
              <w:spacing w:after="0" w:line="276" w:lineRule="auto"/>
              <w:ind w:left="-105" w:right="-86"/>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34.94%</w:t>
            </w:r>
          </w:p>
        </w:tc>
        <w:tc>
          <w:tcPr>
            <w:tcW w:w="794" w:type="dxa"/>
            <w:vAlign w:val="center"/>
          </w:tcPr>
          <w:p w14:paraId="1944E0D6" w14:textId="759667CD" w:rsidR="00911831" w:rsidRPr="004C1C3E" w:rsidRDefault="00911831" w:rsidP="00911831">
            <w:pPr>
              <w:spacing w:after="0" w:line="276" w:lineRule="auto"/>
              <w:ind w:left="-105" w:right="-86"/>
              <w:jc w:val="center"/>
              <w:rPr>
                <w:rFonts w:asciiTheme="minorHAnsi" w:hAnsiTheme="minorHAnsi" w:cstheme="minorHAnsi"/>
                <w:color w:val="000000"/>
                <w:sz w:val="20"/>
                <w:szCs w:val="20"/>
              </w:rPr>
            </w:pPr>
            <w:r w:rsidRPr="004C1C3E">
              <w:rPr>
                <w:rFonts w:asciiTheme="minorHAnsi" w:hAnsiTheme="minorHAnsi" w:cstheme="minorHAnsi"/>
                <w:color w:val="000000"/>
                <w:sz w:val="20"/>
                <w:szCs w:val="20"/>
              </w:rPr>
              <w:t>34.94%</w:t>
            </w:r>
          </w:p>
        </w:tc>
        <w:tc>
          <w:tcPr>
            <w:tcW w:w="794" w:type="dxa"/>
            <w:vAlign w:val="center"/>
          </w:tcPr>
          <w:p w14:paraId="43902B45" w14:textId="2D2CD903" w:rsidR="00911831" w:rsidRPr="004C1C3E" w:rsidRDefault="00911831" w:rsidP="00911831">
            <w:pPr>
              <w:spacing w:after="0" w:line="276" w:lineRule="auto"/>
              <w:ind w:left="-105" w:right="-86"/>
              <w:jc w:val="center"/>
              <w:rPr>
                <w:rFonts w:asciiTheme="minorHAnsi" w:hAnsiTheme="minorHAnsi" w:cstheme="minorHAnsi"/>
                <w:color w:val="000000"/>
                <w:sz w:val="20"/>
                <w:szCs w:val="20"/>
              </w:rPr>
            </w:pPr>
            <w:r w:rsidRPr="004C1C3E">
              <w:rPr>
                <w:rFonts w:asciiTheme="minorHAnsi" w:hAnsiTheme="minorHAnsi" w:cstheme="minorHAnsi"/>
                <w:color w:val="000000"/>
                <w:sz w:val="20"/>
                <w:szCs w:val="20"/>
              </w:rPr>
              <w:t>34.94%</w:t>
            </w:r>
          </w:p>
        </w:tc>
      </w:tr>
      <w:tr w:rsidR="00911831" w:rsidRPr="004C1C3E" w14:paraId="51D13A3C" w14:textId="0CD8DA2D" w:rsidTr="00911831">
        <w:trPr>
          <w:trHeight w:val="300"/>
        </w:trPr>
        <w:tc>
          <w:tcPr>
            <w:tcW w:w="2268" w:type="dxa"/>
            <w:shd w:val="clear" w:color="auto" w:fill="auto"/>
            <w:noWrap/>
            <w:vAlign w:val="center"/>
          </w:tcPr>
          <w:p w14:paraId="57B86A51" w14:textId="621207D2" w:rsidR="00911831" w:rsidRPr="004C1C3E" w:rsidRDefault="00911831" w:rsidP="00DE719E">
            <w:pPr>
              <w:spacing w:after="0" w:line="240" w:lineRule="auto"/>
              <w:rPr>
                <w:rFonts w:asciiTheme="minorHAnsi" w:hAnsiTheme="minorHAnsi" w:cstheme="minorHAnsi"/>
                <w:sz w:val="20"/>
                <w:szCs w:val="20"/>
              </w:rPr>
            </w:pPr>
            <w:r w:rsidRPr="004C1C3E">
              <w:rPr>
                <w:rFonts w:asciiTheme="minorHAnsi" w:hAnsiTheme="minorHAnsi" w:cstheme="minorHAnsi"/>
                <w:sz w:val="20"/>
                <w:szCs w:val="20"/>
              </w:rPr>
              <w:t>(1-T)</w:t>
            </w:r>
          </w:p>
        </w:tc>
        <w:tc>
          <w:tcPr>
            <w:tcW w:w="793" w:type="dxa"/>
            <w:shd w:val="clear" w:color="auto" w:fill="auto"/>
            <w:noWrap/>
            <w:vAlign w:val="center"/>
          </w:tcPr>
          <w:p w14:paraId="58D37DC4" w14:textId="2B602038"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vAlign w:val="center"/>
          </w:tcPr>
          <w:p w14:paraId="448CA7F6" w14:textId="21C0E082"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vAlign w:val="center"/>
          </w:tcPr>
          <w:p w14:paraId="63146773" w14:textId="7F719EBC"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vAlign w:val="center"/>
          </w:tcPr>
          <w:p w14:paraId="20D193E0" w14:textId="44E38563"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shd w:val="clear" w:color="auto" w:fill="auto"/>
            <w:noWrap/>
            <w:vAlign w:val="center"/>
          </w:tcPr>
          <w:p w14:paraId="2322BDD6" w14:textId="678100CD"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shd w:val="clear" w:color="auto" w:fill="auto"/>
            <w:noWrap/>
            <w:vAlign w:val="center"/>
          </w:tcPr>
          <w:p w14:paraId="06D97CD5" w14:textId="5B08B082"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shd w:val="clear" w:color="auto" w:fill="auto"/>
            <w:noWrap/>
            <w:vAlign w:val="center"/>
          </w:tcPr>
          <w:p w14:paraId="6096B2CC" w14:textId="7768449D"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shd w:val="clear" w:color="auto" w:fill="auto"/>
            <w:noWrap/>
            <w:vAlign w:val="center"/>
          </w:tcPr>
          <w:p w14:paraId="10561786" w14:textId="761D2F9F" w:rsidR="00911831" w:rsidRPr="004C1C3E" w:rsidRDefault="00911831" w:rsidP="00911831">
            <w:pPr>
              <w:spacing w:after="0" w:line="276" w:lineRule="auto"/>
              <w:ind w:left="-105" w:right="-86"/>
              <w:jc w:val="center"/>
              <w:rPr>
                <w:rFonts w:asciiTheme="minorHAnsi" w:hAnsiTheme="minorHAnsi" w:cstheme="minorHAnsi"/>
                <w:sz w:val="20"/>
                <w:szCs w:val="20"/>
              </w:rPr>
            </w:pPr>
            <w:r w:rsidRPr="004C1C3E">
              <w:rPr>
                <w:rFonts w:asciiTheme="minorHAnsi" w:hAnsiTheme="minorHAnsi" w:cstheme="minorHAnsi"/>
                <w:color w:val="000000"/>
                <w:sz w:val="20"/>
                <w:szCs w:val="20"/>
              </w:rPr>
              <w:t>65.06%</w:t>
            </w:r>
          </w:p>
        </w:tc>
        <w:tc>
          <w:tcPr>
            <w:tcW w:w="794" w:type="dxa"/>
            <w:vAlign w:val="center"/>
          </w:tcPr>
          <w:p w14:paraId="72636BFC" w14:textId="261921A7" w:rsidR="00911831" w:rsidRPr="004C1C3E" w:rsidRDefault="00911831" w:rsidP="00911831">
            <w:pPr>
              <w:spacing w:after="0" w:line="276" w:lineRule="auto"/>
              <w:ind w:left="-105" w:right="-86"/>
              <w:jc w:val="center"/>
              <w:rPr>
                <w:rFonts w:asciiTheme="minorHAnsi" w:hAnsiTheme="minorHAnsi" w:cstheme="minorHAnsi"/>
                <w:color w:val="000000"/>
                <w:sz w:val="20"/>
                <w:szCs w:val="20"/>
              </w:rPr>
            </w:pPr>
            <w:r w:rsidRPr="004C1C3E">
              <w:rPr>
                <w:rFonts w:asciiTheme="minorHAnsi" w:hAnsiTheme="minorHAnsi" w:cstheme="minorHAnsi"/>
                <w:color w:val="000000"/>
                <w:sz w:val="20"/>
                <w:szCs w:val="20"/>
              </w:rPr>
              <w:t>65.06%</w:t>
            </w:r>
          </w:p>
        </w:tc>
        <w:tc>
          <w:tcPr>
            <w:tcW w:w="794" w:type="dxa"/>
            <w:vAlign w:val="center"/>
          </w:tcPr>
          <w:p w14:paraId="7636973C" w14:textId="2C8E1DA9" w:rsidR="00911831" w:rsidRPr="004C1C3E" w:rsidRDefault="00911831" w:rsidP="00911831">
            <w:pPr>
              <w:spacing w:after="0" w:line="276" w:lineRule="auto"/>
              <w:ind w:left="-105" w:right="-86"/>
              <w:jc w:val="center"/>
              <w:rPr>
                <w:rFonts w:asciiTheme="minorHAnsi" w:hAnsiTheme="minorHAnsi" w:cstheme="minorHAnsi"/>
                <w:color w:val="000000"/>
                <w:sz w:val="20"/>
                <w:szCs w:val="20"/>
              </w:rPr>
            </w:pPr>
            <w:r w:rsidRPr="004C1C3E">
              <w:rPr>
                <w:rFonts w:asciiTheme="minorHAnsi" w:hAnsiTheme="minorHAnsi" w:cstheme="minorHAnsi"/>
                <w:color w:val="000000"/>
                <w:sz w:val="20"/>
                <w:szCs w:val="20"/>
              </w:rPr>
              <w:t>65.06%</w:t>
            </w:r>
          </w:p>
        </w:tc>
      </w:tr>
      <w:tr w:rsidR="00911831" w:rsidRPr="004C1C3E" w14:paraId="66C89E7C" w14:textId="2754BD0E" w:rsidTr="00911831">
        <w:trPr>
          <w:trHeight w:val="300"/>
        </w:trPr>
        <w:tc>
          <w:tcPr>
            <w:tcW w:w="2268" w:type="dxa"/>
            <w:shd w:val="clear" w:color="auto" w:fill="DEEAF6" w:themeFill="accent1" w:themeFillTint="33"/>
            <w:noWrap/>
            <w:vAlign w:val="center"/>
            <w:hideMark/>
          </w:tcPr>
          <w:p w14:paraId="3E26F292" w14:textId="117BB376" w:rsidR="00911831" w:rsidRPr="004C1C3E" w:rsidRDefault="00911831"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b/>
                <w:bCs/>
                <w:sz w:val="20"/>
                <w:szCs w:val="20"/>
              </w:rPr>
              <w:t>NOPAT</w:t>
            </w:r>
          </w:p>
        </w:tc>
        <w:tc>
          <w:tcPr>
            <w:tcW w:w="793" w:type="dxa"/>
            <w:shd w:val="clear" w:color="auto" w:fill="DEEAF6" w:themeFill="accent1" w:themeFillTint="33"/>
            <w:noWrap/>
            <w:vAlign w:val="center"/>
            <w:hideMark/>
          </w:tcPr>
          <w:p w14:paraId="7734A3AD" w14:textId="30E6B546" w:rsidR="00911831" w:rsidRPr="00911831" w:rsidRDefault="00911831" w:rsidP="00911831">
            <w:pPr>
              <w:spacing w:after="0" w:line="276" w:lineRule="auto"/>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48.19</w:t>
            </w:r>
          </w:p>
        </w:tc>
        <w:tc>
          <w:tcPr>
            <w:tcW w:w="794" w:type="dxa"/>
            <w:shd w:val="clear" w:color="auto" w:fill="DEEAF6" w:themeFill="accent1" w:themeFillTint="33"/>
            <w:vAlign w:val="center"/>
          </w:tcPr>
          <w:p w14:paraId="00E6C743" w14:textId="2B7AB52C"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b/>
                <w:bCs/>
                <w:color w:val="000000"/>
                <w:sz w:val="20"/>
                <w:szCs w:val="22"/>
              </w:rPr>
              <w:t>71.31</w:t>
            </w:r>
          </w:p>
        </w:tc>
        <w:tc>
          <w:tcPr>
            <w:tcW w:w="794" w:type="dxa"/>
            <w:shd w:val="clear" w:color="auto" w:fill="DEEAF6" w:themeFill="accent1" w:themeFillTint="33"/>
            <w:vAlign w:val="center"/>
          </w:tcPr>
          <w:p w14:paraId="00CC2EA4" w14:textId="19C21CEA"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b/>
                <w:bCs/>
                <w:color w:val="000000"/>
                <w:sz w:val="20"/>
                <w:szCs w:val="22"/>
              </w:rPr>
              <w:t>84.22</w:t>
            </w:r>
          </w:p>
        </w:tc>
        <w:tc>
          <w:tcPr>
            <w:tcW w:w="794" w:type="dxa"/>
            <w:shd w:val="clear" w:color="auto" w:fill="DEEAF6" w:themeFill="accent1" w:themeFillTint="33"/>
            <w:vAlign w:val="center"/>
          </w:tcPr>
          <w:p w14:paraId="5F41C08B" w14:textId="7F6ECDAA"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b/>
                <w:bCs/>
                <w:color w:val="000000"/>
                <w:sz w:val="20"/>
                <w:szCs w:val="22"/>
              </w:rPr>
              <w:t>83.80</w:t>
            </w:r>
          </w:p>
        </w:tc>
        <w:tc>
          <w:tcPr>
            <w:tcW w:w="794" w:type="dxa"/>
            <w:shd w:val="clear" w:color="auto" w:fill="DEEAF6" w:themeFill="accent1" w:themeFillTint="33"/>
            <w:noWrap/>
            <w:vAlign w:val="center"/>
            <w:hideMark/>
          </w:tcPr>
          <w:p w14:paraId="39781F7B" w14:textId="796BBC4A" w:rsidR="00911831" w:rsidRPr="00911831" w:rsidRDefault="00911831" w:rsidP="00911831">
            <w:pPr>
              <w:spacing w:after="0" w:line="276" w:lineRule="auto"/>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86.59</w:t>
            </w:r>
          </w:p>
        </w:tc>
        <w:tc>
          <w:tcPr>
            <w:tcW w:w="794" w:type="dxa"/>
            <w:shd w:val="clear" w:color="auto" w:fill="DEEAF6" w:themeFill="accent1" w:themeFillTint="33"/>
            <w:noWrap/>
            <w:vAlign w:val="center"/>
            <w:hideMark/>
          </w:tcPr>
          <w:p w14:paraId="505C806F" w14:textId="26195D4B" w:rsidR="00911831" w:rsidRPr="00911831" w:rsidRDefault="00911831" w:rsidP="00911831">
            <w:pPr>
              <w:spacing w:after="0" w:line="276" w:lineRule="auto"/>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98.33</w:t>
            </w:r>
          </w:p>
        </w:tc>
        <w:tc>
          <w:tcPr>
            <w:tcW w:w="794" w:type="dxa"/>
            <w:shd w:val="clear" w:color="auto" w:fill="DEEAF6" w:themeFill="accent1" w:themeFillTint="33"/>
            <w:noWrap/>
            <w:vAlign w:val="center"/>
            <w:hideMark/>
          </w:tcPr>
          <w:p w14:paraId="07B7F87F" w14:textId="0CA81F59" w:rsidR="00911831" w:rsidRPr="00911831" w:rsidRDefault="00911831" w:rsidP="00911831">
            <w:pPr>
              <w:spacing w:after="0" w:line="276" w:lineRule="auto"/>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108.94</w:t>
            </w:r>
          </w:p>
        </w:tc>
        <w:tc>
          <w:tcPr>
            <w:tcW w:w="794" w:type="dxa"/>
            <w:shd w:val="clear" w:color="auto" w:fill="DEEAF6" w:themeFill="accent1" w:themeFillTint="33"/>
            <w:noWrap/>
            <w:vAlign w:val="center"/>
            <w:hideMark/>
          </w:tcPr>
          <w:p w14:paraId="37C4CF44" w14:textId="0310B966" w:rsidR="00911831" w:rsidRPr="00911831" w:rsidRDefault="00911831" w:rsidP="00911831">
            <w:pPr>
              <w:spacing w:after="0" w:line="276" w:lineRule="auto"/>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115.80</w:t>
            </w:r>
          </w:p>
        </w:tc>
        <w:tc>
          <w:tcPr>
            <w:tcW w:w="794" w:type="dxa"/>
            <w:shd w:val="clear" w:color="auto" w:fill="DEEAF6" w:themeFill="accent1" w:themeFillTint="33"/>
            <w:vAlign w:val="center"/>
          </w:tcPr>
          <w:p w14:paraId="0DF14727" w14:textId="626A2B97"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122.03</w:t>
            </w:r>
          </w:p>
        </w:tc>
        <w:tc>
          <w:tcPr>
            <w:tcW w:w="794" w:type="dxa"/>
            <w:shd w:val="clear" w:color="auto" w:fill="DEEAF6" w:themeFill="accent1" w:themeFillTint="33"/>
            <w:vAlign w:val="center"/>
          </w:tcPr>
          <w:p w14:paraId="78E5770F" w14:textId="781C0981"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130.53</w:t>
            </w:r>
          </w:p>
        </w:tc>
      </w:tr>
      <w:tr w:rsidR="00911831" w:rsidRPr="004C1C3E" w14:paraId="0FD1F2E1" w14:textId="16156467" w:rsidTr="00911831">
        <w:trPr>
          <w:trHeight w:val="300"/>
        </w:trPr>
        <w:tc>
          <w:tcPr>
            <w:tcW w:w="2268" w:type="dxa"/>
            <w:shd w:val="clear" w:color="auto" w:fill="auto"/>
            <w:noWrap/>
            <w:vAlign w:val="center"/>
            <w:hideMark/>
          </w:tcPr>
          <w:p w14:paraId="3974D9E8" w14:textId="79E339EB" w:rsidR="00911831" w:rsidRPr="004C1C3E" w:rsidRDefault="00911831"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sz w:val="20"/>
                <w:szCs w:val="20"/>
              </w:rPr>
              <w:t>ADD: Depreciation</w:t>
            </w:r>
          </w:p>
        </w:tc>
        <w:tc>
          <w:tcPr>
            <w:tcW w:w="793" w:type="dxa"/>
            <w:shd w:val="clear" w:color="auto" w:fill="auto"/>
            <w:noWrap/>
            <w:vAlign w:val="center"/>
            <w:hideMark/>
          </w:tcPr>
          <w:p w14:paraId="52D87179" w14:textId="79119B8F"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280.08</w:t>
            </w:r>
          </w:p>
        </w:tc>
        <w:tc>
          <w:tcPr>
            <w:tcW w:w="794" w:type="dxa"/>
            <w:vAlign w:val="center"/>
          </w:tcPr>
          <w:p w14:paraId="62D91D3E" w14:textId="453BBD93"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color w:val="000000"/>
                <w:sz w:val="20"/>
                <w:szCs w:val="22"/>
              </w:rPr>
              <w:t>254.00</w:t>
            </w:r>
          </w:p>
        </w:tc>
        <w:tc>
          <w:tcPr>
            <w:tcW w:w="794" w:type="dxa"/>
            <w:vAlign w:val="center"/>
          </w:tcPr>
          <w:p w14:paraId="2FF9B8CE" w14:textId="1D0B6489"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color w:val="000000"/>
                <w:sz w:val="20"/>
                <w:szCs w:val="22"/>
              </w:rPr>
              <w:t>230.34</w:t>
            </w:r>
          </w:p>
        </w:tc>
        <w:tc>
          <w:tcPr>
            <w:tcW w:w="794" w:type="dxa"/>
            <w:vAlign w:val="center"/>
          </w:tcPr>
          <w:p w14:paraId="0FDF38FF" w14:textId="392304E0"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color w:val="000000"/>
                <w:sz w:val="20"/>
                <w:szCs w:val="22"/>
              </w:rPr>
              <w:t>208.89</w:t>
            </w:r>
          </w:p>
        </w:tc>
        <w:tc>
          <w:tcPr>
            <w:tcW w:w="794" w:type="dxa"/>
            <w:shd w:val="clear" w:color="auto" w:fill="auto"/>
            <w:noWrap/>
            <w:vAlign w:val="center"/>
            <w:hideMark/>
          </w:tcPr>
          <w:p w14:paraId="548600C7" w14:textId="1206A9FE"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189.43</w:t>
            </w:r>
          </w:p>
        </w:tc>
        <w:tc>
          <w:tcPr>
            <w:tcW w:w="794" w:type="dxa"/>
            <w:shd w:val="clear" w:color="auto" w:fill="auto"/>
            <w:noWrap/>
            <w:vAlign w:val="center"/>
            <w:hideMark/>
          </w:tcPr>
          <w:p w14:paraId="33D8B99F" w14:textId="2D588D43"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171.79</w:t>
            </w:r>
          </w:p>
        </w:tc>
        <w:tc>
          <w:tcPr>
            <w:tcW w:w="794" w:type="dxa"/>
            <w:shd w:val="clear" w:color="auto" w:fill="auto"/>
            <w:noWrap/>
            <w:vAlign w:val="center"/>
            <w:hideMark/>
          </w:tcPr>
          <w:p w14:paraId="1C55CEBF" w14:textId="02E281A8"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155.79</w:t>
            </w:r>
          </w:p>
        </w:tc>
        <w:tc>
          <w:tcPr>
            <w:tcW w:w="794" w:type="dxa"/>
            <w:shd w:val="clear" w:color="auto" w:fill="auto"/>
            <w:noWrap/>
            <w:vAlign w:val="center"/>
            <w:hideMark/>
          </w:tcPr>
          <w:p w14:paraId="22E941E4" w14:textId="55D4B7C4"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141.28</w:t>
            </w:r>
          </w:p>
        </w:tc>
        <w:tc>
          <w:tcPr>
            <w:tcW w:w="794" w:type="dxa"/>
            <w:vAlign w:val="center"/>
          </w:tcPr>
          <w:p w14:paraId="40A46F7D" w14:textId="392FF6AE"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128.12</w:t>
            </w:r>
          </w:p>
        </w:tc>
        <w:tc>
          <w:tcPr>
            <w:tcW w:w="794" w:type="dxa"/>
            <w:vAlign w:val="center"/>
          </w:tcPr>
          <w:p w14:paraId="4DB970E6" w14:textId="1A2DF1CF"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116.19</w:t>
            </w:r>
          </w:p>
        </w:tc>
      </w:tr>
      <w:tr w:rsidR="00911831" w:rsidRPr="004C1C3E" w14:paraId="3FD4A82F" w14:textId="5E2D0B35" w:rsidTr="00911831">
        <w:trPr>
          <w:trHeight w:val="300"/>
        </w:trPr>
        <w:tc>
          <w:tcPr>
            <w:tcW w:w="2268" w:type="dxa"/>
            <w:shd w:val="clear" w:color="auto" w:fill="auto"/>
            <w:noWrap/>
            <w:vAlign w:val="center"/>
            <w:hideMark/>
          </w:tcPr>
          <w:p w14:paraId="045F53A5" w14:textId="0DBF9C2A" w:rsidR="00911831" w:rsidRPr="004C1C3E" w:rsidRDefault="00911831" w:rsidP="00DE719E">
            <w:pPr>
              <w:spacing w:after="0" w:line="240" w:lineRule="auto"/>
              <w:rPr>
                <w:rFonts w:asciiTheme="minorHAnsi" w:hAnsiTheme="minorHAnsi" w:cstheme="minorHAnsi"/>
                <w:sz w:val="20"/>
                <w:szCs w:val="20"/>
                <w:lang w:val="en-IN" w:eastAsia="en-IN"/>
              </w:rPr>
            </w:pPr>
            <w:r w:rsidRPr="004C1C3E">
              <w:rPr>
                <w:rFonts w:asciiTheme="minorHAnsi" w:hAnsiTheme="minorHAnsi" w:cstheme="minorHAnsi"/>
                <w:sz w:val="20"/>
                <w:szCs w:val="20"/>
              </w:rPr>
              <w:t>Less: Capex</w:t>
            </w:r>
          </w:p>
        </w:tc>
        <w:tc>
          <w:tcPr>
            <w:tcW w:w="793" w:type="dxa"/>
            <w:shd w:val="clear" w:color="auto" w:fill="auto"/>
            <w:noWrap/>
            <w:vAlign w:val="center"/>
            <w:hideMark/>
          </w:tcPr>
          <w:p w14:paraId="5818935E" w14:textId="41858416"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-60.00</w:t>
            </w:r>
          </w:p>
        </w:tc>
        <w:tc>
          <w:tcPr>
            <w:tcW w:w="794" w:type="dxa"/>
            <w:vAlign w:val="center"/>
          </w:tcPr>
          <w:p w14:paraId="4776B24D" w14:textId="55D691CB"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color w:val="000000"/>
                <w:sz w:val="20"/>
                <w:szCs w:val="22"/>
              </w:rPr>
              <w:t>-60.00</w:t>
            </w:r>
          </w:p>
        </w:tc>
        <w:tc>
          <w:tcPr>
            <w:tcW w:w="794" w:type="dxa"/>
            <w:vAlign w:val="center"/>
          </w:tcPr>
          <w:p w14:paraId="4441211D" w14:textId="6250C52A"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color w:val="000000"/>
                <w:sz w:val="20"/>
                <w:szCs w:val="22"/>
              </w:rPr>
              <w:t>-75.00</w:t>
            </w:r>
          </w:p>
        </w:tc>
        <w:tc>
          <w:tcPr>
            <w:tcW w:w="794" w:type="dxa"/>
            <w:vAlign w:val="center"/>
          </w:tcPr>
          <w:p w14:paraId="18E9818D" w14:textId="18F3D103" w:rsidR="00911831" w:rsidRPr="00911831" w:rsidRDefault="00911831" w:rsidP="00911831">
            <w:pPr>
              <w:spacing w:after="0" w:line="276" w:lineRule="auto"/>
              <w:jc w:val="center"/>
              <w:rPr>
                <w:rFonts w:asciiTheme="minorHAnsi" w:hAnsiTheme="minorHAnsi" w:cstheme="minorHAnsi"/>
                <w:sz w:val="20"/>
                <w:szCs w:val="20"/>
              </w:rPr>
            </w:pPr>
            <w:r w:rsidRPr="00911831">
              <w:rPr>
                <w:rFonts w:ascii="Calibri" w:hAnsi="Calibri" w:cs="Calibri"/>
                <w:color w:val="000000"/>
                <w:sz w:val="20"/>
                <w:szCs w:val="22"/>
              </w:rPr>
              <w:t>-75.00</w:t>
            </w:r>
          </w:p>
        </w:tc>
        <w:tc>
          <w:tcPr>
            <w:tcW w:w="794" w:type="dxa"/>
            <w:shd w:val="clear" w:color="auto" w:fill="auto"/>
            <w:noWrap/>
            <w:vAlign w:val="center"/>
            <w:hideMark/>
          </w:tcPr>
          <w:p w14:paraId="41DA605B" w14:textId="6BE760B9"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-75.00</w:t>
            </w:r>
          </w:p>
        </w:tc>
        <w:tc>
          <w:tcPr>
            <w:tcW w:w="794" w:type="dxa"/>
            <w:shd w:val="clear" w:color="auto" w:fill="auto"/>
            <w:noWrap/>
            <w:vAlign w:val="center"/>
            <w:hideMark/>
          </w:tcPr>
          <w:p w14:paraId="71AF496A" w14:textId="2C2502B5"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-75.00</w:t>
            </w:r>
          </w:p>
        </w:tc>
        <w:tc>
          <w:tcPr>
            <w:tcW w:w="794" w:type="dxa"/>
            <w:shd w:val="clear" w:color="auto" w:fill="auto"/>
            <w:noWrap/>
            <w:vAlign w:val="center"/>
            <w:hideMark/>
          </w:tcPr>
          <w:p w14:paraId="6CA056D9" w14:textId="5ED49AA9"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-75.00</w:t>
            </w:r>
          </w:p>
        </w:tc>
        <w:tc>
          <w:tcPr>
            <w:tcW w:w="794" w:type="dxa"/>
            <w:shd w:val="clear" w:color="auto" w:fill="auto"/>
            <w:noWrap/>
            <w:vAlign w:val="center"/>
            <w:hideMark/>
          </w:tcPr>
          <w:p w14:paraId="5E30C009" w14:textId="748BA398"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-75.00</w:t>
            </w:r>
          </w:p>
        </w:tc>
        <w:tc>
          <w:tcPr>
            <w:tcW w:w="794" w:type="dxa"/>
            <w:vAlign w:val="center"/>
          </w:tcPr>
          <w:p w14:paraId="1F651DC9" w14:textId="7A86BF16"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-75.00</w:t>
            </w:r>
          </w:p>
        </w:tc>
        <w:tc>
          <w:tcPr>
            <w:tcW w:w="794" w:type="dxa"/>
            <w:vAlign w:val="center"/>
          </w:tcPr>
          <w:p w14:paraId="0113E06D" w14:textId="0B86FDF2" w:rsidR="00911831" w:rsidRPr="00911831" w:rsidRDefault="00911831" w:rsidP="00911831">
            <w:pPr>
              <w:spacing w:after="0" w:line="276" w:lineRule="auto"/>
              <w:jc w:val="center"/>
              <w:rPr>
                <w:rFonts w:asciiTheme="minorHAnsi" w:hAnsiTheme="minorHAnsi" w:cstheme="minorHAnsi"/>
                <w:color w:val="000000"/>
                <w:sz w:val="20"/>
                <w:szCs w:val="20"/>
              </w:rPr>
            </w:pPr>
            <w:r w:rsidRPr="00911831">
              <w:rPr>
                <w:rFonts w:ascii="Calibri" w:hAnsi="Calibri" w:cs="Calibri"/>
                <w:color w:val="000000"/>
                <w:sz w:val="20"/>
                <w:szCs w:val="22"/>
              </w:rPr>
              <w:t>-75.00</w:t>
            </w:r>
          </w:p>
        </w:tc>
      </w:tr>
      <w:tr w:rsidR="00911831" w:rsidRPr="004C1C3E" w14:paraId="61F51870" w14:textId="729565D9" w:rsidTr="00911831">
        <w:trPr>
          <w:trHeight w:val="300"/>
        </w:trPr>
        <w:tc>
          <w:tcPr>
            <w:tcW w:w="2268" w:type="dxa"/>
            <w:shd w:val="clear" w:color="auto" w:fill="DEEAF6" w:themeFill="accent1" w:themeFillTint="33"/>
            <w:noWrap/>
            <w:vAlign w:val="center"/>
            <w:hideMark/>
          </w:tcPr>
          <w:p w14:paraId="12E871B5" w14:textId="6971DEDA" w:rsidR="00911831" w:rsidRPr="004C1C3E" w:rsidRDefault="00911831" w:rsidP="00DE719E">
            <w:pPr>
              <w:spacing w:after="0" w:line="240" w:lineRule="auto"/>
              <w:rPr>
                <w:rFonts w:asciiTheme="minorHAnsi" w:hAnsiTheme="minorHAnsi" w:cstheme="minorHAnsi"/>
                <w:sz w:val="20"/>
                <w:szCs w:val="20"/>
                <w:lang w:val="en-IN" w:eastAsia="en-IN"/>
              </w:rPr>
            </w:pPr>
            <w:r w:rsidRPr="004C1C3E">
              <w:rPr>
                <w:rFonts w:asciiTheme="minorHAnsi" w:hAnsiTheme="minorHAnsi" w:cstheme="minorHAnsi"/>
                <w:b/>
                <w:bCs/>
                <w:sz w:val="20"/>
                <w:szCs w:val="20"/>
              </w:rPr>
              <w:t>Unlevered Free Cash Flow (UFCF)/ FCFF</w:t>
            </w:r>
          </w:p>
        </w:tc>
        <w:tc>
          <w:tcPr>
            <w:tcW w:w="793" w:type="dxa"/>
            <w:shd w:val="clear" w:color="auto" w:fill="DEEAF6" w:themeFill="accent1" w:themeFillTint="33"/>
            <w:noWrap/>
            <w:vAlign w:val="center"/>
          </w:tcPr>
          <w:p w14:paraId="7A5EF13C" w14:textId="3A43C344"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b/>
                <w:bCs/>
                <w:color w:val="000000"/>
                <w:sz w:val="20"/>
                <w:szCs w:val="22"/>
              </w:rPr>
              <w:t>268.27</w:t>
            </w:r>
          </w:p>
        </w:tc>
        <w:tc>
          <w:tcPr>
            <w:tcW w:w="794" w:type="dxa"/>
            <w:shd w:val="clear" w:color="auto" w:fill="DEEAF6" w:themeFill="accent1" w:themeFillTint="33"/>
            <w:vAlign w:val="center"/>
          </w:tcPr>
          <w:p w14:paraId="62B91278" w14:textId="2191BE63"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265.30</w:t>
            </w:r>
          </w:p>
        </w:tc>
        <w:tc>
          <w:tcPr>
            <w:tcW w:w="794" w:type="dxa"/>
            <w:shd w:val="clear" w:color="auto" w:fill="DEEAF6" w:themeFill="accent1" w:themeFillTint="33"/>
            <w:vAlign w:val="center"/>
          </w:tcPr>
          <w:p w14:paraId="61EFD2BF" w14:textId="413CD2D1"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239.56</w:t>
            </w:r>
          </w:p>
        </w:tc>
        <w:tc>
          <w:tcPr>
            <w:tcW w:w="794" w:type="dxa"/>
            <w:shd w:val="clear" w:color="auto" w:fill="DEEAF6" w:themeFill="accent1" w:themeFillTint="33"/>
            <w:vAlign w:val="center"/>
          </w:tcPr>
          <w:p w14:paraId="58B38F0F" w14:textId="57C16219"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217.68</w:t>
            </w:r>
          </w:p>
        </w:tc>
        <w:tc>
          <w:tcPr>
            <w:tcW w:w="794" w:type="dxa"/>
            <w:shd w:val="clear" w:color="auto" w:fill="DEEAF6" w:themeFill="accent1" w:themeFillTint="33"/>
            <w:noWrap/>
            <w:vAlign w:val="center"/>
          </w:tcPr>
          <w:p w14:paraId="27598BC0" w14:textId="304AE12B"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b/>
                <w:bCs/>
                <w:color w:val="000000"/>
                <w:sz w:val="20"/>
                <w:szCs w:val="22"/>
              </w:rPr>
              <w:t>201.02</w:t>
            </w:r>
          </w:p>
        </w:tc>
        <w:tc>
          <w:tcPr>
            <w:tcW w:w="794" w:type="dxa"/>
            <w:shd w:val="clear" w:color="auto" w:fill="DEEAF6" w:themeFill="accent1" w:themeFillTint="33"/>
            <w:noWrap/>
            <w:vAlign w:val="center"/>
          </w:tcPr>
          <w:p w14:paraId="31530F74" w14:textId="5CE8CE0B"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b/>
                <w:bCs/>
                <w:color w:val="000000"/>
                <w:sz w:val="20"/>
                <w:szCs w:val="22"/>
              </w:rPr>
              <w:t>195.12</w:t>
            </w:r>
          </w:p>
        </w:tc>
        <w:tc>
          <w:tcPr>
            <w:tcW w:w="794" w:type="dxa"/>
            <w:shd w:val="clear" w:color="auto" w:fill="DEEAF6" w:themeFill="accent1" w:themeFillTint="33"/>
            <w:noWrap/>
            <w:vAlign w:val="center"/>
          </w:tcPr>
          <w:p w14:paraId="5A84B2A6" w14:textId="1BF9BB1B"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b/>
                <w:bCs/>
                <w:color w:val="000000"/>
                <w:sz w:val="20"/>
                <w:szCs w:val="22"/>
              </w:rPr>
              <w:t>189.73</w:t>
            </w:r>
          </w:p>
        </w:tc>
        <w:tc>
          <w:tcPr>
            <w:tcW w:w="794" w:type="dxa"/>
            <w:shd w:val="clear" w:color="auto" w:fill="DEEAF6" w:themeFill="accent1" w:themeFillTint="33"/>
            <w:noWrap/>
            <w:vAlign w:val="center"/>
          </w:tcPr>
          <w:p w14:paraId="2FC67E85" w14:textId="491FA761" w:rsidR="00911831" w:rsidRPr="00911831" w:rsidRDefault="00911831" w:rsidP="00911831">
            <w:pPr>
              <w:spacing w:after="0" w:line="276" w:lineRule="auto"/>
              <w:jc w:val="center"/>
              <w:rPr>
                <w:rFonts w:asciiTheme="minorHAnsi" w:hAnsiTheme="minorHAnsi" w:cstheme="minorHAnsi"/>
                <w:color w:val="000000"/>
                <w:sz w:val="20"/>
                <w:szCs w:val="20"/>
                <w:lang w:val="en-IN" w:eastAsia="en-IN"/>
              </w:rPr>
            </w:pPr>
            <w:r w:rsidRPr="00911831">
              <w:rPr>
                <w:rFonts w:ascii="Calibri" w:hAnsi="Calibri" w:cs="Calibri"/>
                <w:b/>
                <w:bCs/>
                <w:color w:val="000000"/>
                <w:sz w:val="20"/>
                <w:szCs w:val="22"/>
              </w:rPr>
              <w:t>182.08</w:t>
            </w:r>
          </w:p>
        </w:tc>
        <w:tc>
          <w:tcPr>
            <w:tcW w:w="794" w:type="dxa"/>
            <w:shd w:val="clear" w:color="auto" w:fill="DEEAF6" w:themeFill="accent1" w:themeFillTint="33"/>
            <w:vAlign w:val="center"/>
          </w:tcPr>
          <w:p w14:paraId="4530E29A" w14:textId="65FC6562"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175.15</w:t>
            </w:r>
          </w:p>
        </w:tc>
        <w:tc>
          <w:tcPr>
            <w:tcW w:w="794" w:type="dxa"/>
            <w:shd w:val="clear" w:color="auto" w:fill="DEEAF6" w:themeFill="accent1" w:themeFillTint="33"/>
            <w:vAlign w:val="center"/>
          </w:tcPr>
          <w:p w14:paraId="68713522" w14:textId="5335E46C"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171.72</w:t>
            </w:r>
          </w:p>
        </w:tc>
      </w:tr>
      <w:tr w:rsidR="00911831" w:rsidRPr="004C1C3E" w14:paraId="3F78CAE5" w14:textId="5A10561B" w:rsidTr="00911831">
        <w:trPr>
          <w:trHeight w:val="300"/>
        </w:trPr>
        <w:tc>
          <w:tcPr>
            <w:tcW w:w="2268" w:type="dxa"/>
            <w:shd w:val="clear" w:color="auto" w:fill="DEEAF6" w:themeFill="accent1" w:themeFillTint="33"/>
            <w:noWrap/>
            <w:vAlign w:val="bottom"/>
          </w:tcPr>
          <w:p w14:paraId="1FC17643" w14:textId="4DAB34AF" w:rsidR="00911831" w:rsidRPr="004C1C3E" w:rsidRDefault="00911831" w:rsidP="00DE719E">
            <w:pPr>
              <w:spacing w:after="0" w:line="240" w:lineRule="auto"/>
              <w:rPr>
                <w:rFonts w:asciiTheme="minorHAnsi" w:hAnsiTheme="minorHAnsi" w:cstheme="minorHAnsi"/>
                <w:b/>
                <w:bCs/>
                <w:sz w:val="20"/>
                <w:szCs w:val="20"/>
              </w:rPr>
            </w:pPr>
            <w:r w:rsidRPr="004C1C3E">
              <w:rPr>
                <w:rFonts w:asciiTheme="minorHAnsi" w:hAnsiTheme="minorHAnsi" w:cstheme="minorHAnsi"/>
                <w:b/>
                <w:bCs/>
                <w:color w:val="000000"/>
                <w:sz w:val="20"/>
                <w:szCs w:val="20"/>
              </w:rPr>
              <w:t>FCFF for Remaining Year</w:t>
            </w:r>
          </w:p>
        </w:tc>
        <w:tc>
          <w:tcPr>
            <w:tcW w:w="793" w:type="dxa"/>
            <w:shd w:val="clear" w:color="auto" w:fill="DEEAF6" w:themeFill="accent1" w:themeFillTint="33"/>
            <w:noWrap/>
            <w:vAlign w:val="center"/>
          </w:tcPr>
          <w:p w14:paraId="5BE2B1EB" w14:textId="01A3D067"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44.71</w:t>
            </w:r>
          </w:p>
        </w:tc>
        <w:tc>
          <w:tcPr>
            <w:tcW w:w="794" w:type="dxa"/>
            <w:shd w:val="clear" w:color="auto" w:fill="DEEAF6" w:themeFill="accent1" w:themeFillTint="33"/>
            <w:vAlign w:val="center"/>
          </w:tcPr>
          <w:p w14:paraId="1CDE331E" w14:textId="0A4E9C21"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265.30</w:t>
            </w:r>
          </w:p>
        </w:tc>
        <w:tc>
          <w:tcPr>
            <w:tcW w:w="794" w:type="dxa"/>
            <w:shd w:val="clear" w:color="auto" w:fill="DEEAF6" w:themeFill="accent1" w:themeFillTint="33"/>
            <w:vAlign w:val="center"/>
          </w:tcPr>
          <w:p w14:paraId="431ED1FC" w14:textId="13B4B850"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239.56</w:t>
            </w:r>
          </w:p>
        </w:tc>
        <w:tc>
          <w:tcPr>
            <w:tcW w:w="794" w:type="dxa"/>
            <w:shd w:val="clear" w:color="auto" w:fill="DEEAF6" w:themeFill="accent1" w:themeFillTint="33"/>
            <w:vAlign w:val="center"/>
          </w:tcPr>
          <w:p w14:paraId="15B56F17" w14:textId="487CA0C7"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217.68</w:t>
            </w:r>
          </w:p>
        </w:tc>
        <w:tc>
          <w:tcPr>
            <w:tcW w:w="794" w:type="dxa"/>
            <w:shd w:val="clear" w:color="auto" w:fill="DEEAF6" w:themeFill="accent1" w:themeFillTint="33"/>
            <w:noWrap/>
            <w:vAlign w:val="center"/>
          </w:tcPr>
          <w:p w14:paraId="22D06C73" w14:textId="1D0497B4"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201.02</w:t>
            </w:r>
          </w:p>
        </w:tc>
        <w:tc>
          <w:tcPr>
            <w:tcW w:w="794" w:type="dxa"/>
            <w:shd w:val="clear" w:color="auto" w:fill="DEEAF6" w:themeFill="accent1" w:themeFillTint="33"/>
            <w:noWrap/>
            <w:vAlign w:val="center"/>
          </w:tcPr>
          <w:p w14:paraId="30DD36B8" w14:textId="33F281C4"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195.12</w:t>
            </w:r>
          </w:p>
        </w:tc>
        <w:tc>
          <w:tcPr>
            <w:tcW w:w="794" w:type="dxa"/>
            <w:shd w:val="clear" w:color="auto" w:fill="DEEAF6" w:themeFill="accent1" w:themeFillTint="33"/>
            <w:noWrap/>
            <w:vAlign w:val="center"/>
          </w:tcPr>
          <w:p w14:paraId="3188FA80" w14:textId="4E37C469"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189.73</w:t>
            </w:r>
          </w:p>
        </w:tc>
        <w:tc>
          <w:tcPr>
            <w:tcW w:w="794" w:type="dxa"/>
            <w:shd w:val="clear" w:color="auto" w:fill="DEEAF6" w:themeFill="accent1" w:themeFillTint="33"/>
            <w:noWrap/>
            <w:vAlign w:val="center"/>
          </w:tcPr>
          <w:p w14:paraId="6EFEC92E" w14:textId="05888AB4" w:rsidR="00911831" w:rsidRPr="00911831" w:rsidRDefault="00911831" w:rsidP="00911831">
            <w:pPr>
              <w:spacing w:after="0" w:line="276" w:lineRule="auto"/>
              <w:jc w:val="center"/>
              <w:rPr>
                <w:rFonts w:asciiTheme="minorHAnsi" w:hAnsiTheme="minorHAnsi" w:cstheme="minorHAnsi"/>
                <w:b/>
                <w:bCs/>
                <w:sz w:val="20"/>
                <w:szCs w:val="20"/>
              </w:rPr>
            </w:pPr>
            <w:r w:rsidRPr="00911831">
              <w:rPr>
                <w:rFonts w:ascii="Calibri" w:hAnsi="Calibri" w:cs="Calibri"/>
                <w:b/>
                <w:bCs/>
                <w:color w:val="000000"/>
                <w:sz w:val="20"/>
                <w:szCs w:val="22"/>
              </w:rPr>
              <w:t>182.08</w:t>
            </w:r>
          </w:p>
        </w:tc>
        <w:tc>
          <w:tcPr>
            <w:tcW w:w="794" w:type="dxa"/>
            <w:shd w:val="clear" w:color="auto" w:fill="DEEAF6" w:themeFill="accent1" w:themeFillTint="33"/>
            <w:vAlign w:val="center"/>
          </w:tcPr>
          <w:p w14:paraId="53AA46D0" w14:textId="78C5A5DA"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175.15</w:t>
            </w:r>
          </w:p>
        </w:tc>
        <w:tc>
          <w:tcPr>
            <w:tcW w:w="794" w:type="dxa"/>
            <w:shd w:val="clear" w:color="auto" w:fill="DEEAF6" w:themeFill="accent1" w:themeFillTint="33"/>
            <w:vAlign w:val="center"/>
          </w:tcPr>
          <w:p w14:paraId="3FC43435" w14:textId="18E16027" w:rsidR="00911831" w:rsidRPr="00911831" w:rsidRDefault="00911831" w:rsidP="00911831">
            <w:pPr>
              <w:spacing w:after="0" w:line="276" w:lineRule="auto"/>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171.72</w:t>
            </w:r>
          </w:p>
        </w:tc>
      </w:tr>
      <w:tr w:rsidR="004C1C3E" w:rsidRPr="004C1C3E" w14:paraId="10F26DB0" w14:textId="77777777" w:rsidTr="00911831">
        <w:trPr>
          <w:trHeight w:val="300"/>
        </w:trPr>
        <w:tc>
          <w:tcPr>
            <w:tcW w:w="2268" w:type="dxa"/>
            <w:shd w:val="clear" w:color="auto" w:fill="auto"/>
            <w:noWrap/>
            <w:vAlign w:val="bottom"/>
            <w:hideMark/>
          </w:tcPr>
          <w:p w14:paraId="0A4765B7" w14:textId="5786EC2C" w:rsidR="004C1C3E" w:rsidRPr="004C1C3E" w:rsidRDefault="004C1C3E"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b/>
                <w:bCs/>
                <w:sz w:val="20"/>
                <w:szCs w:val="20"/>
              </w:rPr>
              <w:t>Discount Rate (WACC)</w:t>
            </w:r>
          </w:p>
        </w:tc>
        <w:tc>
          <w:tcPr>
            <w:tcW w:w="7939" w:type="dxa"/>
            <w:gridSpan w:val="10"/>
            <w:vAlign w:val="center"/>
          </w:tcPr>
          <w:p w14:paraId="3ACD4FCC" w14:textId="466B7C18" w:rsidR="004C1C3E" w:rsidRPr="004C1C3E" w:rsidRDefault="004C1C3E" w:rsidP="00911831">
            <w:pPr>
              <w:spacing w:after="0" w:line="276" w:lineRule="auto"/>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17.76%</w:t>
            </w:r>
          </w:p>
        </w:tc>
      </w:tr>
      <w:tr w:rsidR="004C1C3E" w:rsidRPr="004C1C3E" w14:paraId="1C0465FA" w14:textId="77777777" w:rsidTr="00911831">
        <w:trPr>
          <w:trHeight w:val="300"/>
        </w:trPr>
        <w:tc>
          <w:tcPr>
            <w:tcW w:w="2268" w:type="dxa"/>
            <w:shd w:val="clear" w:color="auto" w:fill="auto"/>
            <w:noWrap/>
            <w:vAlign w:val="bottom"/>
            <w:hideMark/>
          </w:tcPr>
          <w:p w14:paraId="3F66A705" w14:textId="3E477CA7" w:rsidR="004C1C3E" w:rsidRPr="004C1C3E" w:rsidRDefault="004C1C3E"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b/>
                <w:bCs/>
                <w:sz w:val="20"/>
                <w:szCs w:val="20"/>
              </w:rPr>
              <w:t>Perpetual Growth Rate</w:t>
            </w:r>
          </w:p>
        </w:tc>
        <w:tc>
          <w:tcPr>
            <w:tcW w:w="7939" w:type="dxa"/>
            <w:gridSpan w:val="10"/>
            <w:vAlign w:val="center"/>
          </w:tcPr>
          <w:p w14:paraId="7B71B0B3" w14:textId="09262F11" w:rsidR="004C1C3E" w:rsidRPr="004C1C3E" w:rsidRDefault="004C1C3E" w:rsidP="00911831">
            <w:pPr>
              <w:spacing w:after="0" w:line="276" w:lineRule="auto"/>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1.00%</w:t>
            </w:r>
          </w:p>
        </w:tc>
      </w:tr>
      <w:tr w:rsidR="004C1C3E" w:rsidRPr="004C1C3E" w14:paraId="7CC40DBA" w14:textId="77777777" w:rsidTr="00911831">
        <w:trPr>
          <w:trHeight w:val="300"/>
        </w:trPr>
        <w:tc>
          <w:tcPr>
            <w:tcW w:w="2268" w:type="dxa"/>
            <w:shd w:val="clear" w:color="auto" w:fill="auto"/>
            <w:noWrap/>
            <w:vAlign w:val="bottom"/>
          </w:tcPr>
          <w:p w14:paraId="1E90A6D8" w14:textId="5785D7D3" w:rsidR="004C1C3E" w:rsidRPr="004C1C3E" w:rsidRDefault="004C1C3E"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b/>
                <w:bCs/>
                <w:sz w:val="20"/>
                <w:szCs w:val="20"/>
              </w:rPr>
              <w:t>Valuation Date</w:t>
            </w:r>
          </w:p>
        </w:tc>
        <w:tc>
          <w:tcPr>
            <w:tcW w:w="7939" w:type="dxa"/>
            <w:gridSpan w:val="10"/>
            <w:vAlign w:val="center"/>
          </w:tcPr>
          <w:p w14:paraId="00FCC952" w14:textId="22BD8D98" w:rsidR="004C1C3E" w:rsidRPr="004C1C3E" w:rsidRDefault="004C1C3E" w:rsidP="00911831">
            <w:pPr>
              <w:spacing w:after="0" w:line="276" w:lineRule="auto"/>
              <w:jc w:val="center"/>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rPr>
              <w:t>01-02-2025</w:t>
            </w:r>
          </w:p>
        </w:tc>
      </w:tr>
      <w:tr w:rsidR="00911831" w:rsidRPr="004C1C3E" w14:paraId="3A4DDAC7" w14:textId="518F9C07" w:rsidTr="00911831">
        <w:trPr>
          <w:trHeight w:val="315"/>
        </w:trPr>
        <w:tc>
          <w:tcPr>
            <w:tcW w:w="2268" w:type="dxa"/>
            <w:shd w:val="clear" w:color="auto" w:fill="auto"/>
            <w:noWrap/>
            <w:vAlign w:val="center"/>
            <w:hideMark/>
          </w:tcPr>
          <w:p w14:paraId="6FC8DB12" w14:textId="77777777" w:rsidR="00911831" w:rsidRPr="004C1C3E" w:rsidRDefault="00911831" w:rsidP="00DE719E">
            <w:pPr>
              <w:spacing w:after="0" w:line="240" w:lineRule="auto"/>
              <w:rPr>
                <w:rFonts w:asciiTheme="minorHAnsi" w:hAnsiTheme="minorHAnsi" w:cstheme="minorHAnsi"/>
                <w:sz w:val="20"/>
                <w:szCs w:val="20"/>
                <w:lang w:val="en-IN" w:eastAsia="en-IN"/>
              </w:rPr>
            </w:pPr>
            <w:r w:rsidRPr="004C1C3E">
              <w:rPr>
                <w:rFonts w:asciiTheme="minorHAnsi" w:hAnsiTheme="minorHAnsi" w:cstheme="minorHAnsi"/>
                <w:sz w:val="20"/>
                <w:szCs w:val="20"/>
                <w:lang w:val="en-IN" w:eastAsia="en-IN"/>
              </w:rPr>
              <w:t>Period</w:t>
            </w:r>
          </w:p>
        </w:tc>
        <w:tc>
          <w:tcPr>
            <w:tcW w:w="793" w:type="dxa"/>
            <w:shd w:val="clear" w:color="auto" w:fill="auto"/>
            <w:noWrap/>
            <w:vAlign w:val="center"/>
            <w:hideMark/>
          </w:tcPr>
          <w:p w14:paraId="078924AC" w14:textId="0AE8EDCA"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0.17</w:t>
            </w:r>
          </w:p>
        </w:tc>
        <w:tc>
          <w:tcPr>
            <w:tcW w:w="794" w:type="dxa"/>
            <w:vAlign w:val="center"/>
          </w:tcPr>
          <w:p w14:paraId="613F8634" w14:textId="36C26798" w:rsidR="00911831" w:rsidRPr="00911831" w:rsidRDefault="00911831" w:rsidP="00911831">
            <w:pPr>
              <w:spacing w:after="0" w:line="276" w:lineRule="auto"/>
              <w:ind w:left="-109"/>
              <w:jc w:val="center"/>
              <w:rPr>
                <w:rFonts w:asciiTheme="minorHAnsi" w:hAnsiTheme="minorHAnsi" w:cstheme="minorHAnsi"/>
                <w:sz w:val="20"/>
                <w:szCs w:val="20"/>
              </w:rPr>
            </w:pPr>
            <w:r w:rsidRPr="00911831">
              <w:rPr>
                <w:rFonts w:ascii="Calibri" w:hAnsi="Calibri" w:cs="Calibri"/>
                <w:color w:val="000000"/>
                <w:sz w:val="20"/>
                <w:szCs w:val="22"/>
              </w:rPr>
              <w:t>1.17</w:t>
            </w:r>
          </w:p>
        </w:tc>
        <w:tc>
          <w:tcPr>
            <w:tcW w:w="794" w:type="dxa"/>
            <w:vAlign w:val="center"/>
          </w:tcPr>
          <w:p w14:paraId="526F9E8D" w14:textId="1BDCCC6C" w:rsidR="00911831" w:rsidRPr="00911831" w:rsidRDefault="00911831" w:rsidP="00911831">
            <w:pPr>
              <w:spacing w:after="0" w:line="276" w:lineRule="auto"/>
              <w:ind w:left="-109"/>
              <w:jc w:val="center"/>
              <w:rPr>
                <w:rFonts w:asciiTheme="minorHAnsi" w:hAnsiTheme="minorHAnsi" w:cstheme="minorHAnsi"/>
                <w:sz w:val="20"/>
                <w:szCs w:val="20"/>
              </w:rPr>
            </w:pPr>
            <w:r w:rsidRPr="00911831">
              <w:rPr>
                <w:rFonts w:ascii="Calibri" w:hAnsi="Calibri" w:cs="Calibri"/>
                <w:color w:val="000000"/>
                <w:sz w:val="20"/>
                <w:szCs w:val="22"/>
              </w:rPr>
              <w:t>2.17</w:t>
            </w:r>
          </w:p>
        </w:tc>
        <w:tc>
          <w:tcPr>
            <w:tcW w:w="794" w:type="dxa"/>
            <w:vAlign w:val="center"/>
          </w:tcPr>
          <w:p w14:paraId="6D52DE1E" w14:textId="55135ED3" w:rsidR="00911831" w:rsidRPr="00911831" w:rsidRDefault="00911831" w:rsidP="00911831">
            <w:pPr>
              <w:spacing w:after="0" w:line="276" w:lineRule="auto"/>
              <w:ind w:left="-109"/>
              <w:jc w:val="center"/>
              <w:rPr>
                <w:rFonts w:asciiTheme="minorHAnsi" w:hAnsiTheme="minorHAnsi" w:cstheme="minorHAnsi"/>
                <w:sz w:val="20"/>
                <w:szCs w:val="20"/>
              </w:rPr>
            </w:pPr>
            <w:r w:rsidRPr="00911831">
              <w:rPr>
                <w:rFonts w:ascii="Calibri" w:hAnsi="Calibri" w:cs="Calibri"/>
                <w:color w:val="000000"/>
                <w:sz w:val="20"/>
                <w:szCs w:val="22"/>
              </w:rPr>
              <w:t>3.17</w:t>
            </w:r>
          </w:p>
        </w:tc>
        <w:tc>
          <w:tcPr>
            <w:tcW w:w="794" w:type="dxa"/>
            <w:shd w:val="clear" w:color="auto" w:fill="auto"/>
            <w:noWrap/>
            <w:vAlign w:val="center"/>
            <w:hideMark/>
          </w:tcPr>
          <w:p w14:paraId="335099F3" w14:textId="4DD1EEFF"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4.17</w:t>
            </w:r>
          </w:p>
        </w:tc>
        <w:tc>
          <w:tcPr>
            <w:tcW w:w="794" w:type="dxa"/>
            <w:shd w:val="clear" w:color="auto" w:fill="auto"/>
            <w:noWrap/>
            <w:vAlign w:val="center"/>
            <w:hideMark/>
          </w:tcPr>
          <w:p w14:paraId="362ED359" w14:textId="3A7E9D84"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5.17</w:t>
            </w:r>
          </w:p>
        </w:tc>
        <w:tc>
          <w:tcPr>
            <w:tcW w:w="794" w:type="dxa"/>
            <w:shd w:val="clear" w:color="auto" w:fill="auto"/>
            <w:noWrap/>
            <w:vAlign w:val="center"/>
            <w:hideMark/>
          </w:tcPr>
          <w:p w14:paraId="3D6ECF87" w14:textId="59E48C68"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6.17</w:t>
            </w:r>
          </w:p>
        </w:tc>
        <w:tc>
          <w:tcPr>
            <w:tcW w:w="794" w:type="dxa"/>
            <w:shd w:val="clear" w:color="auto" w:fill="auto"/>
            <w:noWrap/>
            <w:vAlign w:val="center"/>
            <w:hideMark/>
          </w:tcPr>
          <w:p w14:paraId="5F1C51D9" w14:textId="71E3375E"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7.17</w:t>
            </w:r>
          </w:p>
        </w:tc>
        <w:tc>
          <w:tcPr>
            <w:tcW w:w="794" w:type="dxa"/>
            <w:vAlign w:val="center"/>
          </w:tcPr>
          <w:p w14:paraId="7EF7C8EE" w14:textId="2E029256" w:rsidR="00911831" w:rsidRPr="00911831" w:rsidRDefault="00911831" w:rsidP="00911831">
            <w:pPr>
              <w:spacing w:after="0" w:line="276" w:lineRule="auto"/>
              <w:ind w:left="-109"/>
              <w:jc w:val="center"/>
              <w:rPr>
                <w:rFonts w:asciiTheme="minorHAnsi" w:hAnsiTheme="minorHAnsi" w:cstheme="minorHAnsi"/>
                <w:color w:val="000000"/>
                <w:sz w:val="20"/>
                <w:szCs w:val="20"/>
              </w:rPr>
            </w:pPr>
            <w:r w:rsidRPr="00911831">
              <w:rPr>
                <w:rFonts w:ascii="Calibri" w:hAnsi="Calibri" w:cs="Calibri"/>
                <w:color w:val="000000"/>
                <w:sz w:val="20"/>
                <w:szCs w:val="22"/>
              </w:rPr>
              <w:t>8.17</w:t>
            </w:r>
          </w:p>
        </w:tc>
        <w:tc>
          <w:tcPr>
            <w:tcW w:w="794" w:type="dxa"/>
            <w:vAlign w:val="center"/>
          </w:tcPr>
          <w:p w14:paraId="0D61A125" w14:textId="37B0F489" w:rsidR="00911831" w:rsidRPr="00911831" w:rsidRDefault="00911831" w:rsidP="00911831">
            <w:pPr>
              <w:spacing w:after="0" w:line="276" w:lineRule="auto"/>
              <w:ind w:left="-109"/>
              <w:jc w:val="center"/>
              <w:rPr>
                <w:rFonts w:asciiTheme="minorHAnsi" w:hAnsiTheme="minorHAnsi" w:cstheme="minorHAnsi"/>
                <w:color w:val="000000"/>
                <w:sz w:val="20"/>
                <w:szCs w:val="20"/>
              </w:rPr>
            </w:pPr>
            <w:r w:rsidRPr="00911831">
              <w:rPr>
                <w:rFonts w:ascii="Calibri" w:hAnsi="Calibri" w:cs="Calibri"/>
                <w:color w:val="000000"/>
                <w:sz w:val="20"/>
                <w:szCs w:val="22"/>
              </w:rPr>
              <w:t>9.17</w:t>
            </w:r>
          </w:p>
        </w:tc>
      </w:tr>
      <w:tr w:rsidR="00911831" w:rsidRPr="004C1C3E" w14:paraId="51558A59" w14:textId="756FD1CB" w:rsidTr="00911831">
        <w:trPr>
          <w:trHeight w:val="315"/>
        </w:trPr>
        <w:tc>
          <w:tcPr>
            <w:tcW w:w="2268" w:type="dxa"/>
            <w:shd w:val="clear" w:color="auto" w:fill="auto"/>
            <w:noWrap/>
            <w:vAlign w:val="center"/>
            <w:hideMark/>
          </w:tcPr>
          <w:p w14:paraId="57CEDDFB" w14:textId="77777777" w:rsidR="00911831" w:rsidRPr="004C1C3E" w:rsidRDefault="00911831" w:rsidP="00DE719E">
            <w:pPr>
              <w:spacing w:after="0" w:line="240" w:lineRule="auto"/>
              <w:rPr>
                <w:rFonts w:asciiTheme="minorHAnsi" w:hAnsiTheme="minorHAnsi" w:cstheme="minorHAnsi"/>
                <w:sz w:val="20"/>
                <w:szCs w:val="20"/>
                <w:lang w:val="en-IN" w:eastAsia="en-IN"/>
              </w:rPr>
            </w:pPr>
            <w:r w:rsidRPr="004C1C3E">
              <w:rPr>
                <w:rFonts w:asciiTheme="minorHAnsi" w:hAnsiTheme="minorHAnsi" w:cstheme="minorHAnsi"/>
                <w:sz w:val="20"/>
                <w:szCs w:val="20"/>
                <w:lang w:val="en-IN" w:eastAsia="en-IN"/>
              </w:rPr>
              <w:t>Discount Factor</w:t>
            </w:r>
          </w:p>
        </w:tc>
        <w:tc>
          <w:tcPr>
            <w:tcW w:w="793" w:type="dxa"/>
            <w:shd w:val="clear" w:color="auto" w:fill="auto"/>
            <w:noWrap/>
            <w:vAlign w:val="center"/>
            <w:hideMark/>
          </w:tcPr>
          <w:p w14:paraId="3626D048" w14:textId="55845A6B"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0.97</w:t>
            </w:r>
          </w:p>
        </w:tc>
        <w:tc>
          <w:tcPr>
            <w:tcW w:w="794" w:type="dxa"/>
            <w:vAlign w:val="center"/>
          </w:tcPr>
          <w:p w14:paraId="3EABCC23" w14:textId="42DED5A3" w:rsidR="00911831" w:rsidRPr="00911831" w:rsidRDefault="00911831" w:rsidP="00911831">
            <w:pPr>
              <w:spacing w:after="0" w:line="276" w:lineRule="auto"/>
              <w:ind w:left="-109"/>
              <w:jc w:val="center"/>
              <w:rPr>
                <w:rFonts w:asciiTheme="minorHAnsi" w:hAnsiTheme="minorHAnsi" w:cstheme="minorHAnsi"/>
                <w:sz w:val="20"/>
                <w:szCs w:val="20"/>
              </w:rPr>
            </w:pPr>
            <w:r w:rsidRPr="00911831">
              <w:rPr>
                <w:rFonts w:ascii="Calibri" w:hAnsi="Calibri" w:cs="Calibri"/>
                <w:color w:val="000000"/>
                <w:sz w:val="20"/>
                <w:szCs w:val="22"/>
              </w:rPr>
              <w:t>0.83</w:t>
            </w:r>
          </w:p>
        </w:tc>
        <w:tc>
          <w:tcPr>
            <w:tcW w:w="794" w:type="dxa"/>
            <w:vAlign w:val="center"/>
          </w:tcPr>
          <w:p w14:paraId="038E0486" w14:textId="7111BEF8" w:rsidR="00911831" w:rsidRPr="00911831" w:rsidRDefault="00911831" w:rsidP="00911831">
            <w:pPr>
              <w:spacing w:after="0" w:line="276" w:lineRule="auto"/>
              <w:ind w:left="-109"/>
              <w:jc w:val="center"/>
              <w:rPr>
                <w:rFonts w:asciiTheme="minorHAnsi" w:hAnsiTheme="minorHAnsi" w:cstheme="minorHAnsi"/>
                <w:sz w:val="20"/>
                <w:szCs w:val="20"/>
              </w:rPr>
            </w:pPr>
            <w:r w:rsidRPr="00911831">
              <w:rPr>
                <w:rFonts w:ascii="Calibri" w:hAnsi="Calibri" w:cs="Calibri"/>
                <w:color w:val="000000"/>
                <w:sz w:val="20"/>
                <w:szCs w:val="22"/>
              </w:rPr>
              <w:t>0.70</w:t>
            </w:r>
          </w:p>
        </w:tc>
        <w:tc>
          <w:tcPr>
            <w:tcW w:w="794" w:type="dxa"/>
            <w:vAlign w:val="center"/>
          </w:tcPr>
          <w:p w14:paraId="2D565E20" w14:textId="0E3242D9" w:rsidR="00911831" w:rsidRPr="00911831" w:rsidRDefault="00911831" w:rsidP="00911831">
            <w:pPr>
              <w:spacing w:after="0" w:line="276" w:lineRule="auto"/>
              <w:ind w:left="-109"/>
              <w:jc w:val="center"/>
              <w:rPr>
                <w:rFonts w:asciiTheme="minorHAnsi" w:hAnsiTheme="minorHAnsi" w:cstheme="minorHAnsi"/>
                <w:sz w:val="20"/>
                <w:szCs w:val="20"/>
              </w:rPr>
            </w:pPr>
            <w:r w:rsidRPr="00911831">
              <w:rPr>
                <w:rFonts w:ascii="Calibri" w:hAnsi="Calibri" w:cs="Calibri"/>
                <w:color w:val="000000"/>
                <w:sz w:val="20"/>
                <w:szCs w:val="22"/>
              </w:rPr>
              <w:t>0.60</w:t>
            </w:r>
          </w:p>
        </w:tc>
        <w:tc>
          <w:tcPr>
            <w:tcW w:w="794" w:type="dxa"/>
            <w:shd w:val="clear" w:color="auto" w:fill="auto"/>
            <w:noWrap/>
            <w:vAlign w:val="center"/>
            <w:hideMark/>
          </w:tcPr>
          <w:p w14:paraId="0A113BCB" w14:textId="2D1488BF"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0.51</w:t>
            </w:r>
          </w:p>
        </w:tc>
        <w:tc>
          <w:tcPr>
            <w:tcW w:w="794" w:type="dxa"/>
            <w:shd w:val="clear" w:color="auto" w:fill="auto"/>
            <w:noWrap/>
            <w:vAlign w:val="center"/>
            <w:hideMark/>
          </w:tcPr>
          <w:p w14:paraId="522F81DC" w14:textId="242DBC11"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0.43</w:t>
            </w:r>
          </w:p>
        </w:tc>
        <w:tc>
          <w:tcPr>
            <w:tcW w:w="794" w:type="dxa"/>
            <w:shd w:val="clear" w:color="auto" w:fill="auto"/>
            <w:noWrap/>
            <w:vAlign w:val="center"/>
            <w:hideMark/>
          </w:tcPr>
          <w:p w14:paraId="0395A7B9" w14:textId="25B25554"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0.36</w:t>
            </w:r>
          </w:p>
        </w:tc>
        <w:tc>
          <w:tcPr>
            <w:tcW w:w="794" w:type="dxa"/>
            <w:shd w:val="clear" w:color="auto" w:fill="auto"/>
            <w:noWrap/>
            <w:vAlign w:val="center"/>
            <w:hideMark/>
          </w:tcPr>
          <w:p w14:paraId="1F500CAC" w14:textId="6539D330"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r w:rsidRPr="00911831">
              <w:rPr>
                <w:rFonts w:ascii="Calibri" w:hAnsi="Calibri" w:cs="Calibri"/>
                <w:color w:val="000000"/>
                <w:sz w:val="20"/>
                <w:szCs w:val="22"/>
              </w:rPr>
              <w:t>0.31</w:t>
            </w:r>
          </w:p>
        </w:tc>
        <w:tc>
          <w:tcPr>
            <w:tcW w:w="794" w:type="dxa"/>
            <w:vAlign w:val="center"/>
          </w:tcPr>
          <w:p w14:paraId="0E607D32" w14:textId="06009F02" w:rsidR="00911831" w:rsidRPr="00911831" w:rsidRDefault="00911831" w:rsidP="00911831">
            <w:pPr>
              <w:spacing w:after="0" w:line="276" w:lineRule="auto"/>
              <w:ind w:left="-109"/>
              <w:jc w:val="center"/>
              <w:rPr>
                <w:rFonts w:asciiTheme="minorHAnsi" w:hAnsiTheme="minorHAnsi" w:cstheme="minorHAnsi"/>
                <w:color w:val="000000"/>
                <w:sz w:val="20"/>
                <w:szCs w:val="20"/>
              </w:rPr>
            </w:pPr>
            <w:r w:rsidRPr="00911831">
              <w:rPr>
                <w:rFonts w:ascii="Calibri" w:hAnsi="Calibri" w:cs="Calibri"/>
                <w:color w:val="000000"/>
                <w:sz w:val="20"/>
                <w:szCs w:val="22"/>
              </w:rPr>
              <w:t>0.26</w:t>
            </w:r>
          </w:p>
        </w:tc>
        <w:tc>
          <w:tcPr>
            <w:tcW w:w="794" w:type="dxa"/>
            <w:vAlign w:val="center"/>
          </w:tcPr>
          <w:p w14:paraId="5DD05247" w14:textId="29D5B1C1" w:rsidR="00911831" w:rsidRPr="00911831" w:rsidRDefault="00911831" w:rsidP="00911831">
            <w:pPr>
              <w:spacing w:after="0" w:line="276" w:lineRule="auto"/>
              <w:ind w:left="-109"/>
              <w:jc w:val="center"/>
              <w:rPr>
                <w:rFonts w:asciiTheme="minorHAnsi" w:hAnsiTheme="minorHAnsi" w:cstheme="minorHAnsi"/>
                <w:color w:val="000000"/>
                <w:sz w:val="20"/>
                <w:szCs w:val="20"/>
              </w:rPr>
            </w:pPr>
            <w:r w:rsidRPr="00911831">
              <w:rPr>
                <w:rFonts w:ascii="Calibri" w:hAnsi="Calibri" w:cs="Calibri"/>
                <w:color w:val="000000"/>
                <w:sz w:val="20"/>
                <w:szCs w:val="22"/>
              </w:rPr>
              <w:t>0.22</w:t>
            </w:r>
          </w:p>
        </w:tc>
      </w:tr>
      <w:tr w:rsidR="00911831" w:rsidRPr="004C1C3E" w14:paraId="616402B6" w14:textId="1BF15F9D" w:rsidTr="00911831">
        <w:trPr>
          <w:trHeight w:val="70"/>
        </w:trPr>
        <w:tc>
          <w:tcPr>
            <w:tcW w:w="2268" w:type="dxa"/>
            <w:shd w:val="clear" w:color="auto" w:fill="auto"/>
            <w:noWrap/>
            <w:vAlign w:val="center"/>
            <w:hideMark/>
          </w:tcPr>
          <w:p w14:paraId="59A95C36" w14:textId="77777777" w:rsidR="00911831" w:rsidRPr="004C1C3E" w:rsidRDefault="00911831" w:rsidP="00DE719E">
            <w:pPr>
              <w:spacing w:after="0" w:line="240" w:lineRule="auto"/>
              <w:rPr>
                <w:rFonts w:asciiTheme="minorHAnsi" w:hAnsiTheme="minorHAnsi" w:cstheme="minorHAnsi"/>
                <w:color w:val="000000"/>
                <w:sz w:val="20"/>
                <w:szCs w:val="20"/>
                <w:lang w:val="en-IN" w:eastAsia="en-IN"/>
              </w:rPr>
            </w:pPr>
            <w:r w:rsidRPr="004C1C3E">
              <w:rPr>
                <w:rFonts w:asciiTheme="minorHAnsi" w:hAnsiTheme="minorHAnsi" w:cstheme="minorHAnsi"/>
                <w:color w:val="000000"/>
                <w:sz w:val="20"/>
                <w:szCs w:val="20"/>
                <w:lang w:val="en-IN" w:eastAsia="en-IN"/>
              </w:rPr>
              <w:t>Terminal Value</w:t>
            </w:r>
          </w:p>
        </w:tc>
        <w:tc>
          <w:tcPr>
            <w:tcW w:w="793" w:type="dxa"/>
            <w:shd w:val="clear" w:color="auto" w:fill="auto"/>
            <w:noWrap/>
            <w:vAlign w:val="center"/>
            <w:hideMark/>
          </w:tcPr>
          <w:p w14:paraId="51436253" w14:textId="0610FF2D" w:rsidR="00911831" w:rsidRPr="00911831" w:rsidRDefault="00911831" w:rsidP="00911831">
            <w:pPr>
              <w:spacing w:after="0" w:line="276" w:lineRule="auto"/>
              <w:ind w:left="-109"/>
              <w:jc w:val="center"/>
              <w:rPr>
                <w:rFonts w:asciiTheme="minorHAnsi" w:hAnsiTheme="minorHAnsi" w:cstheme="minorHAnsi"/>
                <w:color w:val="000000"/>
                <w:sz w:val="20"/>
                <w:szCs w:val="20"/>
                <w:lang w:val="en-IN" w:eastAsia="en-IN"/>
              </w:rPr>
            </w:pPr>
          </w:p>
        </w:tc>
        <w:tc>
          <w:tcPr>
            <w:tcW w:w="794" w:type="dxa"/>
            <w:vAlign w:val="center"/>
          </w:tcPr>
          <w:p w14:paraId="5FA9F2E9" w14:textId="551A0E74" w:rsidR="00911831" w:rsidRPr="00911831" w:rsidRDefault="00911831" w:rsidP="00911831">
            <w:pPr>
              <w:spacing w:after="0" w:line="276" w:lineRule="auto"/>
              <w:ind w:left="-109"/>
              <w:jc w:val="center"/>
              <w:rPr>
                <w:rFonts w:asciiTheme="minorHAnsi" w:hAnsiTheme="minorHAnsi" w:cstheme="minorHAnsi"/>
                <w:sz w:val="20"/>
                <w:szCs w:val="20"/>
                <w:lang w:val="en-IN" w:eastAsia="en-IN"/>
              </w:rPr>
            </w:pPr>
          </w:p>
        </w:tc>
        <w:tc>
          <w:tcPr>
            <w:tcW w:w="794" w:type="dxa"/>
            <w:vAlign w:val="center"/>
          </w:tcPr>
          <w:p w14:paraId="74E6C7C4" w14:textId="63A95F51" w:rsidR="00911831" w:rsidRPr="00911831" w:rsidRDefault="00911831" w:rsidP="00911831">
            <w:pPr>
              <w:spacing w:after="0" w:line="276" w:lineRule="auto"/>
              <w:ind w:left="-109"/>
              <w:jc w:val="center"/>
              <w:rPr>
                <w:rFonts w:asciiTheme="minorHAnsi" w:hAnsiTheme="minorHAnsi" w:cstheme="minorHAnsi"/>
                <w:sz w:val="20"/>
                <w:szCs w:val="20"/>
                <w:lang w:val="en-IN" w:eastAsia="en-IN"/>
              </w:rPr>
            </w:pPr>
          </w:p>
        </w:tc>
        <w:tc>
          <w:tcPr>
            <w:tcW w:w="794" w:type="dxa"/>
            <w:vAlign w:val="center"/>
          </w:tcPr>
          <w:p w14:paraId="0A6426A0" w14:textId="73BA84D5" w:rsidR="00911831" w:rsidRPr="00911831" w:rsidRDefault="00911831" w:rsidP="00911831">
            <w:pPr>
              <w:spacing w:after="0" w:line="276" w:lineRule="auto"/>
              <w:ind w:left="-109"/>
              <w:jc w:val="center"/>
              <w:rPr>
                <w:rFonts w:asciiTheme="minorHAnsi" w:hAnsiTheme="minorHAnsi" w:cstheme="minorHAnsi"/>
                <w:sz w:val="20"/>
                <w:szCs w:val="20"/>
                <w:lang w:val="en-IN" w:eastAsia="en-IN"/>
              </w:rPr>
            </w:pPr>
          </w:p>
        </w:tc>
        <w:tc>
          <w:tcPr>
            <w:tcW w:w="794" w:type="dxa"/>
            <w:shd w:val="clear" w:color="auto" w:fill="auto"/>
            <w:noWrap/>
            <w:vAlign w:val="center"/>
            <w:hideMark/>
          </w:tcPr>
          <w:p w14:paraId="211FFAC6" w14:textId="5586DA7C" w:rsidR="00911831" w:rsidRPr="00911831" w:rsidRDefault="00911831" w:rsidP="00911831">
            <w:pPr>
              <w:spacing w:after="0" w:line="276" w:lineRule="auto"/>
              <w:ind w:left="-109"/>
              <w:jc w:val="center"/>
              <w:rPr>
                <w:rFonts w:asciiTheme="minorHAnsi" w:hAnsiTheme="minorHAnsi" w:cstheme="minorHAnsi"/>
                <w:sz w:val="20"/>
                <w:szCs w:val="20"/>
                <w:lang w:val="en-IN" w:eastAsia="en-IN"/>
              </w:rPr>
            </w:pPr>
          </w:p>
        </w:tc>
        <w:tc>
          <w:tcPr>
            <w:tcW w:w="794" w:type="dxa"/>
            <w:shd w:val="clear" w:color="auto" w:fill="auto"/>
            <w:noWrap/>
            <w:vAlign w:val="center"/>
            <w:hideMark/>
          </w:tcPr>
          <w:p w14:paraId="62E431A1" w14:textId="3178B1AC" w:rsidR="00911831" w:rsidRPr="00911831" w:rsidRDefault="00911831" w:rsidP="00911831">
            <w:pPr>
              <w:spacing w:after="0" w:line="276" w:lineRule="auto"/>
              <w:ind w:left="-109"/>
              <w:jc w:val="center"/>
              <w:rPr>
                <w:rFonts w:asciiTheme="minorHAnsi" w:hAnsiTheme="minorHAnsi" w:cstheme="minorHAnsi"/>
                <w:sz w:val="20"/>
                <w:szCs w:val="20"/>
                <w:lang w:val="en-IN" w:eastAsia="en-IN"/>
              </w:rPr>
            </w:pPr>
          </w:p>
        </w:tc>
        <w:tc>
          <w:tcPr>
            <w:tcW w:w="794" w:type="dxa"/>
            <w:shd w:val="clear" w:color="auto" w:fill="auto"/>
            <w:noWrap/>
            <w:vAlign w:val="center"/>
          </w:tcPr>
          <w:p w14:paraId="6750D410" w14:textId="7E44D92A" w:rsidR="00911831" w:rsidRPr="00911831" w:rsidRDefault="00911831" w:rsidP="00911831">
            <w:pPr>
              <w:spacing w:after="0" w:line="276" w:lineRule="auto"/>
              <w:ind w:left="-109"/>
              <w:jc w:val="center"/>
              <w:rPr>
                <w:rFonts w:asciiTheme="minorHAnsi" w:hAnsiTheme="minorHAnsi" w:cstheme="minorHAnsi"/>
                <w:sz w:val="20"/>
                <w:szCs w:val="20"/>
                <w:lang w:val="en-IN" w:eastAsia="en-IN"/>
              </w:rPr>
            </w:pPr>
          </w:p>
        </w:tc>
        <w:tc>
          <w:tcPr>
            <w:tcW w:w="794" w:type="dxa"/>
            <w:shd w:val="clear" w:color="auto" w:fill="auto"/>
            <w:noWrap/>
            <w:vAlign w:val="center"/>
          </w:tcPr>
          <w:p w14:paraId="22E45D34" w14:textId="324C1D9D" w:rsidR="00911831" w:rsidRPr="00911831" w:rsidRDefault="00911831" w:rsidP="00911831">
            <w:pPr>
              <w:spacing w:after="0" w:line="276" w:lineRule="auto"/>
              <w:ind w:left="-105" w:right="-86"/>
              <w:jc w:val="center"/>
              <w:rPr>
                <w:rFonts w:asciiTheme="minorHAnsi" w:hAnsiTheme="minorHAnsi" w:cstheme="minorHAnsi"/>
                <w:color w:val="000000"/>
                <w:sz w:val="20"/>
                <w:szCs w:val="20"/>
                <w:lang w:val="en-IN"/>
              </w:rPr>
            </w:pPr>
          </w:p>
        </w:tc>
        <w:tc>
          <w:tcPr>
            <w:tcW w:w="794" w:type="dxa"/>
            <w:vAlign w:val="center"/>
          </w:tcPr>
          <w:p w14:paraId="39A70FEF" w14:textId="2D18E588" w:rsidR="00911831" w:rsidRPr="00911831" w:rsidRDefault="00911831" w:rsidP="00911831">
            <w:pPr>
              <w:spacing w:after="0" w:line="276" w:lineRule="auto"/>
              <w:ind w:left="-105" w:right="-86"/>
              <w:jc w:val="center"/>
              <w:rPr>
                <w:rFonts w:asciiTheme="minorHAnsi" w:hAnsiTheme="minorHAnsi" w:cstheme="minorHAnsi"/>
                <w:color w:val="000000"/>
                <w:sz w:val="20"/>
                <w:szCs w:val="20"/>
              </w:rPr>
            </w:pPr>
          </w:p>
        </w:tc>
        <w:tc>
          <w:tcPr>
            <w:tcW w:w="794" w:type="dxa"/>
            <w:vAlign w:val="center"/>
          </w:tcPr>
          <w:p w14:paraId="15EDBA24" w14:textId="053A9018" w:rsidR="00911831" w:rsidRPr="00911831" w:rsidRDefault="00911831" w:rsidP="00911831">
            <w:pPr>
              <w:spacing w:after="0" w:line="276" w:lineRule="auto"/>
              <w:ind w:left="-105" w:right="-86"/>
              <w:jc w:val="center"/>
              <w:rPr>
                <w:rFonts w:asciiTheme="minorHAnsi" w:hAnsiTheme="minorHAnsi" w:cstheme="minorHAnsi"/>
                <w:color w:val="000000"/>
                <w:sz w:val="20"/>
                <w:szCs w:val="20"/>
              </w:rPr>
            </w:pPr>
            <w:r w:rsidRPr="00911831">
              <w:rPr>
                <w:rFonts w:ascii="Calibri" w:hAnsi="Calibri" w:cs="Calibri"/>
                <w:color w:val="000000"/>
                <w:sz w:val="20"/>
                <w:szCs w:val="22"/>
              </w:rPr>
              <w:t>1,034.82</w:t>
            </w:r>
          </w:p>
        </w:tc>
      </w:tr>
      <w:tr w:rsidR="00911831" w:rsidRPr="004C1C3E" w14:paraId="1C081E6E" w14:textId="5C0AC214" w:rsidTr="00911831">
        <w:trPr>
          <w:trHeight w:val="300"/>
        </w:trPr>
        <w:tc>
          <w:tcPr>
            <w:tcW w:w="2268" w:type="dxa"/>
            <w:shd w:val="clear" w:color="auto" w:fill="DEEAF6" w:themeFill="accent1" w:themeFillTint="33"/>
            <w:noWrap/>
            <w:vAlign w:val="center"/>
            <w:hideMark/>
          </w:tcPr>
          <w:p w14:paraId="54C8DB01" w14:textId="77777777" w:rsidR="00911831" w:rsidRPr="004C1C3E" w:rsidRDefault="00911831"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b/>
                <w:bCs/>
                <w:sz w:val="20"/>
                <w:szCs w:val="20"/>
                <w:lang w:val="en-IN" w:eastAsia="en-IN"/>
              </w:rPr>
              <w:t>PV of FCFF</w:t>
            </w:r>
          </w:p>
        </w:tc>
        <w:tc>
          <w:tcPr>
            <w:tcW w:w="793" w:type="dxa"/>
            <w:shd w:val="clear" w:color="auto" w:fill="DEEAF6" w:themeFill="accent1" w:themeFillTint="33"/>
            <w:noWrap/>
            <w:vAlign w:val="center"/>
            <w:hideMark/>
          </w:tcPr>
          <w:p w14:paraId="38869BDE" w14:textId="2353932C"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color w:val="000000"/>
                <w:sz w:val="20"/>
                <w:szCs w:val="22"/>
              </w:rPr>
              <w:t>43.51</w:t>
            </w:r>
          </w:p>
        </w:tc>
        <w:tc>
          <w:tcPr>
            <w:tcW w:w="794" w:type="dxa"/>
            <w:shd w:val="clear" w:color="auto" w:fill="DEEAF6" w:themeFill="accent1" w:themeFillTint="33"/>
            <w:vAlign w:val="center"/>
          </w:tcPr>
          <w:p w14:paraId="36EF4299" w14:textId="6FF45629" w:rsidR="00911831" w:rsidRPr="00911831" w:rsidRDefault="00911831" w:rsidP="00911831">
            <w:pPr>
              <w:spacing w:after="0" w:line="276" w:lineRule="auto"/>
              <w:ind w:left="-109"/>
              <w:jc w:val="center"/>
              <w:rPr>
                <w:rFonts w:asciiTheme="minorHAnsi" w:hAnsiTheme="minorHAnsi" w:cstheme="minorHAnsi"/>
                <w:b/>
                <w:bCs/>
                <w:sz w:val="20"/>
                <w:szCs w:val="20"/>
              </w:rPr>
            </w:pPr>
            <w:r w:rsidRPr="00911831">
              <w:rPr>
                <w:rFonts w:ascii="Calibri" w:hAnsi="Calibri" w:cs="Calibri"/>
                <w:color w:val="000000"/>
                <w:sz w:val="20"/>
                <w:szCs w:val="22"/>
              </w:rPr>
              <w:t>219.24</w:t>
            </w:r>
          </w:p>
        </w:tc>
        <w:tc>
          <w:tcPr>
            <w:tcW w:w="794" w:type="dxa"/>
            <w:shd w:val="clear" w:color="auto" w:fill="DEEAF6" w:themeFill="accent1" w:themeFillTint="33"/>
            <w:vAlign w:val="center"/>
          </w:tcPr>
          <w:p w14:paraId="66CF287E" w14:textId="39DECA2D" w:rsidR="00911831" w:rsidRPr="00911831" w:rsidRDefault="00911831" w:rsidP="00911831">
            <w:pPr>
              <w:spacing w:after="0" w:line="276" w:lineRule="auto"/>
              <w:ind w:left="-109"/>
              <w:jc w:val="center"/>
              <w:rPr>
                <w:rFonts w:asciiTheme="minorHAnsi" w:hAnsiTheme="minorHAnsi" w:cstheme="minorHAnsi"/>
                <w:b/>
                <w:bCs/>
                <w:sz w:val="20"/>
                <w:szCs w:val="20"/>
              </w:rPr>
            </w:pPr>
            <w:r w:rsidRPr="00911831">
              <w:rPr>
                <w:rFonts w:ascii="Calibri" w:hAnsi="Calibri" w:cs="Calibri"/>
                <w:color w:val="000000"/>
                <w:sz w:val="20"/>
                <w:szCs w:val="22"/>
              </w:rPr>
              <w:t>168.11</w:t>
            </w:r>
          </w:p>
        </w:tc>
        <w:tc>
          <w:tcPr>
            <w:tcW w:w="794" w:type="dxa"/>
            <w:shd w:val="clear" w:color="auto" w:fill="DEEAF6" w:themeFill="accent1" w:themeFillTint="33"/>
            <w:vAlign w:val="center"/>
          </w:tcPr>
          <w:p w14:paraId="5CC8E99F" w14:textId="79C58122" w:rsidR="00911831" w:rsidRPr="00911831" w:rsidRDefault="00911831" w:rsidP="00911831">
            <w:pPr>
              <w:spacing w:after="0" w:line="276" w:lineRule="auto"/>
              <w:ind w:left="-109"/>
              <w:jc w:val="center"/>
              <w:rPr>
                <w:rFonts w:asciiTheme="minorHAnsi" w:hAnsiTheme="minorHAnsi" w:cstheme="minorHAnsi"/>
                <w:b/>
                <w:bCs/>
                <w:sz w:val="20"/>
                <w:szCs w:val="20"/>
              </w:rPr>
            </w:pPr>
            <w:r w:rsidRPr="00911831">
              <w:rPr>
                <w:rFonts w:ascii="Calibri" w:hAnsi="Calibri" w:cs="Calibri"/>
                <w:color w:val="000000"/>
                <w:sz w:val="20"/>
                <w:szCs w:val="22"/>
              </w:rPr>
              <w:t>129.72</w:t>
            </w:r>
          </w:p>
        </w:tc>
        <w:tc>
          <w:tcPr>
            <w:tcW w:w="794" w:type="dxa"/>
            <w:shd w:val="clear" w:color="auto" w:fill="DEEAF6" w:themeFill="accent1" w:themeFillTint="33"/>
            <w:noWrap/>
            <w:vAlign w:val="center"/>
            <w:hideMark/>
          </w:tcPr>
          <w:p w14:paraId="1F1659B5" w14:textId="4B747BAE"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color w:val="000000"/>
                <w:sz w:val="20"/>
                <w:szCs w:val="22"/>
              </w:rPr>
              <w:t>101.72</w:t>
            </w:r>
          </w:p>
        </w:tc>
        <w:tc>
          <w:tcPr>
            <w:tcW w:w="794" w:type="dxa"/>
            <w:shd w:val="clear" w:color="auto" w:fill="DEEAF6" w:themeFill="accent1" w:themeFillTint="33"/>
            <w:noWrap/>
            <w:vAlign w:val="center"/>
            <w:hideMark/>
          </w:tcPr>
          <w:p w14:paraId="377C483A" w14:textId="429E8525"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color w:val="000000"/>
                <w:sz w:val="20"/>
                <w:szCs w:val="22"/>
              </w:rPr>
              <w:t>83.84</w:t>
            </w:r>
          </w:p>
        </w:tc>
        <w:tc>
          <w:tcPr>
            <w:tcW w:w="794" w:type="dxa"/>
            <w:shd w:val="clear" w:color="auto" w:fill="DEEAF6" w:themeFill="accent1" w:themeFillTint="33"/>
            <w:noWrap/>
            <w:vAlign w:val="center"/>
            <w:hideMark/>
          </w:tcPr>
          <w:p w14:paraId="35EB99E2" w14:textId="3B5DB17F"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color w:val="000000"/>
                <w:sz w:val="20"/>
                <w:szCs w:val="22"/>
              </w:rPr>
              <w:t>69.23</w:t>
            </w:r>
          </w:p>
        </w:tc>
        <w:tc>
          <w:tcPr>
            <w:tcW w:w="794" w:type="dxa"/>
            <w:shd w:val="clear" w:color="auto" w:fill="DEEAF6" w:themeFill="accent1" w:themeFillTint="33"/>
            <w:noWrap/>
            <w:vAlign w:val="center"/>
            <w:hideMark/>
          </w:tcPr>
          <w:p w14:paraId="2A7B5183" w14:textId="0661B5E7"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color w:val="000000"/>
                <w:sz w:val="20"/>
                <w:szCs w:val="22"/>
              </w:rPr>
              <w:t>56.42</w:t>
            </w:r>
          </w:p>
        </w:tc>
        <w:tc>
          <w:tcPr>
            <w:tcW w:w="794" w:type="dxa"/>
            <w:shd w:val="clear" w:color="auto" w:fill="DEEAF6" w:themeFill="accent1" w:themeFillTint="33"/>
            <w:vAlign w:val="center"/>
          </w:tcPr>
          <w:p w14:paraId="01284A9B" w14:textId="3425C1C9" w:rsidR="00911831" w:rsidRPr="00911831" w:rsidRDefault="00911831" w:rsidP="00911831">
            <w:pPr>
              <w:spacing w:after="0" w:line="276" w:lineRule="auto"/>
              <w:ind w:left="-109"/>
              <w:jc w:val="center"/>
              <w:rPr>
                <w:rFonts w:asciiTheme="minorHAnsi" w:hAnsiTheme="minorHAnsi" w:cstheme="minorHAnsi"/>
                <w:b/>
                <w:bCs/>
                <w:color w:val="000000"/>
                <w:sz w:val="20"/>
                <w:szCs w:val="20"/>
              </w:rPr>
            </w:pPr>
            <w:r w:rsidRPr="00911831">
              <w:rPr>
                <w:rFonts w:ascii="Calibri" w:hAnsi="Calibri" w:cs="Calibri"/>
                <w:color w:val="000000"/>
                <w:sz w:val="20"/>
                <w:szCs w:val="22"/>
              </w:rPr>
              <w:t>46.09</w:t>
            </w:r>
          </w:p>
        </w:tc>
        <w:tc>
          <w:tcPr>
            <w:tcW w:w="794" w:type="dxa"/>
            <w:shd w:val="clear" w:color="auto" w:fill="DEEAF6" w:themeFill="accent1" w:themeFillTint="33"/>
            <w:vAlign w:val="center"/>
          </w:tcPr>
          <w:p w14:paraId="23C472A7" w14:textId="266B9C42" w:rsidR="00911831" w:rsidRPr="00911831" w:rsidRDefault="00911831" w:rsidP="00911831">
            <w:pPr>
              <w:spacing w:after="0" w:line="276" w:lineRule="auto"/>
              <w:ind w:left="-109"/>
              <w:jc w:val="center"/>
              <w:rPr>
                <w:rFonts w:asciiTheme="minorHAnsi" w:hAnsiTheme="minorHAnsi" w:cstheme="minorHAnsi"/>
                <w:b/>
                <w:bCs/>
                <w:color w:val="000000"/>
                <w:sz w:val="20"/>
                <w:szCs w:val="20"/>
              </w:rPr>
            </w:pPr>
            <w:r w:rsidRPr="00911831">
              <w:rPr>
                <w:rFonts w:ascii="Calibri" w:hAnsi="Calibri" w:cs="Calibri"/>
                <w:color w:val="000000"/>
                <w:sz w:val="20"/>
                <w:szCs w:val="22"/>
              </w:rPr>
              <w:t>38.37</w:t>
            </w:r>
          </w:p>
        </w:tc>
      </w:tr>
      <w:tr w:rsidR="00911831" w:rsidRPr="004C1C3E" w14:paraId="272B728B" w14:textId="426F2E09" w:rsidTr="00911831">
        <w:trPr>
          <w:trHeight w:val="300"/>
        </w:trPr>
        <w:tc>
          <w:tcPr>
            <w:tcW w:w="2268" w:type="dxa"/>
            <w:shd w:val="clear" w:color="auto" w:fill="auto"/>
            <w:noWrap/>
            <w:vAlign w:val="center"/>
            <w:hideMark/>
          </w:tcPr>
          <w:p w14:paraId="7E8420AC" w14:textId="77777777" w:rsidR="00911831" w:rsidRPr="004C1C3E" w:rsidRDefault="00911831"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b/>
                <w:bCs/>
                <w:sz w:val="20"/>
                <w:szCs w:val="20"/>
                <w:lang w:val="en-IN" w:eastAsia="en-IN"/>
              </w:rPr>
              <w:t>PV of terminal Value</w:t>
            </w:r>
          </w:p>
        </w:tc>
        <w:tc>
          <w:tcPr>
            <w:tcW w:w="793" w:type="dxa"/>
            <w:shd w:val="clear" w:color="auto" w:fill="auto"/>
            <w:noWrap/>
            <w:vAlign w:val="center"/>
            <w:hideMark/>
          </w:tcPr>
          <w:p w14:paraId="2DE667F6" w14:textId="09564C99" w:rsidR="00911831" w:rsidRPr="00911831" w:rsidRDefault="00911831" w:rsidP="00911831">
            <w:pPr>
              <w:spacing w:after="0" w:line="276" w:lineRule="auto"/>
              <w:ind w:left="-109"/>
              <w:jc w:val="center"/>
              <w:rPr>
                <w:rFonts w:asciiTheme="minorHAnsi" w:hAnsiTheme="minorHAnsi" w:cstheme="minorHAnsi"/>
                <w:b/>
                <w:bCs/>
                <w:sz w:val="20"/>
                <w:szCs w:val="20"/>
                <w:lang w:val="en-IN" w:eastAsia="en-IN"/>
              </w:rPr>
            </w:pPr>
          </w:p>
        </w:tc>
        <w:tc>
          <w:tcPr>
            <w:tcW w:w="794" w:type="dxa"/>
            <w:vAlign w:val="center"/>
          </w:tcPr>
          <w:p w14:paraId="4624CCFB" w14:textId="4EC53B09" w:rsidR="00911831" w:rsidRPr="00911831" w:rsidRDefault="00911831" w:rsidP="00911831">
            <w:pPr>
              <w:spacing w:after="0" w:line="276" w:lineRule="auto"/>
              <w:ind w:left="-109"/>
              <w:jc w:val="center"/>
              <w:rPr>
                <w:rFonts w:asciiTheme="minorHAnsi" w:hAnsiTheme="minorHAnsi" w:cstheme="minorHAnsi"/>
                <w:b/>
                <w:bCs/>
                <w:sz w:val="20"/>
                <w:szCs w:val="20"/>
                <w:lang w:val="en-IN" w:eastAsia="en-IN"/>
              </w:rPr>
            </w:pPr>
          </w:p>
        </w:tc>
        <w:tc>
          <w:tcPr>
            <w:tcW w:w="794" w:type="dxa"/>
            <w:vAlign w:val="center"/>
          </w:tcPr>
          <w:p w14:paraId="2E64BB25" w14:textId="7F769D9C" w:rsidR="00911831" w:rsidRPr="00911831" w:rsidRDefault="00911831" w:rsidP="00911831">
            <w:pPr>
              <w:spacing w:after="0" w:line="276" w:lineRule="auto"/>
              <w:ind w:left="-109"/>
              <w:jc w:val="center"/>
              <w:rPr>
                <w:rFonts w:asciiTheme="minorHAnsi" w:hAnsiTheme="minorHAnsi" w:cstheme="minorHAnsi"/>
                <w:b/>
                <w:bCs/>
                <w:sz w:val="20"/>
                <w:szCs w:val="20"/>
                <w:lang w:val="en-IN" w:eastAsia="en-IN"/>
              </w:rPr>
            </w:pPr>
          </w:p>
        </w:tc>
        <w:tc>
          <w:tcPr>
            <w:tcW w:w="794" w:type="dxa"/>
            <w:vAlign w:val="center"/>
          </w:tcPr>
          <w:p w14:paraId="72D696D7" w14:textId="0489659B" w:rsidR="00911831" w:rsidRPr="00911831" w:rsidRDefault="00911831" w:rsidP="00911831">
            <w:pPr>
              <w:spacing w:after="0" w:line="276" w:lineRule="auto"/>
              <w:ind w:left="-109"/>
              <w:jc w:val="center"/>
              <w:rPr>
                <w:rFonts w:asciiTheme="minorHAnsi" w:hAnsiTheme="minorHAnsi" w:cstheme="minorHAnsi"/>
                <w:b/>
                <w:bCs/>
                <w:sz w:val="20"/>
                <w:szCs w:val="20"/>
                <w:lang w:val="en-IN" w:eastAsia="en-IN"/>
              </w:rPr>
            </w:pPr>
          </w:p>
        </w:tc>
        <w:tc>
          <w:tcPr>
            <w:tcW w:w="794" w:type="dxa"/>
            <w:shd w:val="clear" w:color="auto" w:fill="auto"/>
            <w:noWrap/>
            <w:vAlign w:val="center"/>
            <w:hideMark/>
          </w:tcPr>
          <w:p w14:paraId="7B2F1D68" w14:textId="260BAF92" w:rsidR="00911831" w:rsidRPr="00911831" w:rsidRDefault="00911831" w:rsidP="00911831">
            <w:pPr>
              <w:spacing w:after="0" w:line="276" w:lineRule="auto"/>
              <w:ind w:left="-109"/>
              <w:jc w:val="center"/>
              <w:rPr>
                <w:rFonts w:asciiTheme="minorHAnsi" w:hAnsiTheme="minorHAnsi" w:cstheme="minorHAnsi"/>
                <w:b/>
                <w:bCs/>
                <w:sz w:val="20"/>
                <w:szCs w:val="20"/>
                <w:lang w:val="en-IN" w:eastAsia="en-IN"/>
              </w:rPr>
            </w:pPr>
          </w:p>
        </w:tc>
        <w:tc>
          <w:tcPr>
            <w:tcW w:w="794" w:type="dxa"/>
            <w:shd w:val="clear" w:color="auto" w:fill="auto"/>
            <w:noWrap/>
            <w:vAlign w:val="center"/>
            <w:hideMark/>
          </w:tcPr>
          <w:p w14:paraId="59882534" w14:textId="295B39B9" w:rsidR="00911831" w:rsidRPr="00911831" w:rsidRDefault="00911831" w:rsidP="00911831">
            <w:pPr>
              <w:spacing w:after="0" w:line="276" w:lineRule="auto"/>
              <w:ind w:left="-109"/>
              <w:jc w:val="center"/>
              <w:rPr>
                <w:rFonts w:asciiTheme="minorHAnsi" w:hAnsiTheme="minorHAnsi" w:cstheme="minorHAnsi"/>
                <w:b/>
                <w:bCs/>
                <w:sz w:val="20"/>
                <w:szCs w:val="20"/>
                <w:lang w:val="en-IN" w:eastAsia="en-IN"/>
              </w:rPr>
            </w:pPr>
          </w:p>
        </w:tc>
        <w:tc>
          <w:tcPr>
            <w:tcW w:w="794" w:type="dxa"/>
            <w:shd w:val="clear" w:color="auto" w:fill="auto"/>
            <w:noWrap/>
            <w:vAlign w:val="center"/>
            <w:hideMark/>
          </w:tcPr>
          <w:p w14:paraId="570810A2" w14:textId="2BC24533" w:rsidR="00911831" w:rsidRPr="00911831" w:rsidRDefault="00911831" w:rsidP="00911831">
            <w:pPr>
              <w:spacing w:after="0" w:line="276" w:lineRule="auto"/>
              <w:ind w:left="-109"/>
              <w:jc w:val="center"/>
              <w:rPr>
                <w:rFonts w:asciiTheme="minorHAnsi" w:hAnsiTheme="minorHAnsi" w:cstheme="minorHAnsi"/>
                <w:b/>
                <w:bCs/>
                <w:sz w:val="20"/>
                <w:szCs w:val="20"/>
                <w:lang w:val="en-IN" w:eastAsia="en-IN"/>
              </w:rPr>
            </w:pPr>
          </w:p>
        </w:tc>
        <w:tc>
          <w:tcPr>
            <w:tcW w:w="794" w:type="dxa"/>
            <w:shd w:val="clear" w:color="auto" w:fill="auto"/>
            <w:noWrap/>
            <w:vAlign w:val="center"/>
            <w:hideMark/>
          </w:tcPr>
          <w:p w14:paraId="6B730166" w14:textId="3F104273"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color w:val="000000"/>
                <w:sz w:val="20"/>
                <w:szCs w:val="22"/>
              </w:rPr>
              <w:t>-</w:t>
            </w:r>
          </w:p>
        </w:tc>
        <w:tc>
          <w:tcPr>
            <w:tcW w:w="794" w:type="dxa"/>
            <w:vAlign w:val="center"/>
          </w:tcPr>
          <w:p w14:paraId="28A76F55" w14:textId="308DFC79" w:rsidR="00911831" w:rsidRPr="00911831" w:rsidRDefault="00911831" w:rsidP="00911831">
            <w:pPr>
              <w:spacing w:after="0" w:line="276" w:lineRule="auto"/>
              <w:ind w:left="-109"/>
              <w:jc w:val="center"/>
              <w:rPr>
                <w:rFonts w:asciiTheme="minorHAnsi" w:hAnsiTheme="minorHAnsi" w:cstheme="minorHAnsi"/>
                <w:b/>
                <w:bCs/>
                <w:color w:val="000000"/>
                <w:sz w:val="20"/>
                <w:szCs w:val="20"/>
              </w:rPr>
            </w:pPr>
            <w:r w:rsidRPr="00911831">
              <w:rPr>
                <w:rFonts w:ascii="Calibri" w:hAnsi="Calibri" w:cs="Calibri"/>
                <w:color w:val="000000"/>
                <w:sz w:val="20"/>
                <w:szCs w:val="22"/>
              </w:rPr>
              <w:t>-</w:t>
            </w:r>
          </w:p>
        </w:tc>
        <w:tc>
          <w:tcPr>
            <w:tcW w:w="794" w:type="dxa"/>
            <w:vAlign w:val="center"/>
          </w:tcPr>
          <w:p w14:paraId="3E45E00B" w14:textId="05802B6C" w:rsidR="00911831" w:rsidRPr="00911831" w:rsidRDefault="00911831" w:rsidP="00911831">
            <w:pPr>
              <w:spacing w:after="0" w:line="276" w:lineRule="auto"/>
              <w:ind w:left="-109"/>
              <w:jc w:val="center"/>
              <w:rPr>
                <w:rFonts w:asciiTheme="minorHAnsi" w:hAnsiTheme="minorHAnsi" w:cstheme="minorHAnsi"/>
                <w:b/>
                <w:bCs/>
                <w:color w:val="000000"/>
                <w:sz w:val="20"/>
                <w:szCs w:val="20"/>
              </w:rPr>
            </w:pPr>
            <w:r w:rsidRPr="00911831">
              <w:rPr>
                <w:rFonts w:ascii="Calibri" w:hAnsi="Calibri" w:cs="Calibri"/>
                <w:color w:val="000000"/>
                <w:sz w:val="20"/>
                <w:szCs w:val="22"/>
              </w:rPr>
              <w:t>231.23</w:t>
            </w:r>
          </w:p>
        </w:tc>
      </w:tr>
      <w:tr w:rsidR="00911831" w:rsidRPr="004C1C3E" w14:paraId="37725479" w14:textId="19B0D87F" w:rsidTr="00911831">
        <w:trPr>
          <w:trHeight w:val="300"/>
        </w:trPr>
        <w:tc>
          <w:tcPr>
            <w:tcW w:w="2268" w:type="dxa"/>
            <w:shd w:val="clear" w:color="auto" w:fill="DEEAF6" w:themeFill="accent1" w:themeFillTint="33"/>
            <w:noWrap/>
            <w:vAlign w:val="center"/>
            <w:hideMark/>
          </w:tcPr>
          <w:p w14:paraId="48D5F425" w14:textId="77777777" w:rsidR="00911831" w:rsidRPr="004C1C3E" w:rsidRDefault="00911831" w:rsidP="00DE719E">
            <w:pPr>
              <w:spacing w:after="0" w:line="240" w:lineRule="auto"/>
              <w:rPr>
                <w:rFonts w:asciiTheme="minorHAnsi" w:hAnsiTheme="minorHAnsi" w:cstheme="minorHAnsi"/>
                <w:b/>
                <w:bCs/>
                <w:sz w:val="20"/>
                <w:szCs w:val="20"/>
                <w:lang w:val="en-IN" w:eastAsia="en-IN"/>
              </w:rPr>
            </w:pPr>
            <w:r w:rsidRPr="004C1C3E">
              <w:rPr>
                <w:rFonts w:asciiTheme="minorHAnsi" w:hAnsiTheme="minorHAnsi" w:cstheme="minorHAnsi"/>
                <w:b/>
                <w:bCs/>
                <w:sz w:val="20"/>
                <w:szCs w:val="20"/>
                <w:lang w:val="en-IN" w:eastAsia="en-IN"/>
              </w:rPr>
              <w:t>PV of FCFF + PV of TV</w:t>
            </w:r>
          </w:p>
        </w:tc>
        <w:tc>
          <w:tcPr>
            <w:tcW w:w="793" w:type="dxa"/>
            <w:shd w:val="clear" w:color="auto" w:fill="DEEAF6" w:themeFill="accent1" w:themeFillTint="33"/>
            <w:noWrap/>
            <w:vAlign w:val="center"/>
            <w:hideMark/>
          </w:tcPr>
          <w:p w14:paraId="53040B61" w14:textId="45B267DB"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43.51</w:t>
            </w:r>
          </w:p>
        </w:tc>
        <w:tc>
          <w:tcPr>
            <w:tcW w:w="794" w:type="dxa"/>
            <w:shd w:val="clear" w:color="auto" w:fill="DEEAF6" w:themeFill="accent1" w:themeFillTint="33"/>
            <w:vAlign w:val="center"/>
          </w:tcPr>
          <w:p w14:paraId="6C1158E6" w14:textId="0B9D486F" w:rsidR="00911831" w:rsidRPr="00911831" w:rsidRDefault="00911831" w:rsidP="00911831">
            <w:pPr>
              <w:spacing w:after="0" w:line="276" w:lineRule="auto"/>
              <w:ind w:left="-109"/>
              <w:jc w:val="center"/>
              <w:rPr>
                <w:rFonts w:asciiTheme="minorHAnsi" w:hAnsiTheme="minorHAnsi" w:cstheme="minorHAnsi"/>
                <w:b/>
                <w:bCs/>
                <w:sz w:val="20"/>
                <w:szCs w:val="20"/>
              </w:rPr>
            </w:pPr>
            <w:r w:rsidRPr="00911831">
              <w:rPr>
                <w:rFonts w:ascii="Calibri" w:hAnsi="Calibri" w:cs="Calibri"/>
                <w:b/>
                <w:bCs/>
                <w:color w:val="000000"/>
                <w:sz w:val="20"/>
                <w:szCs w:val="22"/>
              </w:rPr>
              <w:t>219.24</w:t>
            </w:r>
          </w:p>
        </w:tc>
        <w:tc>
          <w:tcPr>
            <w:tcW w:w="794" w:type="dxa"/>
            <w:shd w:val="clear" w:color="auto" w:fill="DEEAF6" w:themeFill="accent1" w:themeFillTint="33"/>
            <w:vAlign w:val="center"/>
          </w:tcPr>
          <w:p w14:paraId="7B6305E7" w14:textId="46B1D524" w:rsidR="00911831" w:rsidRPr="00911831" w:rsidRDefault="00911831" w:rsidP="00911831">
            <w:pPr>
              <w:spacing w:after="0" w:line="276" w:lineRule="auto"/>
              <w:ind w:left="-109"/>
              <w:jc w:val="center"/>
              <w:rPr>
                <w:rFonts w:asciiTheme="minorHAnsi" w:hAnsiTheme="minorHAnsi" w:cstheme="minorHAnsi"/>
                <w:b/>
                <w:bCs/>
                <w:sz w:val="20"/>
                <w:szCs w:val="20"/>
              </w:rPr>
            </w:pPr>
            <w:r w:rsidRPr="00911831">
              <w:rPr>
                <w:rFonts w:ascii="Calibri" w:hAnsi="Calibri" w:cs="Calibri"/>
                <w:b/>
                <w:bCs/>
                <w:color w:val="000000"/>
                <w:sz w:val="20"/>
                <w:szCs w:val="22"/>
              </w:rPr>
              <w:t>168.11</w:t>
            </w:r>
          </w:p>
        </w:tc>
        <w:tc>
          <w:tcPr>
            <w:tcW w:w="794" w:type="dxa"/>
            <w:shd w:val="clear" w:color="auto" w:fill="DEEAF6" w:themeFill="accent1" w:themeFillTint="33"/>
            <w:vAlign w:val="center"/>
          </w:tcPr>
          <w:p w14:paraId="3115B1A0" w14:textId="5D4787A5" w:rsidR="00911831" w:rsidRPr="00911831" w:rsidRDefault="00911831" w:rsidP="00911831">
            <w:pPr>
              <w:spacing w:after="0" w:line="276" w:lineRule="auto"/>
              <w:ind w:left="-109"/>
              <w:jc w:val="center"/>
              <w:rPr>
                <w:rFonts w:asciiTheme="minorHAnsi" w:hAnsiTheme="minorHAnsi" w:cstheme="minorHAnsi"/>
                <w:b/>
                <w:bCs/>
                <w:sz w:val="20"/>
                <w:szCs w:val="20"/>
              </w:rPr>
            </w:pPr>
            <w:r w:rsidRPr="00911831">
              <w:rPr>
                <w:rFonts w:ascii="Calibri" w:hAnsi="Calibri" w:cs="Calibri"/>
                <w:b/>
                <w:bCs/>
                <w:color w:val="000000"/>
                <w:sz w:val="20"/>
                <w:szCs w:val="22"/>
              </w:rPr>
              <w:t>129.72</w:t>
            </w:r>
          </w:p>
        </w:tc>
        <w:tc>
          <w:tcPr>
            <w:tcW w:w="794" w:type="dxa"/>
            <w:shd w:val="clear" w:color="auto" w:fill="DEEAF6" w:themeFill="accent1" w:themeFillTint="33"/>
            <w:noWrap/>
            <w:vAlign w:val="center"/>
            <w:hideMark/>
          </w:tcPr>
          <w:p w14:paraId="5D355D35" w14:textId="52659A15"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101.72</w:t>
            </w:r>
          </w:p>
        </w:tc>
        <w:tc>
          <w:tcPr>
            <w:tcW w:w="794" w:type="dxa"/>
            <w:shd w:val="clear" w:color="auto" w:fill="DEEAF6" w:themeFill="accent1" w:themeFillTint="33"/>
            <w:noWrap/>
            <w:vAlign w:val="center"/>
            <w:hideMark/>
          </w:tcPr>
          <w:p w14:paraId="63459358" w14:textId="6D317861"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83.84</w:t>
            </w:r>
          </w:p>
        </w:tc>
        <w:tc>
          <w:tcPr>
            <w:tcW w:w="794" w:type="dxa"/>
            <w:shd w:val="clear" w:color="auto" w:fill="DEEAF6" w:themeFill="accent1" w:themeFillTint="33"/>
            <w:noWrap/>
            <w:vAlign w:val="center"/>
            <w:hideMark/>
          </w:tcPr>
          <w:p w14:paraId="7F326FAE" w14:textId="52FDC825"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69.23</w:t>
            </w:r>
          </w:p>
        </w:tc>
        <w:tc>
          <w:tcPr>
            <w:tcW w:w="794" w:type="dxa"/>
            <w:shd w:val="clear" w:color="auto" w:fill="DEEAF6" w:themeFill="accent1" w:themeFillTint="33"/>
            <w:noWrap/>
            <w:vAlign w:val="center"/>
            <w:hideMark/>
          </w:tcPr>
          <w:p w14:paraId="4CF368CF" w14:textId="68528479" w:rsidR="00911831" w:rsidRPr="00911831" w:rsidRDefault="00911831" w:rsidP="00911831">
            <w:pPr>
              <w:spacing w:after="0" w:line="276" w:lineRule="auto"/>
              <w:ind w:left="-109"/>
              <w:jc w:val="center"/>
              <w:rPr>
                <w:rFonts w:asciiTheme="minorHAnsi" w:hAnsiTheme="minorHAnsi" w:cstheme="minorHAnsi"/>
                <w:b/>
                <w:bCs/>
                <w:color w:val="000000"/>
                <w:sz w:val="20"/>
                <w:szCs w:val="20"/>
                <w:lang w:val="en-IN" w:eastAsia="en-IN"/>
              </w:rPr>
            </w:pPr>
            <w:r w:rsidRPr="00911831">
              <w:rPr>
                <w:rFonts w:ascii="Calibri" w:hAnsi="Calibri" w:cs="Calibri"/>
                <w:b/>
                <w:bCs/>
                <w:color w:val="000000"/>
                <w:sz w:val="20"/>
                <w:szCs w:val="22"/>
              </w:rPr>
              <w:t>56.42</w:t>
            </w:r>
          </w:p>
        </w:tc>
        <w:tc>
          <w:tcPr>
            <w:tcW w:w="794" w:type="dxa"/>
            <w:shd w:val="clear" w:color="auto" w:fill="DEEAF6" w:themeFill="accent1" w:themeFillTint="33"/>
            <w:vAlign w:val="center"/>
          </w:tcPr>
          <w:p w14:paraId="18E0456D" w14:textId="649AB557" w:rsidR="00911831" w:rsidRPr="00911831" w:rsidRDefault="00911831" w:rsidP="00911831">
            <w:pPr>
              <w:spacing w:after="0" w:line="276" w:lineRule="auto"/>
              <w:ind w:left="-109"/>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46.09</w:t>
            </w:r>
          </w:p>
        </w:tc>
        <w:tc>
          <w:tcPr>
            <w:tcW w:w="794" w:type="dxa"/>
            <w:shd w:val="clear" w:color="auto" w:fill="DEEAF6" w:themeFill="accent1" w:themeFillTint="33"/>
            <w:vAlign w:val="center"/>
          </w:tcPr>
          <w:p w14:paraId="306E3317" w14:textId="0EF3D130" w:rsidR="00911831" w:rsidRPr="00911831" w:rsidRDefault="00911831" w:rsidP="00911831">
            <w:pPr>
              <w:spacing w:after="0" w:line="276" w:lineRule="auto"/>
              <w:ind w:left="-109"/>
              <w:jc w:val="center"/>
              <w:rPr>
                <w:rFonts w:asciiTheme="minorHAnsi" w:hAnsiTheme="minorHAnsi" w:cstheme="minorHAnsi"/>
                <w:b/>
                <w:bCs/>
                <w:color w:val="000000"/>
                <w:sz w:val="20"/>
                <w:szCs w:val="20"/>
              </w:rPr>
            </w:pPr>
            <w:r w:rsidRPr="00911831">
              <w:rPr>
                <w:rFonts w:ascii="Calibri" w:hAnsi="Calibri" w:cs="Calibri"/>
                <w:b/>
                <w:bCs/>
                <w:color w:val="000000"/>
                <w:sz w:val="20"/>
                <w:szCs w:val="22"/>
              </w:rPr>
              <w:t>269.60</w:t>
            </w:r>
          </w:p>
        </w:tc>
      </w:tr>
      <w:tr w:rsidR="00911831" w:rsidRPr="004C1C3E" w14:paraId="1C7E7778" w14:textId="77777777" w:rsidTr="00D479EB">
        <w:trPr>
          <w:trHeight w:val="300"/>
        </w:trPr>
        <w:tc>
          <w:tcPr>
            <w:tcW w:w="2268" w:type="dxa"/>
            <w:shd w:val="clear" w:color="000000" w:fill="002060"/>
            <w:noWrap/>
            <w:vAlign w:val="center"/>
            <w:hideMark/>
          </w:tcPr>
          <w:p w14:paraId="381F7C0D" w14:textId="699982CF" w:rsidR="00911831" w:rsidRPr="004C1C3E" w:rsidRDefault="00911831" w:rsidP="00DE719E">
            <w:pPr>
              <w:spacing w:after="0" w:line="240" w:lineRule="auto"/>
              <w:ind w:right="-105"/>
              <w:rPr>
                <w:rFonts w:asciiTheme="minorHAnsi" w:hAnsiTheme="minorHAnsi" w:cstheme="minorHAnsi"/>
                <w:b/>
                <w:bCs/>
                <w:color w:val="FFFFFF"/>
                <w:sz w:val="20"/>
                <w:szCs w:val="20"/>
                <w:lang w:val="en-IN" w:eastAsia="en-IN"/>
              </w:rPr>
            </w:pPr>
            <w:r w:rsidRPr="004C1C3E">
              <w:rPr>
                <w:rFonts w:asciiTheme="minorHAnsi" w:hAnsiTheme="minorHAnsi" w:cstheme="minorHAnsi"/>
                <w:b/>
                <w:bCs/>
                <w:color w:val="FFFFFF"/>
                <w:sz w:val="20"/>
                <w:szCs w:val="20"/>
                <w:lang w:val="en-IN" w:eastAsia="en-IN"/>
              </w:rPr>
              <w:t>Enterprise Value of the Firm</w:t>
            </w:r>
          </w:p>
        </w:tc>
        <w:tc>
          <w:tcPr>
            <w:tcW w:w="7939" w:type="dxa"/>
            <w:gridSpan w:val="10"/>
            <w:shd w:val="clear" w:color="000000" w:fill="002060"/>
            <w:vAlign w:val="center"/>
          </w:tcPr>
          <w:p w14:paraId="795D4896" w14:textId="316F983B" w:rsidR="00911831" w:rsidRPr="004C1C3E" w:rsidRDefault="00911831" w:rsidP="00911831">
            <w:pPr>
              <w:spacing w:after="0" w:line="276" w:lineRule="auto"/>
              <w:jc w:val="center"/>
              <w:rPr>
                <w:rFonts w:asciiTheme="minorHAnsi" w:hAnsiTheme="minorHAnsi" w:cstheme="minorHAnsi"/>
                <w:b/>
                <w:bCs/>
                <w:color w:val="FFFFFF"/>
                <w:sz w:val="20"/>
                <w:szCs w:val="20"/>
                <w:lang w:val="en-IN" w:eastAsia="en-IN"/>
              </w:rPr>
            </w:pPr>
            <w:r w:rsidRPr="004C1C3E">
              <w:rPr>
                <w:rFonts w:asciiTheme="minorHAnsi" w:hAnsiTheme="minorHAnsi" w:cstheme="minorHAnsi"/>
                <w:b/>
                <w:bCs/>
                <w:color w:val="FFFFFF"/>
                <w:sz w:val="20"/>
                <w:szCs w:val="20"/>
                <w:lang w:val="en-IN" w:eastAsia="en-IN"/>
              </w:rPr>
              <w:t>1,</w:t>
            </w:r>
            <w:r>
              <w:rPr>
                <w:rFonts w:asciiTheme="minorHAnsi" w:hAnsiTheme="minorHAnsi" w:cstheme="minorHAnsi"/>
                <w:b/>
                <w:bCs/>
                <w:color w:val="FFFFFF"/>
                <w:sz w:val="20"/>
                <w:szCs w:val="20"/>
                <w:lang w:val="en-IN" w:eastAsia="en-IN"/>
              </w:rPr>
              <w:t>187.49</w:t>
            </w:r>
            <w:r w:rsidRPr="004C1C3E">
              <w:rPr>
                <w:rFonts w:asciiTheme="minorHAnsi" w:hAnsiTheme="minorHAnsi" w:cstheme="minorHAnsi"/>
                <w:b/>
                <w:bCs/>
                <w:color w:val="FFFFFF"/>
                <w:sz w:val="20"/>
                <w:szCs w:val="20"/>
                <w:lang w:val="en-IN" w:eastAsia="en-IN"/>
              </w:rPr>
              <w:t xml:space="preserve"> Crores</w:t>
            </w:r>
          </w:p>
        </w:tc>
      </w:tr>
    </w:tbl>
    <w:p w14:paraId="1159C338" w14:textId="5D2D4509" w:rsidR="00627755" w:rsidRDefault="00627755" w:rsidP="00DE719E">
      <w:pPr>
        <w:spacing w:after="0" w:line="360" w:lineRule="auto"/>
        <w:rPr>
          <w:rFonts w:ascii="Arial" w:hAnsi="Arial" w:cs="Arial"/>
          <w:b/>
          <w:color w:val="000000"/>
          <w:sz w:val="22"/>
          <w:szCs w:val="22"/>
          <w:lang w:val="en-IN"/>
        </w:rPr>
      </w:pPr>
    </w:p>
    <w:p w14:paraId="4A2A5CDF" w14:textId="72390AA1" w:rsidR="00FA5B7B" w:rsidRPr="0098039F" w:rsidRDefault="008E1BCD" w:rsidP="00DE719E">
      <w:pPr>
        <w:pStyle w:val="Default"/>
        <w:numPr>
          <w:ilvl w:val="0"/>
          <w:numId w:val="19"/>
        </w:numPr>
        <w:spacing w:after="240"/>
        <w:ind w:left="142" w:right="-23" w:hanging="426"/>
        <w:jc w:val="both"/>
        <w:rPr>
          <w:sz w:val="22"/>
          <w:szCs w:val="22"/>
        </w:rPr>
      </w:pPr>
      <w:r w:rsidRPr="0098039F">
        <w:rPr>
          <w:b/>
          <w:sz w:val="22"/>
          <w:szCs w:val="22"/>
        </w:rPr>
        <w:t>KEY INPUTS USED TO DISCOUNT CASH FLOWS DURING THE PROJECTION PERIOD:</w:t>
      </w:r>
    </w:p>
    <w:p w14:paraId="5639B39F" w14:textId="2C28C68B" w:rsidR="00FA5B7B" w:rsidRPr="00BC727E" w:rsidRDefault="00FA5B7B" w:rsidP="00303EBE">
      <w:pPr>
        <w:tabs>
          <w:tab w:val="left" w:pos="360"/>
        </w:tabs>
        <w:spacing w:after="0" w:line="360" w:lineRule="auto"/>
        <w:jc w:val="center"/>
        <w:rPr>
          <w:rFonts w:ascii="Arial" w:hAnsi="Arial" w:cs="Arial"/>
          <w:b/>
          <w:sz w:val="6"/>
          <w:szCs w:val="8"/>
          <w:u w:val="single"/>
        </w:rPr>
      </w:pPr>
    </w:p>
    <w:tbl>
      <w:tblPr>
        <w:tblW w:w="3145" w:type="pct"/>
        <w:tblInd w:w="1696" w:type="dxa"/>
        <w:tblLayout w:type="fixed"/>
        <w:tblLook w:val="04A0" w:firstRow="1" w:lastRow="0" w:firstColumn="1" w:lastColumn="0" w:noHBand="0" w:noVBand="1"/>
      </w:tblPr>
      <w:tblGrid>
        <w:gridCol w:w="3259"/>
        <w:gridCol w:w="2694"/>
      </w:tblGrid>
      <w:tr w:rsidR="0008705A" w:rsidRPr="0098039F" w14:paraId="4584A7FE" w14:textId="77777777" w:rsidTr="00DE719E">
        <w:trPr>
          <w:trHeight w:val="173"/>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7EACC814" w14:textId="77777777" w:rsidR="0008705A" w:rsidRPr="0098039F" w:rsidRDefault="00345D47" w:rsidP="00B42878">
            <w:pPr>
              <w:spacing w:after="0" w:line="276" w:lineRule="auto"/>
              <w:jc w:val="center"/>
              <w:rPr>
                <w:rFonts w:asciiTheme="minorHAnsi" w:hAnsiTheme="minorHAnsi" w:cstheme="minorHAnsi"/>
                <w:b/>
                <w:bCs/>
                <w:color w:val="FFFFFF"/>
                <w:sz w:val="22"/>
                <w:szCs w:val="22"/>
                <w:lang w:val="en-IN" w:eastAsia="en-IN"/>
              </w:rPr>
            </w:pPr>
            <w:r w:rsidRPr="0098039F">
              <w:rPr>
                <w:rFonts w:asciiTheme="minorHAnsi" w:hAnsiTheme="minorHAnsi" w:cstheme="minorHAnsi"/>
                <w:b/>
                <w:bCs/>
                <w:color w:val="FFFFFF"/>
                <w:sz w:val="22"/>
                <w:szCs w:val="22"/>
                <w:lang w:val="en-IN" w:eastAsia="en-IN"/>
              </w:rPr>
              <w:t>Inputs</w:t>
            </w:r>
          </w:p>
        </w:tc>
      </w:tr>
      <w:tr w:rsidR="0008705A" w:rsidRPr="0098039F" w14:paraId="70254624" w14:textId="77777777" w:rsidTr="00215E56">
        <w:trPr>
          <w:trHeight w:val="288"/>
        </w:trPr>
        <w:tc>
          <w:tcPr>
            <w:tcW w:w="2737" w:type="pct"/>
            <w:tcBorders>
              <w:top w:val="nil"/>
              <w:left w:val="single" w:sz="4" w:space="0" w:color="auto"/>
              <w:bottom w:val="single" w:sz="4" w:space="0" w:color="auto"/>
              <w:right w:val="single" w:sz="4" w:space="0" w:color="auto"/>
            </w:tcBorders>
            <w:shd w:val="clear" w:color="auto" w:fill="auto"/>
            <w:noWrap/>
            <w:hideMark/>
          </w:tcPr>
          <w:p w14:paraId="0D2D9783" w14:textId="77777777" w:rsidR="0008705A" w:rsidRPr="0098039F" w:rsidRDefault="0008705A" w:rsidP="00B42878">
            <w:pPr>
              <w:spacing w:after="0" w:line="276"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Valuation Date</w:t>
            </w:r>
          </w:p>
        </w:tc>
        <w:tc>
          <w:tcPr>
            <w:tcW w:w="2263" w:type="pct"/>
            <w:tcBorders>
              <w:top w:val="nil"/>
              <w:left w:val="nil"/>
              <w:bottom w:val="single" w:sz="4" w:space="0" w:color="auto"/>
              <w:right w:val="single" w:sz="4" w:space="0" w:color="auto"/>
            </w:tcBorders>
            <w:shd w:val="clear" w:color="auto" w:fill="auto"/>
            <w:noWrap/>
            <w:vAlign w:val="center"/>
            <w:hideMark/>
          </w:tcPr>
          <w:p w14:paraId="291A4712" w14:textId="2C0DF9F2" w:rsidR="0008705A" w:rsidRPr="0098039F" w:rsidRDefault="00FC713F" w:rsidP="00B4287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01</w:t>
            </w:r>
            <w:r>
              <w:rPr>
                <w:rFonts w:asciiTheme="minorHAnsi" w:hAnsiTheme="minorHAnsi" w:cstheme="minorHAnsi"/>
                <w:b/>
                <w:bCs/>
                <w:color w:val="000000"/>
                <w:sz w:val="22"/>
                <w:szCs w:val="22"/>
                <w:vertAlign w:val="superscript"/>
                <w:lang w:val="en-IN" w:eastAsia="en-IN"/>
              </w:rPr>
              <w:t>st</w:t>
            </w:r>
            <w:r w:rsidR="00F72935">
              <w:rPr>
                <w:rFonts w:asciiTheme="minorHAnsi" w:hAnsiTheme="minorHAnsi" w:cstheme="minorHAnsi"/>
                <w:b/>
                <w:bCs/>
                <w:color w:val="000000"/>
                <w:sz w:val="22"/>
                <w:szCs w:val="22"/>
                <w:lang w:val="en-IN" w:eastAsia="en-IN"/>
              </w:rPr>
              <w:t xml:space="preserve"> </w:t>
            </w:r>
            <w:r>
              <w:rPr>
                <w:rFonts w:asciiTheme="minorHAnsi" w:hAnsiTheme="minorHAnsi" w:cstheme="minorHAnsi"/>
                <w:b/>
                <w:bCs/>
                <w:color w:val="000000"/>
                <w:sz w:val="22"/>
                <w:szCs w:val="22"/>
                <w:lang w:val="en-IN" w:eastAsia="en-IN"/>
              </w:rPr>
              <w:t>February</w:t>
            </w:r>
            <w:r w:rsidR="00303EBE">
              <w:rPr>
                <w:rFonts w:asciiTheme="minorHAnsi" w:hAnsiTheme="minorHAnsi" w:cstheme="minorHAnsi"/>
                <w:b/>
                <w:bCs/>
                <w:color w:val="000000"/>
                <w:sz w:val="22"/>
                <w:szCs w:val="22"/>
                <w:lang w:val="en-IN" w:eastAsia="en-IN"/>
              </w:rPr>
              <w:t xml:space="preserve"> 202</w:t>
            </w:r>
            <w:r>
              <w:rPr>
                <w:rFonts w:asciiTheme="minorHAnsi" w:hAnsiTheme="minorHAnsi" w:cstheme="minorHAnsi"/>
                <w:b/>
                <w:bCs/>
                <w:color w:val="000000"/>
                <w:sz w:val="22"/>
                <w:szCs w:val="22"/>
                <w:lang w:val="en-IN" w:eastAsia="en-IN"/>
              </w:rPr>
              <w:t>5</w:t>
            </w:r>
          </w:p>
        </w:tc>
      </w:tr>
      <w:tr w:rsidR="0008705A" w:rsidRPr="0098039F" w14:paraId="4D8EA9DC" w14:textId="77777777" w:rsidTr="00215E56">
        <w:trPr>
          <w:trHeight w:val="288"/>
        </w:trPr>
        <w:tc>
          <w:tcPr>
            <w:tcW w:w="2737" w:type="pct"/>
            <w:tcBorders>
              <w:top w:val="nil"/>
              <w:left w:val="single" w:sz="4" w:space="0" w:color="auto"/>
              <w:bottom w:val="single" w:sz="4" w:space="0" w:color="auto"/>
              <w:right w:val="single" w:sz="4" w:space="0" w:color="auto"/>
            </w:tcBorders>
            <w:shd w:val="clear" w:color="auto" w:fill="auto"/>
            <w:noWrap/>
            <w:hideMark/>
          </w:tcPr>
          <w:p w14:paraId="6100D3A7" w14:textId="77777777" w:rsidR="0008705A" w:rsidRPr="0098039F" w:rsidRDefault="0008705A" w:rsidP="00B42878">
            <w:pPr>
              <w:spacing w:after="0" w:line="276"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w:t>
            </w:r>
          </w:p>
        </w:tc>
        <w:tc>
          <w:tcPr>
            <w:tcW w:w="2263" w:type="pct"/>
            <w:tcBorders>
              <w:top w:val="nil"/>
              <w:left w:val="nil"/>
              <w:bottom w:val="single" w:sz="4" w:space="0" w:color="auto"/>
              <w:right w:val="single" w:sz="4" w:space="0" w:color="auto"/>
            </w:tcBorders>
            <w:shd w:val="clear" w:color="auto" w:fill="auto"/>
            <w:noWrap/>
            <w:vAlign w:val="center"/>
            <w:hideMark/>
          </w:tcPr>
          <w:p w14:paraId="77C4A22E" w14:textId="7CD9AC1E" w:rsidR="0008705A" w:rsidRPr="0098039F" w:rsidRDefault="00303EBE" w:rsidP="00B4287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w:t>
            </w:r>
            <w:r w:rsidR="00FC713F">
              <w:rPr>
                <w:rFonts w:asciiTheme="minorHAnsi" w:hAnsiTheme="minorHAnsi" w:cstheme="minorHAnsi"/>
                <w:b/>
                <w:bCs/>
                <w:color w:val="000000"/>
                <w:sz w:val="22"/>
                <w:szCs w:val="22"/>
                <w:lang w:val="en-IN" w:eastAsia="en-IN"/>
              </w:rPr>
              <w:t>7.76</w:t>
            </w:r>
            <w:r w:rsidR="0008705A" w:rsidRPr="0098039F">
              <w:rPr>
                <w:rFonts w:asciiTheme="minorHAnsi" w:hAnsiTheme="minorHAnsi" w:cstheme="minorHAnsi"/>
                <w:b/>
                <w:bCs/>
                <w:color w:val="000000"/>
                <w:sz w:val="22"/>
                <w:szCs w:val="22"/>
                <w:lang w:val="en-IN" w:eastAsia="en-IN"/>
              </w:rPr>
              <w:t>%</w:t>
            </w:r>
          </w:p>
        </w:tc>
      </w:tr>
      <w:tr w:rsidR="0008705A" w:rsidRPr="0098039F" w14:paraId="6FC4911F" w14:textId="77777777" w:rsidTr="00215E56">
        <w:trPr>
          <w:trHeight w:val="288"/>
        </w:trPr>
        <w:tc>
          <w:tcPr>
            <w:tcW w:w="2737" w:type="pct"/>
            <w:tcBorders>
              <w:top w:val="nil"/>
              <w:left w:val="single" w:sz="4" w:space="0" w:color="auto"/>
              <w:bottom w:val="single" w:sz="4" w:space="0" w:color="auto"/>
              <w:right w:val="single" w:sz="4" w:space="0" w:color="auto"/>
            </w:tcBorders>
            <w:shd w:val="clear" w:color="auto" w:fill="auto"/>
            <w:noWrap/>
            <w:hideMark/>
          </w:tcPr>
          <w:p w14:paraId="75172D2B" w14:textId="77777777" w:rsidR="0008705A" w:rsidRPr="0098039F" w:rsidRDefault="0008705A" w:rsidP="00B42878">
            <w:pPr>
              <w:spacing w:after="0" w:line="276"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 Change</w:t>
            </w:r>
          </w:p>
        </w:tc>
        <w:tc>
          <w:tcPr>
            <w:tcW w:w="2263" w:type="pct"/>
            <w:tcBorders>
              <w:top w:val="nil"/>
              <w:left w:val="nil"/>
              <w:bottom w:val="single" w:sz="4" w:space="0" w:color="auto"/>
              <w:right w:val="single" w:sz="4" w:space="0" w:color="auto"/>
            </w:tcBorders>
            <w:shd w:val="clear" w:color="auto" w:fill="auto"/>
            <w:noWrap/>
            <w:vAlign w:val="center"/>
            <w:hideMark/>
          </w:tcPr>
          <w:p w14:paraId="152CB911" w14:textId="7CA906FB" w:rsidR="0008705A" w:rsidRPr="0098039F" w:rsidRDefault="0079596E" w:rsidP="00B4287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w:t>
            </w:r>
            <w:r w:rsidR="0008705A" w:rsidRPr="0098039F">
              <w:rPr>
                <w:rFonts w:asciiTheme="minorHAnsi" w:hAnsiTheme="minorHAnsi" w:cstheme="minorHAnsi"/>
                <w:b/>
                <w:bCs/>
                <w:color w:val="000000"/>
                <w:sz w:val="22"/>
                <w:szCs w:val="22"/>
                <w:lang w:val="en-IN" w:eastAsia="en-IN"/>
              </w:rPr>
              <w:t>%</w:t>
            </w:r>
          </w:p>
        </w:tc>
      </w:tr>
      <w:tr w:rsidR="0008705A" w:rsidRPr="0098039F" w14:paraId="239C05FD" w14:textId="77777777" w:rsidTr="00215E56">
        <w:trPr>
          <w:trHeight w:val="288"/>
        </w:trPr>
        <w:tc>
          <w:tcPr>
            <w:tcW w:w="2737" w:type="pct"/>
            <w:tcBorders>
              <w:top w:val="nil"/>
              <w:left w:val="single" w:sz="4" w:space="0" w:color="auto"/>
              <w:bottom w:val="single" w:sz="4" w:space="0" w:color="auto"/>
              <w:right w:val="single" w:sz="4" w:space="0" w:color="auto"/>
            </w:tcBorders>
            <w:shd w:val="clear" w:color="auto" w:fill="auto"/>
            <w:noWrap/>
            <w:hideMark/>
          </w:tcPr>
          <w:p w14:paraId="2E53400A" w14:textId="77777777" w:rsidR="0008705A" w:rsidRPr="0098039F" w:rsidRDefault="0008705A" w:rsidP="00B42878">
            <w:pPr>
              <w:spacing w:after="0" w:line="276"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Tax Rate</w:t>
            </w:r>
          </w:p>
        </w:tc>
        <w:tc>
          <w:tcPr>
            <w:tcW w:w="2263" w:type="pct"/>
            <w:tcBorders>
              <w:top w:val="nil"/>
              <w:left w:val="nil"/>
              <w:bottom w:val="single" w:sz="4" w:space="0" w:color="auto"/>
              <w:right w:val="single" w:sz="4" w:space="0" w:color="auto"/>
            </w:tcBorders>
            <w:shd w:val="clear" w:color="auto" w:fill="auto"/>
            <w:noWrap/>
            <w:vAlign w:val="center"/>
            <w:hideMark/>
          </w:tcPr>
          <w:p w14:paraId="4ACC8876" w14:textId="26A375D6" w:rsidR="0008705A" w:rsidRPr="0098039F" w:rsidRDefault="00FC713F" w:rsidP="00B4287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34.94</w:t>
            </w:r>
            <w:r w:rsidR="00025D26" w:rsidRPr="0098039F">
              <w:rPr>
                <w:rFonts w:asciiTheme="minorHAnsi" w:hAnsiTheme="minorHAnsi" w:cstheme="minorHAnsi"/>
                <w:b/>
                <w:bCs/>
                <w:color w:val="000000"/>
                <w:sz w:val="22"/>
                <w:szCs w:val="22"/>
                <w:lang w:val="en-IN" w:eastAsia="en-IN"/>
              </w:rPr>
              <w:t>%</w:t>
            </w:r>
          </w:p>
        </w:tc>
      </w:tr>
    </w:tbl>
    <w:p w14:paraId="6222A4EF" w14:textId="4765206D" w:rsidR="00FA5B7B" w:rsidRDefault="00FA5B7B" w:rsidP="00DE719E">
      <w:pPr>
        <w:tabs>
          <w:tab w:val="left" w:pos="360"/>
        </w:tabs>
        <w:spacing w:before="240" w:line="240" w:lineRule="auto"/>
        <w:jc w:val="center"/>
        <w:rPr>
          <w:rFonts w:ascii="Arial" w:hAnsi="Arial" w:cs="Arial"/>
          <w:b/>
          <w:sz w:val="22"/>
          <w:u w:val="single"/>
        </w:rPr>
      </w:pPr>
      <w:r w:rsidRPr="00345D47">
        <w:rPr>
          <w:rFonts w:ascii="Arial" w:hAnsi="Arial" w:cs="Arial"/>
          <w:b/>
          <w:sz w:val="22"/>
          <w:u w:val="single"/>
        </w:rPr>
        <w:t xml:space="preserve">Calculation of WACC for </w:t>
      </w:r>
      <w:r w:rsidR="00B467DA">
        <w:rPr>
          <w:rFonts w:ascii="Arial" w:hAnsi="Arial" w:cs="Arial"/>
          <w:b/>
          <w:sz w:val="22"/>
          <w:u w:val="single"/>
        </w:rPr>
        <w:t>‘</w:t>
      </w:r>
      <w:r w:rsidR="00FC713F">
        <w:rPr>
          <w:rFonts w:ascii="Arial" w:hAnsi="Arial" w:cs="Arial"/>
          <w:b/>
          <w:sz w:val="22"/>
          <w:u w:val="single"/>
        </w:rPr>
        <w:t>GTL Infra</w:t>
      </w:r>
      <w:r w:rsidR="00B467DA">
        <w:rPr>
          <w:rFonts w:ascii="Arial" w:hAnsi="Arial" w:cs="Arial"/>
          <w:b/>
          <w:sz w:val="22"/>
          <w:u w:val="single"/>
        </w:rPr>
        <w:t>’</w:t>
      </w:r>
    </w:p>
    <w:tbl>
      <w:tblPr>
        <w:tblW w:w="724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580"/>
      </w:tblGrid>
      <w:tr w:rsidR="00FC713F" w:rsidRPr="00FC713F" w14:paraId="4AC715B1" w14:textId="77777777" w:rsidTr="00215E56">
        <w:trPr>
          <w:trHeight w:val="300"/>
        </w:trPr>
        <w:tc>
          <w:tcPr>
            <w:tcW w:w="5665" w:type="dxa"/>
            <w:shd w:val="clear" w:color="000000" w:fill="002060"/>
            <w:noWrap/>
            <w:vAlign w:val="bottom"/>
            <w:hideMark/>
          </w:tcPr>
          <w:p w14:paraId="167C9055" w14:textId="77777777" w:rsidR="00FC713F" w:rsidRPr="00FC713F" w:rsidRDefault="00FC713F" w:rsidP="00B42878">
            <w:pPr>
              <w:spacing w:after="0" w:line="276" w:lineRule="auto"/>
              <w:rPr>
                <w:rFonts w:ascii="Calibri" w:hAnsi="Calibri" w:cs="Calibri"/>
                <w:b/>
                <w:bCs/>
                <w:color w:val="FFFFFF"/>
                <w:sz w:val="22"/>
                <w:szCs w:val="22"/>
                <w:lang w:val="en-IN" w:eastAsia="en-IN"/>
              </w:rPr>
            </w:pPr>
            <w:r w:rsidRPr="00FC713F">
              <w:rPr>
                <w:rFonts w:ascii="Calibri" w:hAnsi="Calibri" w:cs="Calibri"/>
                <w:b/>
                <w:bCs/>
                <w:color w:val="FFFFFF"/>
                <w:sz w:val="22"/>
                <w:szCs w:val="22"/>
                <w:lang w:val="en-IN" w:eastAsia="en-IN"/>
              </w:rPr>
              <w:t>Particulars</w:t>
            </w:r>
          </w:p>
        </w:tc>
        <w:tc>
          <w:tcPr>
            <w:tcW w:w="1580" w:type="dxa"/>
            <w:shd w:val="clear" w:color="000000" w:fill="002060"/>
            <w:noWrap/>
            <w:vAlign w:val="center"/>
            <w:hideMark/>
          </w:tcPr>
          <w:p w14:paraId="43B9D256" w14:textId="77777777" w:rsidR="00FC713F" w:rsidRPr="00FC713F" w:rsidRDefault="00FC713F" w:rsidP="00B42878">
            <w:pPr>
              <w:spacing w:after="0" w:line="276" w:lineRule="auto"/>
              <w:jc w:val="center"/>
              <w:rPr>
                <w:rFonts w:ascii="Calibri" w:hAnsi="Calibri" w:cs="Calibri"/>
                <w:b/>
                <w:bCs/>
                <w:color w:val="FFFFFF"/>
                <w:sz w:val="22"/>
                <w:szCs w:val="22"/>
                <w:lang w:val="en-IN" w:eastAsia="en-IN"/>
              </w:rPr>
            </w:pPr>
            <w:r w:rsidRPr="00FC713F">
              <w:rPr>
                <w:rFonts w:ascii="Calibri" w:hAnsi="Calibri" w:cs="Calibri"/>
                <w:b/>
                <w:bCs/>
                <w:color w:val="FFFFFF"/>
                <w:sz w:val="22"/>
                <w:szCs w:val="22"/>
                <w:lang w:val="en-IN" w:eastAsia="en-IN"/>
              </w:rPr>
              <w:t>Rate</w:t>
            </w:r>
          </w:p>
        </w:tc>
      </w:tr>
      <w:tr w:rsidR="00FC713F" w:rsidRPr="00FC713F" w14:paraId="1F08DE8D" w14:textId="77777777" w:rsidTr="00215E56">
        <w:trPr>
          <w:trHeight w:val="130"/>
        </w:trPr>
        <w:tc>
          <w:tcPr>
            <w:tcW w:w="5665" w:type="dxa"/>
            <w:shd w:val="clear" w:color="auto" w:fill="auto"/>
            <w:vAlign w:val="center"/>
            <w:hideMark/>
          </w:tcPr>
          <w:p w14:paraId="52980915" w14:textId="3CA81A8F" w:rsidR="00FC713F" w:rsidRPr="00FC713F" w:rsidRDefault="00FC713F" w:rsidP="00B42878">
            <w:pPr>
              <w:spacing w:after="0" w:line="276" w:lineRule="auto"/>
              <w:rPr>
                <w:rFonts w:ascii="Calibri" w:hAnsi="Calibri" w:cs="Calibri"/>
                <w:color w:val="000000"/>
                <w:sz w:val="22"/>
                <w:szCs w:val="22"/>
                <w:lang w:val="en-IN" w:eastAsia="en-IN"/>
              </w:rPr>
            </w:pPr>
            <w:r w:rsidRPr="00FC713F">
              <w:rPr>
                <w:rFonts w:ascii="Calibri" w:hAnsi="Calibri" w:cs="Calibri"/>
                <w:color w:val="000000"/>
                <w:sz w:val="22"/>
                <w:szCs w:val="22"/>
                <w:lang w:val="en-IN" w:eastAsia="en-IN"/>
              </w:rPr>
              <w:t xml:space="preserve">Expected Market Return (Rm) Nifty Fifty 5-year </w:t>
            </w:r>
            <w:r w:rsidR="00215E56">
              <w:rPr>
                <w:rFonts w:ascii="Calibri" w:hAnsi="Calibri" w:cs="Calibri"/>
                <w:color w:val="000000"/>
                <w:sz w:val="22"/>
                <w:szCs w:val="22"/>
                <w:lang w:val="en-IN" w:eastAsia="en-IN"/>
              </w:rPr>
              <w:t>R</w:t>
            </w:r>
            <w:r w:rsidRPr="00FC713F">
              <w:rPr>
                <w:rFonts w:ascii="Calibri" w:hAnsi="Calibri" w:cs="Calibri"/>
                <w:color w:val="000000"/>
                <w:sz w:val="22"/>
                <w:szCs w:val="22"/>
                <w:lang w:val="en-IN" w:eastAsia="en-IN"/>
              </w:rPr>
              <w:t xml:space="preserve">eturn </w:t>
            </w:r>
          </w:p>
        </w:tc>
        <w:tc>
          <w:tcPr>
            <w:tcW w:w="1580" w:type="dxa"/>
            <w:shd w:val="clear" w:color="auto" w:fill="auto"/>
            <w:noWrap/>
            <w:vAlign w:val="center"/>
            <w:hideMark/>
          </w:tcPr>
          <w:p w14:paraId="2DA1460B" w14:textId="77777777" w:rsidR="00FC713F" w:rsidRPr="00FC713F" w:rsidRDefault="00FC713F" w:rsidP="00B42878">
            <w:pPr>
              <w:spacing w:after="0" w:line="276" w:lineRule="auto"/>
              <w:jc w:val="center"/>
              <w:rPr>
                <w:rFonts w:ascii="Calibri" w:hAnsi="Calibri" w:cs="Calibri"/>
                <w:color w:val="000000"/>
                <w:sz w:val="22"/>
                <w:szCs w:val="22"/>
                <w:lang w:val="en-IN" w:eastAsia="en-IN"/>
              </w:rPr>
            </w:pPr>
            <w:r w:rsidRPr="00FC713F">
              <w:rPr>
                <w:rFonts w:ascii="Calibri" w:hAnsi="Calibri" w:cs="Calibri"/>
                <w:color w:val="000000"/>
                <w:sz w:val="22"/>
                <w:szCs w:val="22"/>
                <w:lang w:val="en-IN" w:eastAsia="en-IN"/>
              </w:rPr>
              <w:t>15.76%</w:t>
            </w:r>
          </w:p>
        </w:tc>
      </w:tr>
      <w:tr w:rsidR="00FC713F" w:rsidRPr="00FC713F" w14:paraId="59BB276A" w14:textId="77777777" w:rsidTr="00215E56">
        <w:trPr>
          <w:trHeight w:val="300"/>
        </w:trPr>
        <w:tc>
          <w:tcPr>
            <w:tcW w:w="5665" w:type="dxa"/>
            <w:shd w:val="clear" w:color="auto" w:fill="auto"/>
            <w:noWrap/>
            <w:vAlign w:val="bottom"/>
            <w:hideMark/>
          </w:tcPr>
          <w:p w14:paraId="324E96CC" w14:textId="77777777" w:rsidR="00FC713F" w:rsidRPr="00FC713F" w:rsidRDefault="00FC713F" w:rsidP="00B42878">
            <w:pPr>
              <w:spacing w:after="0" w:line="276" w:lineRule="auto"/>
              <w:rPr>
                <w:rFonts w:ascii="Calibri" w:hAnsi="Calibri" w:cs="Calibri"/>
                <w:color w:val="000000"/>
                <w:sz w:val="22"/>
                <w:szCs w:val="22"/>
                <w:lang w:val="en-IN" w:eastAsia="en-IN"/>
              </w:rPr>
            </w:pPr>
            <w:r w:rsidRPr="00FC713F">
              <w:rPr>
                <w:rFonts w:ascii="Calibri" w:hAnsi="Calibri" w:cs="Calibri"/>
                <w:color w:val="000000"/>
                <w:sz w:val="22"/>
                <w:szCs w:val="22"/>
                <w:lang w:val="en-IN" w:eastAsia="en-IN"/>
              </w:rPr>
              <w:t>Company Risk Premium</w:t>
            </w:r>
          </w:p>
        </w:tc>
        <w:tc>
          <w:tcPr>
            <w:tcW w:w="1580" w:type="dxa"/>
            <w:shd w:val="clear" w:color="auto" w:fill="auto"/>
            <w:noWrap/>
            <w:vAlign w:val="center"/>
            <w:hideMark/>
          </w:tcPr>
          <w:p w14:paraId="0BFBE635" w14:textId="77777777" w:rsidR="00FC713F" w:rsidRPr="00FC713F" w:rsidRDefault="00FC713F" w:rsidP="00B42878">
            <w:pPr>
              <w:spacing w:after="0" w:line="276" w:lineRule="auto"/>
              <w:jc w:val="center"/>
              <w:rPr>
                <w:rFonts w:ascii="Calibri" w:hAnsi="Calibri" w:cs="Calibri"/>
                <w:color w:val="000000"/>
                <w:sz w:val="22"/>
                <w:szCs w:val="22"/>
                <w:lang w:val="en-IN" w:eastAsia="en-IN"/>
              </w:rPr>
            </w:pPr>
            <w:r w:rsidRPr="00FC713F">
              <w:rPr>
                <w:rFonts w:ascii="Calibri" w:hAnsi="Calibri" w:cs="Calibri"/>
                <w:color w:val="000000"/>
                <w:sz w:val="22"/>
                <w:szCs w:val="22"/>
                <w:lang w:val="en-IN" w:eastAsia="en-IN"/>
              </w:rPr>
              <w:t>2.00%</w:t>
            </w:r>
          </w:p>
        </w:tc>
      </w:tr>
      <w:tr w:rsidR="00FC713F" w:rsidRPr="00FC713F" w14:paraId="789502C8" w14:textId="77777777" w:rsidTr="00215E56">
        <w:trPr>
          <w:trHeight w:val="300"/>
        </w:trPr>
        <w:tc>
          <w:tcPr>
            <w:tcW w:w="5665" w:type="dxa"/>
            <w:shd w:val="clear" w:color="auto" w:fill="DEEAF6" w:themeFill="accent1" w:themeFillTint="33"/>
            <w:noWrap/>
            <w:vAlign w:val="bottom"/>
            <w:hideMark/>
          </w:tcPr>
          <w:p w14:paraId="7BE3F521" w14:textId="77777777" w:rsidR="00FC713F" w:rsidRPr="00FC713F" w:rsidRDefault="00FC713F" w:rsidP="00B42878">
            <w:pPr>
              <w:spacing w:after="0" w:line="276" w:lineRule="auto"/>
              <w:rPr>
                <w:rFonts w:ascii="Calibri" w:hAnsi="Calibri" w:cs="Calibri"/>
                <w:b/>
                <w:bCs/>
                <w:sz w:val="22"/>
                <w:szCs w:val="22"/>
                <w:lang w:val="en-IN" w:eastAsia="en-IN"/>
              </w:rPr>
            </w:pPr>
            <w:r w:rsidRPr="00FC713F">
              <w:rPr>
                <w:rFonts w:ascii="Calibri" w:hAnsi="Calibri" w:cs="Calibri"/>
                <w:b/>
                <w:bCs/>
                <w:sz w:val="22"/>
                <w:szCs w:val="22"/>
                <w:lang w:val="en-IN" w:eastAsia="en-IN"/>
              </w:rPr>
              <w:t>Appropriate Discount Rate</w:t>
            </w:r>
          </w:p>
        </w:tc>
        <w:tc>
          <w:tcPr>
            <w:tcW w:w="1580" w:type="dxa"/>
            <w:shd w:val="clear" w:color="auto" w:fill="DEEAF6" w:themeFill="accent1" w:themeFillTint="33"/>
            <w:noWrap/>
            <w:vAlign w:val="center"/>
            <w:hideMark/>
          </w:tcPr>
          <w:p w14:paraId="733FFB35" w14:textId="77777777" w:rsidR="00FC713F" w:rsidRPr="00FC713F" w:rsidRDefault="00FC713F" w:rsidP="00B42878">
            <w:pPr>
              <w:spacing w:after="0" w:line="276" w:lineRule="auto"/>
              <w:jc w:val="center"/>
              <w:rPr>
                <w:rFonts w:ascii="Calibri" w:hAnsi="Calibri" w:cs="Calibri"/>
                <w:b/>
                <w:bCs/>
                <w:sz w:val="22"/>
                <w:szCs w:val="22"/>
                <w:lang w:val="en-IN" w:eastAsia="en-IN"/>
              </w:rPr>
            </w:pPr>
            <w:r w:rsidRPr="00FC713F">
              <w:rPr>
                <w:rFonts w:ascii="Calibri" w:hAnsi="Calibri" w:cs="Calibri"/>
                <w:b/>
                <w:bCs/>
                <w:sz w:val="22"/>
                <w:szCs w:val="22"/>
                <w:lang w:val="en-IN" w:eastAsia="en-IN"/>
              </w:rPr>
              <w:t>17.76%</w:t>
            </w:r>
          </w:p>
        </w:tc>
      </w:tr>
    </w:tbl>
    <w:p w14:paraId="0ABE5ED9" w14:textId="38BDBE00" w:rsidR="0008705A" w:rsidRDefault="00D37249" w:rsidP="00911831">
      <w:pPr>
        <w:pStyle w:val="ListParagraph"/>
        <w:spacing w:after="0" w:line="240" w:lineRule="auto"/>
        <w:ind w:left="1134" w:right="1111"/>
        <w:jc w:val="both"/>
        <w:rPr>
          <w:rFonts w:ascii="Arial" w:hAnsi="Arial" w:cs="Arial"/>
          <w:i/>
          <w:sz w:val="20"/>
          <w:szCs w:val="20"/>
        </w:rPr>
      </w:pPr>
      <w:r w:rsidRPr="00D37249">
        <w:rPr>
          <w:rFonts w:ascii="Arial" w:hAnsi="Arial" w:cs="Arial"/>
          <w:b/>
          <w:i/>
          <w:sz w:val="20"/>
          <w:szCs w:val="22"/>
        </w:rPr>
        <w:t xml:space="preserve">Note: </w:t>
      </w:r>
      <w:r w:rsidR="0008705A" w:rsidRPr="00D37249">
        <w:rPr>
          <w:rFonts w:ascii="Arial" w:hAnsi="Arial" w:cs="Arial"/>
          <w:i/>
          <w:sz w:val="20"/>
          <w:szCs w:val="20"/>
        </w:rPr>
        <w:t xml:space="preserve">Discount Rate Change of </w:t>
      </w:r>
      <w:r w:rsidR="0079596E">
        <w:rPr>
          <w:rFonts w:ascii="Arial" w:hAnsi="Arial" w:cs="Arial"/>
          <w:i/>
          <w:sz w:val="20"/>
          <w:szCs w:val="20"/>
        </w:rPr>
        <w:t>1</w:t>
      </w:r>
      <w:r w:rsidR="0008705A" w:rsidRPr="00D37249">
        <w:rPr>
          <w:rFonts w:ascii="Arial" w:hAnsi="Arial" w:cs="Arial"/>
          <w:i/>
          <w:sz w:val="20"/>
          <w:szCs w:val="20"/>
        </w:rPr>
        <w:t>% is used to calculate the Sensitivity of the Enterprise Valuation with +/- changes in d</w:t>
      </w:r>
      <w:r w:rsidR="00826EDC" w:rsidRPr="00D37249">
        <w:rPr>
          <w:rFonts w:ascii="Arial" w:hAnsi="Arial" w:cs="Arial"/>
          <w:i/>
          <w:sz w:val="20"/>
          <w:szCs w:val="20"/>
        </w:rPr>
        <w:t>iscount rate.</w:t>
      </w:r>
    </w:p>
    <w:p w14:paraId="0972369F" w14:textId="77777777" w:rsidR="00911831" w:rsidRPr="00911831" w:rsidRDefault="00911831" w:rsidP="00911831">
      <w:pPr>
        <w:pStyle w:val="ListParagraph"/>
        <w:spacing w:after="0" w:line="240" w:lineRule="auto"/>
        <w:ind w:left="1134" w:right="1111"/>
        <w:jc w:val="both"/>
        <w:rPr>
          <w:rFonts w:ascii="Arial" w:hAnsi="Arial" w:cs="Arial"/>
          <w:sz w:val="22"/>
          <w:szCs w:val="20"/>
        </w:rPr>
      </w:pPr>
    </w:p>
    <w:p w14:paraId="4AA3609B" w14:textId="7D1EB1D6" w:rsidR="008F05EA" w:rsidRDefault="008F05EA" w:rsidP="00911831">
      <w:pPr>
        <w:pStyle w:val="Default"/>
        <w:numPr>
          <w:ilvl w:val="0"/>
          <w:numId w:val="19"/>
        </w:numPr>
        <w:ind w:left="142" w:right="16" w:hanging="426"/>
        <w:jc w:val="both"/>
        <w:rPr>
          <w:b/>
          <w:sz w:val="22"/>
          <w:szCs w:val="22"/>
        </w:rPr>
      </w:pPr>
      <w:r>
        <w:rPr>
          <w:b/>
          <w:sz w:val="22"/>
          <w:szCs w:val="22"/>
        </w:rPr>
        <w:t>VALUATION OF NON-CORE ASSETS:</w:t>
      </w:r>
    </w:p>
    <w:p w14:paraId="1D9946BF" w14:textId="2DB2C367" w:rsidR="008F05EA" w:rsidRDefault="008F05EA" w:rsidP="004B1CA8">
      <w:pPr>
        <w:pStyle w:val="Default"/>
        <w:spacing w:before="240" w:after="240" w:line="360" w:lineRule="auto"/>
        <w:ind w:left="142" w:right="-23"/>
        <w:jc w:val="both"/>
        <w:rPr>
          <w:bCs/>
          <w:sz w:val="22"/>
          <w:szCs w:val="22"/>
        </w:rPr>
      </w:pPr>
      <w:r>
        <w:rPr>
          <w:bCs/>
          <w:sz w:val="22"/>
          <w:szCs w:val="22"/>
        </w:rPr>
        <w:t xml:space="preserve">As per the data/information shared with us, the company had </w:t>
      </w:r>
      <w:r w:rsidR="003253AF">
        <w:rPr>
          <w:bCs/>
          <w:sz w:val="22"/>
          <w:szCs w:val="22"/>
        </w:rPr>
        <w:t>the following Non-Core Assets as on the 30-09-2024:</w:t>
      </w:r>
    </w:p>
    <w:tbl>
      <w:tblPr>
        <w:tblW w:w="580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487"/>
      </w:tblGrid>
      <w:tr w:rsidR="003253AF" w:rsidRPr="003253AF" w14:paraId="75D3DBCC" w14:textId="77777777" w:rsidTr="003253AF">
        <w:trPr>
          <w:trHeight w:val="300"/>
        </w:trPr>
        <w:tc>
          <w:tcPr>
            <w:tcW w:w="3320" w:type="dxa"/>
            <w:shd w:val="clear" w:color="000000" w:fill="002060"/>
            <w:noWrap/>
            <w:vAlign w:val="bottom"/>
            <w:hideMark/>
          </w:tcPr>
          <w:p w14:paraId="47C7DE19" w14:textId="77777777" w:rsidR="003253AF" w:rsidRPr="003253AF" w:rsidRDefault="003253AF" w:rsidP="003253AF">
            <w:pPr>
              <w:spacing w:after="0" w:line="360" w:lineRule="auto"/>
              <w:rPr>
                <w:rFonts w:ascii="Calibri" w:hAnsi="Calibri" w:cs="Calibri"/>
                <w:b/>
                <w:bCs/>
                <w:color w:val="FFFFFF"/>
                <w:sz w:val="22"/>
                <w:szCs w:val="22"/>
                <w:lang w:val="en-IN" w:eastAsia="en-IN"/>
              </w:rPr>
            </w:pPr>
            <w:r w:rsidRPr="003253AF">
              <w:rPr>
                <w:rFonts w:ascii="Calibri" w:hAnsi="Calibri" w:cs="Calibri"/>
                <w:b/>
                <w:bCs/>
                <w:color w:val="FFFFFF"/>
                <w:sz w:val="22"/>
                <w:szCs w:val="22"/>
                <w:lang w:val="en-IN" w:eastAsia="en-IN"/>
              </w:rPr>
              <w:t>Non-Core Assets</w:t>
            </w:r>
          </w:p>
        </w:tc>
        <w:tc>
          <w:tcPr>
            <w:tcW w:w="2487" w:type="dxa"/>
            <w:shd w:val="clear" w:color="000000" w:fill="002060"/>
            <w:noWrap/>
            <w:vAlign w:val="center"/>
            <w:hideMark/>
          </w:tcPr>
          <w:p w14:paraId="59A04DC1" w14:textId="09FC06F2" w:rsidR="003253AF" w:rsidRPr="003253AF" w:rsidRDefault="004C1C3E" w:rsidP="003253AF">
            <w:pPr>
              <w:spacing w:after="0" w:line="36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 (</w:t>
            </w:r>
            <w:r w:rsidR="003253AF">
              <w:rPr>
                <w:rFonts w:ascii="Calibri" w:hAnsi="Calibri" w:cs="Calibri"/>
                <w:b/>
                <w:bCs/>
                <w:color w:val="FFFFFF"/>
                <w:sz w:val="22"/>
                <w:szCs w:val="22"/>
                <w:lang w:val="en-IN" w:eastAsia="en-IN"/>
              </w:rPr>
              <w:t>INR Crores)</w:t>
            </w:r>
          </w:p>
        </w:tc>
      </w:tr>
      <w:tr w:rsidR="003253AF" w:rsidRPr="003253AF" w14:paraId="5962144D" w14:textId="77777777" w:rsidTr="003253AF">
        <w:trPr>
          <w:trHeight w:val="300"/>
        </w:trPr>
        <w:tc>
          <w:tcPr>
            <w:tcW w:w="3320" w:type="dxa"/>
            <w:shd w:val="clear" w:color="auto" w:fill="auto"/>
            <w:noWrap/>
            <w:vAlign w:val="center"/>
            <w:hideMark/>
          </w:tcPr>
          <w:p w14:paraId="5BA41685" w14:textId="77777777" w:rsidR="003253AF" w:rsidRPr="003253AF" w:rsidRDefault="003253AF" w:rsidP="003253AF">
            <w:pPr>
              <w:spacing w:after="0" w:line="360" w:lineRule="auto"/>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Building</w:t>
            </w:r>
          </w:p>
        </w:tc>
        <w:tc>
          <w:tcPr>
            <w:tcW w:w="2487" w:type="dxa"/>
            <w:shd w:val="clear" w:color="auto" w:fill="auto"/>
            <w:noWrap/>
            <w:vAlign w:val="center"/>
            <w:hideMark/>
          </w:tcPr>
          <w:p w14:paraId="4100DE6F" w14:textId="5D397213" w:rsidR="003253AF" w:rsidRPr="003253AF" w:rsidRDefault="003253AF" w:rsidP="003253AF">
            <w:pPr>
              <w:spacing w:after="0" w:line="360" w:lineRule="auto"/>
              <w:jc w:val="center"/>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36.75</w:t>
            </w:r>
          </w:p>
        </w:tc>
      </w:tr>
      <w:tr w:rsidR="003253AF" w:rsidRPr="003253AF" w14:paraId="7E40C0E8" w14:textId="77777777" w:rsidTr="003253AF">
        <w:trPr>
          <w:trHeight w:val="300"/>
        </w:trPr>
        <w:tc>
          <w:tcPr>
            <w:tcW w:w="3320" w:type="dxa"/>
            <w:shd w:val="clear" w:color="auto" w:fill="auto"/>
            <w:noWrap/>
            <w:vAlign w:val="center"/>
            <w:hideMark/>
          </w:tcPr>
          <w:p w14:paraId="22B1AEDB" w14:textId="77777777" w:rsidR="003253AF" w:rsidRPr="003253AF" w:rsidRDefault="003253AF" w:rsidP="003253AF">
            <w:pPr>
              <w:spacing w:after="0" w:line="360" w:lineRule="auto"/>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Office Equipment</w:t>
            </w:r>
          </w:p>
        </w:tc>
        <w:tc>
          <w:tcPr>
            <w:tcW w:w="2487" w:type="dxa"/>
            <w:shd w:val="clear" w:color="auto" w:fill="auto"/>
            <w:noWrap/>
            <w:vAlign w:val="center"/>
            <w:hideMark/>
          </w:tcPr>
          <w:p w14:paraId="158DDC15" w14:textId="6D345AB4" w:rsidR="003253AF" w:rsidRPr="003253AF" w:rsidRDefault="003253AF" w:rsidP="003253AF">
            <w:pPr>
              <w:spacing w:after="0" w:line="360" w:lineRule="auto"/>
              <w:jc w:val="center"/>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0.35</w:t>
            </w:r>
          </w:p>
        </w:tc>
      </w:tr>
      <w:tr w:rsidR="003253AF" w:rsidRPr="003253AF" w14:paraId="68036183" w14:textId="77777777" w:rsidTr="003253AF">
        <w:trPr>
          <w:trHeight w:val="300"/>
        </w:trPr>
        <w:tc>
          <w:tcPr>
            <w:tcW w:w="3320" w:type="dxa"/>
            <w:shd w:val="clear" w:color="auto" w:fill="auto"/>
            <w:noWrap/>
            <w:vAlign w:val="center"/>
            <w:hideMark/>
          </w:tcPr>
          <w:p w14:paraId="153575BA" w14:textId="77777777" w:rsidR="003253AF" w:rsidRPr="003253AF" w:rsidRDefault="003253AF" w:rsidP="003253AF">
            <w:pPr>
              <w:spacing w:after="0" w:line="360" w:lineRule="auto"/>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Furniture &amp; Fixtures</w:t>
            </w:r>
          </w:p>
        </w:tc>
        <w:tc>
          <w:tcPr>
            <w:tcW w:w="2487" w:type="dxa"/>
            <w:shd w:val="clear" w:color="auto" w:fill="auto"/>
            <w:noWrap/>
            <w:vAlign w:val="center"/>
            <w:hideMark/>
          </w:tcPr>
          <w:p w14:paraId="3EF21459" w14:textId="6E4364F8" w:rsidR="003253AF" w:rsidRPr="003253AF" w:rsidRDefault="003253AF" w:rsidP="003253AF">
            <w:pPr>
              <w:spacing w:after="0" w:line="360" w:lineRule="auto"/>
              <w:jc w:val="center"/>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1.42</w:t>
            </w:r>
          </w:p>
        </w:tc>
      </w:tr>
      <w:tr w:rsidR="003253AF" w:rsidRPr="003253AF" w14:paraId="2C0ADDF9" w14:textId="77777777" w:rsidTr="003253AF">
        <w:trPr>
          <w:trHeight w:val="300"/>
        </w:trPr>
        <w:tc>
          <w:tcPr>
            <w:tcW w:w="3320" w:type="dxa"/>
            <w:shd w:val="clear" w:color="auto" w:fill="auto"/>
            <w:noWrap/>
            <w:vAlign w:val="center"/>
            <w:hideMark/>
          </w:tcPr>
          <w:p w14:paraId="64C0CDDB" w14:textId="77777777" w:rsidR="003253AF" w:rsidRPr="003253AF" w:rsidRDefault="003253AF" w:rsidP="003253AF">
            <w:pPr>
              <w:spacing w:after="0" w:line="360" w:lineRule="auto"/>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Vehicles</w:t>
            </w:r>
          </w:p>
        </w:tc>
        <w:tc>
          <w:tcPr>
            <w:tcW w:w="2487" w:type="dxa"/>
            <w:shd w:val="clear" w:color="auto" w:fill="auto"/>
            <w:noWrap/>
            <w:vAlign w:val="center"/>
            <w:hideMark/>
          </w:tcPr>
          <w:p w14:paraId="53A640A5" w14:textId="5BB8B90C" w:rsidR="003253AF" w:rsidRPr="003253AF" w:rsidRDefault="003253AF" w:rsidP="003253AF">
            <w:pPr>
              <w:spacing w:after="0" w:line="360" w:lineRule="auto"/>
              <w:jc w:val="center"/>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0.34</w:t>
            </w:r>
          </w:p>
        </w:tc>
      </w:tr>
      <w:tr w:rsidR="003253AF" w:rsidRPr="003253AF" w14:paraId="563A3A15" w14:textId="77777777" w:rsidTr="003253AF">
        <w:trPr>
          <w:trHeight w:val="300"/>
        </w:trPr>
        <w:tc>
          <w:tcPr>
            <w:tcW w:w="3320" w:type="dxa"/>
            <w:shd w:val="clear" w:color="auto" w:fill="auto"/>
            <w:noWrap/>
            <w:vAlign w:val="center"/>
            <w:hideMark/>
          </w:tcPr>
          <w:p w14:paraId="37F25FBE" w14:textId="77777777" w:rsidR="003253AF" w:rsidRPr="003253AF" w:rsidRDefault="003253AF" w:rsidP="003253AF">
            <w:pPr>
              <w:spacing w:after="0" w:line="360" w:lineRule="auto"/>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Software License</w:t>
            </w:r>
          </w:p>
        </w:tc>
        <w:tc>
          <w:tcPr>
            <w:tcW w:w="2487" w:type="dxa"/>
            <w:shd w:val="clear" w:color="auto" w:fill="auto"/>
            <w:noWrap/>
            <w:vAlign w:val="center"/>
            <w:hideMark/>
          </w:tcPr>
          <w:p w14:paraId="684FBE08" w14:textId="07612870" w:rsidR="003253AF" w:rsidRPr="003253AF" w:rsidRDefault="003253AF" w:rsidP="003253AF">
            <w:pPr>
              <w:spacing w:after="0" w:line="360" w:lineRule="auto"/>
              <w:jc w:val="center"/>
              <w:rPr>
                <w:rFonts w:ascii="Calibri" w:hAnsi="Calibri" w:cs="Calibri"/>
                <w:color w:val="000000"/>
                <w:sz w:val="22"/>
                <w:szCs w:val="22"/>
                <w:lang w:val="en-IN" w:eastAsia="en-IN"/>
              </w:rPr>
            </w:pPr>
            <w:r w:rsidRPr="003253AF">
              <w:rPr>
                <w:rFonts w:ascii="Calibri" w:hAnsi="Calibri" w:cs="Calibri"/>
                <w:color w:val="000000"/>
                <w:sz w:val="22"/>
                <w:szCs w:val="22"/>
                <w:lang w:val="en-IN" w:eastAsia="en-IN"/>
              </w:rPr>
              <w:t>0.88</w:t>
            </w:r>
          </w:p>
        </w:tc>
      </w:tr>
      <w:tr w:rsidR="003253AF" w:rsidRPr="003253AF" w14:paraId="0EE24BC9" w14:textId="77777777" w:rsidTr="003253AF">
        <w:trPr>
          <w:trHeight w:val="300"/>
        </w:trPr>
        <w:tc>
          <w:tcPr>
            <w:tcW w:w="3320" w:type="dxa"/>
            <w:shd w:val="clear" w:color="000000" w:fill="DDEBF7"/>
            <w:noWrap/>
            <w:vAlign w:val="center"/>
            <w:hideMark/>
          </w:tcPr>
          <w:p w14:paraId="12D3172A" w14:textId="77777777" w:rsidR="003253AF" w:rsidRPr="003253AF" w:rsidRDefault="003253AF" w:rsidP="003253AF">
            <w:pPr>
              <w:spacing w:after="0" w:line="360" w:lineRule="auto"/>
              <w:rPr>
                <w:rFonts w:ascii="Calibri" w:hAnsi="Calibri" w:cs="Calibri"/>
                <w:b/>
                <w:bCs/>
                <w:color w:val="000000"/>
                <w:sz w:val="22"/>
                <w:szCs w:val="22"/>
                <w:lang w:val="en-IN" w:eastAsia="en-IN"/>
              </w:rPr>
            </w:pPr>
            <w:r w:rsidRPr="003253AF">
              <w:rPr>
                <w:rFonts w:ascii="Calibri" w:hAnsi="Calibri" w:cs="Calibri"/>
                <w:b/>
                <w:bCs/>
                <w:color w:val="000000"/>
                <w:sz w:val="22"/>
                <w:szCs w:val="22"/>
                <w:lang w:val="en-IN" w:eastAsia="en-IN"/>
              </w:rPr>
              <w:t>Total</w:t>
            </w:r>
          </w:p>
        </w:tc>
        <w:tc>
          <w:tcPr>
            <w:tcW w:w="2487" w:type="dxa"/>
            <w:shd w:val="clear" w:color="000000" w:fill="DDEBF7"/>
            <w:noWrap/>
            <w:vAlign w:val="center"/>
            <w:hideMark/>
          </w:tcPr>
          <w:p w14:paraId="472C7070" w14:textId="31218687" w:rsidR="003253AF" w:rsidRPr="003253AF" w:rsidRDefault="003253AF" w:rsidP="003253AF">
            <w:pPr>
              <w:spacing w:after="0" w:line="360" w:lineRule="auto"/>
              <w:jc w:val="center"/>
              <w:rPr>
                <w:rFonts w:ascii="Calibri" w:hAnsi="Calibri" w:cs="Calibri"/>
                <w:b/>
                <w:bCs/>
                <w:color w:val="000000"/>
                <w:sz w:val="22"/>
                <w:szCs w:val="22"/>
                <w:lang w:val="en-IN" w:eastAsia="en-IN"/>
              </w:rPr>
            </w:pPr>
            <w:r w:rsidRPr="003253AF">
              <w:rPr>
                <w:rFonts w:ascii="Calibri" w:hAnsi="Calibri" w:cs="Calibri"/>
                <w:b/>
                <w:bCs/>
                <w:color w:val="000000"/>
                <w:sz w:val="22"/>
                <w:szCs w:val="22"/>
                <w:lang w:val="en-IN" w:eastAsia="en-IN"/>
              </w:rPr>
              <w:t>39.73</w:t>
            </w:r>
          </w:p>
        </w:tc>
      </w:tr>
    </w:tbl>
    <w:p w14:paraId="3DFF07D5" w14:textId="2FA52BFF" w:rsidR="003253AF" w:rsidRDefault="003253AF" w:rsidP="008F05EA">
      <w:pPr>
        <w:pStyle w:val="Default"/>
        <w:spacing w:line="360" w:lineRule="auto"/>
        <w:ind w:left="142" w:right="16"/>
        <w:jc w:val="both"/>
        <w:rPr>
          <w:bCs/>
          <w:sz w:val="22"/>
          <w:szCs w:val="22"/>
        </w:rPr>
      </w:pPr>
    </w:p>
    <w:p w14:paraId="1C9398BE" w14:textId="40CC999B" w:rsidR="003253AF" w:rsidRDefault="003253AF" w:rsidP="004B1CA8">
      <w:pPr>
        <w:pStyle w:val="Default"/>
        <w:spacing w:line="360" w:lineRule="auto"/>
        <w:ind w:left="142" w:right="-23"/>
        <w:jc w:val="both"/>
        <w:rPr>
          <w:b/>
          <w:bCs/>
          <w:sz w:val="22"/>
          <w:szCs w:val="22"/>
          <w:lang w:val="en-US"/>
        </w:rPr>
      </w:pPr>
      <w:r w:rsidRPr="003253AF">
        <w:rPr>
          <w:bCs/>
          <w:sz w:val="22"/>
          <w:szCs w:val="22"/>
          <w:lang w:val="en-US"/>
        </w:rPr>
        <w:t xml:space="preserve">For the purpose of Enterprise Valuation, the fair value of </w:t>
      </w:r>
      <w:r w:rsidRPr="003253AF">
        <w:rPr>
          <w:sz w:val="22"/>
          <w:szCs w:val="22"/>
          <w:lang w:val="en-US"/>
        </w:rPr>
        <w:t>Non-Core Assets</w:t>
      </w:r>
      <w:r w:rsidRPr="003253AF">
        <w:rPr>
          <w:bCs/>
          <w:sz w:val="22"/>
          <w:szCs w:val="22"/>
          <w:lang w:val="en-US"/>
        </w:rPr>
        <w:t xml:space="preserve"> of GTL Infrastructure Limited is considered at 50% of the book value as of 30.09.2024. This valuation accounts for factors such as lower marketability and liquidity, depreciation and impairment over time, and prevailing market conditions that typically result in reduced realizable value. Additionally, the potential risk of a distressed sale and past industry transactions indicate that non-core assets often sell at significant discounts. Applying a 50% discount ensures a conservative and realistic estimation aligned with industry norms and best valuation practices.</w:t>
      </w:r>
      <w:r w:rsidRPr="003253AF">
        <w:rPr>
          <w:b/>
          <w:bCs/>
          <w:sz w:val="22"/>
          <w:szCs w:val="22"/>
          <w:lang w:val="en-US"/>
        </w:rPr>
        <w:t xml:space="preserve"> </w:t>
      </w:r>
      <w:r>
        <w:rPr>
          <w:b/>
          <w:bCs/>
          <w:sz w:val="22"/>
          <w:szCs w:val="22"/>
          <w:lang w:val="en-US"/>
        </w:rPr>
        <w:t>Hence, the fair value of Non-Core Assets is INR 19.87 Crores.</w:t>
      </w:r>
    </w:p>
    <w:p w14:paraId="65D1077F" w14:textId="77777777" w:rsidR="003253AF" w:rsidRPr="003253AF" w:rsidRDefault="003253AF" w:rsidP="003253AF">
      <w:pPr>
        <w:pStyle w:val="Default"/>
        <w:spacing w:line="360" w:lineRule="auto"/>
        <w:ind w:left="142" w:right="16"/>
        <w:jc w:val="both"/>
        <w:rPr>
          <w:b/>
          <w:sz w:val="22"/>
          <w:szCs w:val="22"/>
        </w:rPr>
      </w:pPr>
    </w:p>
    <w:p w14:paraId="6486A2C4" w14:textId="6EA7206B" w:rsidR="0008705A" w:rsidRPr="0098039F" w:rsidRDefault="00600E0E" w:rsidP="00B07001">
      <w:pPr>
        <w:pStyle w:val="Default"/>
        <w:numPr>
          <w:ilvl w:val="0"/>
          <w:numId w:val="19"/>
        </w:numPr>
        <w:spacing w:line="360" w:lineRule="auto"/>
        <w:ind w:left="142" w:right="-23" w:hanging="426"/>
        <w:jc w:val="both"/>
        <w:rPr>
          <w:b/>
          <w:sz w:val="22"/>
          <w:szCs w:val="22"/>
        </w:rPr>
      </w:pPr>
      <w:r>
        <w:rPr>
          <w:b/>
          <w:sz w:val="22"/>
          <w:szCs w:val="22"/>
        </w:rPr>
        <w:t>C</w:t>
      </w:r>
      <w:r w:rsidR="0008705A" w:rsidRPr="0098039F">
        <w:rPr>
          <w:b/>
          <w:sz w:val="22"/>
          <w:szCs w:val="22"/>
        </w:rPr>
        <w:t>ALCULATION OF ENTERPRISE VALUE</w:t>
      </w:r>
      <w:r w:rsidR="008E1BCD" w:rsidRPr="0098039F">
        <w:rPr>
          <w:b/>
          <w:sz w:val="22"/>
          <w:szCs w:val="22"/>
        </w:rPr>
        <w:t>:</w:t>
      </w:r>
    </w:p>
    <w:p w14:paraId="6F585C99" w14:textId="6726BBDB" w:rsidR="007B49D4" w:rsidRPr="00D730EB" w:rsidRDefault="007B49D4" w:rsidP="009A48EC">
      <w:pPr>
        <w:pStyle w:val="ListParagraph"/>
        <w:spacing w:after="0" w:line="240" w:lineRule="auto"/>
        <w:ind w:left="0" w:right="-23"/>
        <w:jc w:val="right"/>
        <w:rPr>
          <w:rFonts w:ascii="Arial" w:hAnsi="Arial" w:cs="Arial"/>
          <w:b/>
          <w:sz w:val="22"/>
          <w:szCs w:val="22"/>
          <w:u w:val="single"/>
          <w:lang w:val="en-IN"/>
        </w:rPr>
      </w:pPr>
      <w:r w:rsidRPr="007B49D4">
        <w:rPr>
          <w:rFonts w:ascii="Arial" w:hAnsi="Arial" w:cs="Arial"/>
          <w:sz w:val="18"/>
          <w:szCs w:val="22"/>
          <w:lang w:val="en-IN"/>
        </w:rPr>
        <w:t xml:space="preserve">                                                                                                                  (Value in </w:t>
      </w:r>
      <w:r w:rsidR="004149CC">
        <w:rPr>
          <w:rFonts w:ascii="Arial" w:hAnsi="Arial" w:cs="Arial"/>
          <w:sz w:val="18"/>
          <w:szCs w:val="22"/>
          <w:lang w:val="en-IN"/>
        </w:rPr>
        <w:t>INR</w:t>
      </w:r>
      <w:r w:rsidRPr="007B49D4">
        <w:rPr>
          <w:rFonts w:ascii="Arial" w:hAnsi="Arial" w:cs="Arial"/>
          <w:sz w:val="18"/>
          <w:szCs w:val="22"/>
          <w:lang w:val="en-IN"/>
        </w:rPr>
        <w:t xml:space="preserve"> </w:t>
      </w:r>
      <w:r w:rsidR="00751B50">
        <w:rPr>
          <w:rFonts w:ascii="Arial" w:hAnsi="Arial" w:cs="Arial"/>
          <w:sz w:val="18"/>
          <w:szCs w:val="22"/>
          <w:lang w:val="en-IN"/>
        </w:rPr>
        <w:t>Crore</w:t>
      </w:r>
      <w:r w:rsidR="005B69A9">
        <w:rPr>
          <w:rFonts w:ascii="Arial" w:hAnsi="Arial" w:cs="Arial"/>
          <w:sz w:val="18"/>
          <w:szCs w:val="22"/>
          <w:lang w:val="en-IN"/>
        </w:rPr>
        <w:t>s</w:t>
      </w:r>
      <w:r w:rsidRPr="007B49D4">
        <w:rPr>
          <w:rFonts w:ascii="Arial" w:hAnsi="Arial" w:cs="Arial"/>
          <w:sz w:val="18"/>
          <w:szCs w:val="22"/>
          <w:lang w:val="en-IN"/>
        </w:rPr>
        <w:t>)</w:t>
      </w:r>
    </w:p>
    <w:tbl>
      <w:tblPr>
        <w:tblStyle w:val="TableGrid1"/>
        <w:tblW w:w="4943" w:type="pct"/>
        <w:tblInd w:w="137" w:type="dxa"/>
        <w:tblLook w:val="04A0" w:firstRow="1" w:lastRow="0" w:firstColumn="1" w:lastColumn="0" w:noHBand="0" w:noVBand="1"/>
      </w:tblPr>
      <w:tblGrid>
        <w:gridCol w:w="5245"/>
        <w:gridCol w:w="1370"/>
        <w:gridCol w:w="1372"/>
        <w:gridCol w:w="1370"/>
      </w:tblGrid>
      <w:tr w:rsidR="004A297B" w:rsidRPr="0098039F" w14:paraId="07A42713" w14:textId="77777777" w:rsidTr="003253AF">
        <w:trPr>
          <w:trHeight w:val="423"/>
        </w:trPr>
        <w:tc>
          <w:tcPr>
            <w:tcW w:w="2803" w:type="pct"/>
            <w:shd w:val="clear" w:color="auto" w:fill="002060"/>
            <w:noWrap/>
            <w:hideMark/>
          </w:tcPr>
          <w:p w14:paraId="2BE53DC3" w14:textId="77777777" w:rsidR="004A297B" w:rsidRPr="0098039F" w:rsidRDefault="004A297B" w:rsidP="009A48EC">
            <w:pPr>
              <w:spacing w:line="360" w:lineRule="auto"/>
              <w:rPr>
                <w:rFonts w:asciiTheme="minorHAnsi" w:hAnsiTheme="minorHAnsi" w:cstheme="minorHAnsi"/>
                <w:b/>
                <w:bCs/>
                <w:color w:val="FFFFFF" w:themeColor="background1"/>
                <w:sz w:val="22"/>
                <w:szCs w:val="22"/>
                <w:lang w:val="en-IN" w:eastAsia="en-IN"/>
              </w:rPr>
            </w:pPr>
            <w:r w:rsidRPr="0098039F">
              <w:rPr>
                <w:rFonts w:asciiTheme="minorHAnsi" w:hAnsiTheme="minorHAnsi" w:cstheme="minorHAnsi"/>
                <w:b/>
                <w:bCs/>
                <w:color w:val="FFFFFF" w:themeColor="background1"/>
                <w:sz w:val="22"/>
                <w:szCs w:val="22"/>
                <w:lang w:val="en-IN" w:eastAsia="en-IN"/>
              </w:rPr>
              <w:t>Discount Rate</w:t>
            </w:r>
          </w:p>
        </w:tc>
        <w:tc>
          <w:tcPr>
            <w:tcW w:w="732" w:type="pct"/>
            <w:shd w:val="clear" w:color="auto" w:fill="002060"/>
            <w:noWrap/>
          </w:tcPr>
          <w:p w14:paraId="147F3623" w14:textId="31EFA17F"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215E56">
              <w:rPr>
                <w:rFonts w:asciiTheme="minorHAnsi" w:hAnsiTheme="minorHAnsi" w:cstheme="minorHAnsi"/>
                <w:b/>
                <w:color w:val="FFFFFF" w:themeColor="background1"/>
                <w:sz w:val="22"/>
                <w:szCs w:val="22"/>
                <w:lang w:val="en-IN" w:eastAsia="en-IN"/>
              </w:rPr>
              <w:t>6</w:t>
            </w:r>
            <w:r w:rsidR="00A226D6">
              <w:rPr>
                <w:rFonts w:asciiTheme="minorHAnsi" w:hAnsiTheme="minorHAnsi" w:cstheme="minorHAnsi"/>
                <w:b/>
                <w:color w:val="FFFFFF" w:themeColor="background1"/>
                <w:sz w:val="22"/>
                <w:szCs w:val="22"/>
                <w:lang w:val="en-IN" w:eastAsia="en-IN"/>
              </w:rPr>
              <w:t>.</w:t>
            </w:r>
            <w:r w:rsidR="00215E56">
              <w:rPr>
                <w:rFonts w:asciiTheme="minorHAnsi" w:hAnsiTheme="minorHAnsi" w:cstheme="minorHAnsi"/>
                <w:b/>
                <w:color w:val="FFFFFF" w:themeColor="background1"/>
                <w:sz w:val="22"/>
                <w:szCs w:val="22"/>
                <w:lang w:val="en-IN" w:eastAsia="en-IN"/>
              </w:rPr>
              <w:t>76</w:t>
            </w:r>
            <w:r w:rsidR="00D730EB" w:rsidRPr="0098039F">
              <w:rPr>
                <w:rFonts w:asciiTheme="minorHAnsi" w:hAnsiTheme="minorHAnsi" w:cstheme="minorHAnsi"/>
                <w:b/>
                <w:color w:val="FFFFFF" w:themeColor="background1"/>
                <w:sz w:val="22"/>
                <w:szCs w:val="22"/>
                <w:lang w:val="en-IN" w:eastAsia="en-IN"/>
              </w:rPr>
              <w:t>%</w:t>
            </w:r>
          </w:p>
        </w:tc>
        <w:tc>
          <w:tcPr>
            <w:tcW w:w="733" w:type="pct"/>
            <w:shd w:val="clear" w:color="auto" w:fill="002060"/>
            <w:noWrap/>
          </w:tcPr>
          <w:p w14:paraId="6F4C9D73" w14:textId="7BB2B73B" w:rsidR="004A297B" w:rsidRPr="0098039F" w:rsidRDefault="00215E56"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17.76</w:t>
            </w:r>
            <w:r w:rsidR="00D730EB" w:rsidRPr="0098039F">
              <w:rPr>
                <w:rFonts w:asciiTheme="minorHAnsi" w:hAnsiTheme="minorHAnsi" w:cstheme="minorHAnsi"/>
                <w:b/>
                <w:color w:val="FFFFFF" w:themeColor="background1"/>
                <w:sz w:val="22"/>
                <w:szCs w:val="22"/>
                <w:lang w:val="en-IN" w:eastAsia="en-IN"/>
              </w:rPr>
              <w:t>%</w:t>
            </w:r>
          </w:p>
        </w:tc>
        <w:tc>
          <w:tcPr>
            <w:tcW w:w="732" w:type="pct"/>
            <w:shd w:val="clear" w:color="auto" w:fill="002060"/>
            <w:noWrap/>
          </w:tcPr>
          <w:p w14:paraId="69414294" w14:textId="531B3405"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215E56">
              <w:rPr>
                <w:rFonts w:asciiTheme="minorHAnsi" w:hAnsiTheme="minorHAnsi" w:cstheme="minorHAnsi"/>
                <w:b/>
                <w:color w:val="FFFFFF" w:themeColor="background1"/>
                <w:sz w:val="22"/>
                <w:szCs w:val="22"/>
                <w:lang w:val="en-IN" w:eastAsia="en-IN"/>
              </w:rPr>
              <w:t>8.76</w:t>
            </w:r>
            <w:r w:rsidR="00D730EB" w:rsidRPr="0098039F">
              <w:rPr>
                <w:rFonts w:asciiTheme="minorHAnsi" w:hAnsiTheme="minorHAnsi" w:cstheme="minorHAnsi"/>
                <w:b/>
                <w:color w:val="FFFFFF" w:themeColor="background1"/>
                <w:sz w:val="22"/>
                <w:szCs w:val="22"/>
                <w:lang w:val="en-IN" w:eastAsia="en-IN"/>
              </w:rPr>
              <w:t>%</w:t>
            </w:r>
          </w:p>
        </w:tc>
      </w:tr>
      <w:tr w:rsidR="009A48EC" w:rsidRPr="0098039F" w14:paraId="3B73F2B9" w14:textId="77777777" w:rsidTr="003253AF">
        <w:trPr>
          <w:trHeight w:val="288"/>
        </w:trPr>
        <w:tc>
          <w:tcPr>
            <w:tcW w:w="2803" w:type="pct"/>
            <w:noWrap/>
            <w:hideMark/>
          </w:tcPr>
          <w:p w14:paraId="3F7BA851" w14:textId="77777777" w:rsidR="009A48EC" w:rsidRPr="0098039F" w:rsidRDefault="009A48EC" w:rsidP="009A48EC">
            <w:pPr>
              <w:spacing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PV of Free Cash Flow Over Projection Period</w:t>
            </w:r>
          </w:p>
        </w:tc>
        <w:tc>
          <w:tcPr>
            <w:tcW w:w="732" w:type="pct"/>
            <w:noWrap/>
          </w:tcPr>
          <w:p w14:paraId="05F50FE9" w14:textId="1B4C957B" w:rsidR="001547DB" w:rsidRPr="001547DB" w:rsidRDefault="00F009EE" w:rsidP="001547DB">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986.39</w:t>
            </w:r>
          </w:p>
        </w:tc>
        <w:tc>
          <w:tcPr>
            <w:tcW w:w="733" w:type="pct"/>
            <w:noWrap/>
            <w:vAlign w:val="center"/>
          </w:tcPr>
          <w:p w14:paraId="25700103" w14:textId="13ECA676" w:rsidR="009A48EC" w:rsidRPr="00215E56" w:rsidRDefault="00F009EE" w:rsidP="009A48EC">
            <w:pPr>
              <w:spacing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956.25</w:t>
            </w:r>
          </w:p>
        </w:tc>
        <w:tc>
          <w:tcPr>
            <w:tcW w:w="732" w:type="pct"/>
            <w:noWrap/>
          </w:tcPr>
          <w:p w14:paraId="54E39FBD" w14:textId="1ED439A2" w:rsidR="009A48EC" w:rsidRPr="001547DB" w:rsidRDefault="00F009EE" w:rsidP="009A48EC">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927.68</w:t>
            </w:r>
          </w:p>
        </w:tc>
      </w:tr>
      <w:tr w:rsidR="009A48EC" w:rsidRPr="0098039F" w14:paraId="7DBFEB7A" w14:textId="77777777" w:rsidTr="003253AF">
        <w:trPr>
          <w:trHeight w:val="288"/>
        </w:trPr>
        <w:tc>
          <w:tcPr>
            <w:tcW w:w="2803" w:type="pct"/>
            <w:noWrap/>
          </w:tcPr>
          <w:p w14:paraId="6A336D9C" w14:textId="1792E7D5" w:rsidR="009A48EC" w:rsidRPr="0098039F" w:rsidRDefault="004149CC" w:rsidP="009A48EC">
            <w:pPr>
              <w:spacing w:line="360" w:lineRule="auto"/>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 xml:space="preserve">PV of </w:t>
            </w:r>
            <w:r w:rsidR="009A48EC" w:rsidRPr="0098039F">
              <w:rPr>
                <w:rFonts w:asciiTheme="minorHAnsi" w:hAnsiTheme="minorHAnsi" w:cstheme="minorHAnsi"/>
                <w:b/>
                <w:bCs/>
                <w:color w:val="000000"/>
                <w:sz w:val="22"/>
                <w:szCs w:val="22"/>
                <w:lang w:val="en-IN" w:eastAsia="en-IN"/>
              </w:rPr>
              <w:t xml:space="preserve">Terminal Value </w:t>
            </w:r>
          </w:p>
        </w:tc>
        <w:tc>
          <w:tcPr>
            <w:tcW w:w="732" w:type="pct"/>
            <w:noWrap/>
          </w:tcPr>
          <w:p w14:paraId="5200E1AC" w14:textId="6D525097" w:rsidR="009A48EC" w:rsidRPr="001547DB" w:rsidRDefault="00F009EE" w:rsidP="009A48EC">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265.90</w:t>
            </w:r>
          </w:p>
        </w:tc>
        <w:tc>
          <w:tcPr>
            <w:tcW w:w="733" w:type="pct"/>
            <w:noWrap/>
            <w:vAlign w:val="center"/>
          </w:tcPr>
          <w:p w14:paraId="06DE61D3" w14:textId="001090A4" w:rsidR="009A48EC" w:rsidRPr="00215E56" w:rsidRDefault="00F009EE" w:rsidP="004149CC">
            <w:pPr>
              <w:spacing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231.23</w:t>
            </w:r>
          </w:p>
        </w:tc>
        <w:tc>
          <w:tcPr>
            <w:tcW w:w="732" w:type="pct"/>
            <w:noWrap/>
          </w:tcPr>
          <w:p w14:paraId="1C5B8311" w14:textId="0635DB89" w:rsidR="009A48EC" w:rsidRPr="001547DB" w:rsidRDefault="00F009EE" w:rsidP="009A48EC">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201.94</w:t>
            </w:r>
          </w:p>
        </w:tc>
      </w:tr>
      <w:tr w:rsidR="003253AF" w:rsidRPr="0098039F" w14:paraId="58F786A5" w14:textId="77777777" w:rsidTr="003253AF">
        <w:trPr>
          <w:trHeight w:val="288"/>
        </w:trPr>
        <w:tc>
          <w:tcPr>
            <w:tcW w:w="2803" w:type="pct"/>
            <w:noWrap/>
          </w:tcPr>
          <w:p w14:paraId="32C68B3E" w14:textId="4AD67D47" w:rsidR="003253AF" w:rsidRDefault="003253AF" w:rsidP="003253AF">
            <w:pPr>
              <w:spacing w:line="360" w:lineRule="auto"/>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eastAsia="en-IN"/>
              </w:rPr>
              <w:t>F</w:t>
            </w:r>
            <w:r w:rsidRPr="003253AF">
              <w:rPr>
                <w:rFonts w:asciiTheme="minorHAnsi" w:hAnsiTheme="minorHAnsi" w:cstheme="minorHAnsi"/>
                <w:b/>
                <w:bCs/>
                <w:color w:val="000000"/>
                <w:sz w:val="22"/>
                <w:szCs w:val="22"/>
                <w:lang w:eastAsia="en-IN"/>
              </w:rPr>
              <w:t>air</w:t>
            </w:r>
            <w:r>
              <w:rPr>
                <w:rFonts w:asciiTheme="minorHAnsi" w:hAnsiTheme="minorHAnsi" w:cstheme="minorHAnsi"/>
                <w:b/>
                <w:bCs/>
                <w:color w:val="000000"/>
                <w:sz w:val="22"/>
                <w:szCs w:val="22"/>
                <w:lang w:eastAsia="en-IN"/>
              </w:rPr>
              <w:t xml:space="preserve"> Value</w:t>
            </w:r>
            <w:r w:rsidRPr="003253AF">
              <w:rPr>
                <w:rFonts w:asciiTheme="minorHAnsi" w:hAnsiTheme="minorHAnsi" w:cstheme="minorHAnsi"/>
                <w:b/>
                <w:bCs/>
                <w:color w:val="000000"/>
                <w:sz w:val="22"/>
                <w:szCs w:val="22"/>
                <w:lang w:eastAsia="en-IN"/>
              </w:rPr>
              <w:t xml:space="preserve"> of Non-Core Assets</w:t>
            </w:r>
          </w:p>
        </w:tc>
        <w:tc>
          <w:tcPr>
            <w:tcW w:w="732" w:type="pct"/>
            <w:noWrap/>
          </w:tcPr>
          <w:p w14:paraId="05D8A431" w14:textId="0D5AA415" w:rsidR="003253AF" w:rsidRDefault="003253AF" w:rsidP="003253AF">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19.87</w:t>
            </w:r>
          </w:p>
        </w:tc>
        <w:tc>
          <w:tcPr>
            <w:tcW w:w="733" w:type="pct"/>
            <w:noWrap/>
          </w:tcPr>
          <w:p w14:paraId="631F9708" w14:textId="01EF1681" w:rsidR="003253AF" w:rsidRPr="00215E56" w:rsidRDefault="003253AF" w:rsidP="003253AF">
            <w:pPr>
              <w:spacing w:line="360" w:lineRule="auto"/>
              <w:jc w:val="center"/>
              <w:rPr>
                <w:rFonts w:asciiTheme="minorHAnsi" w:hAnsiTheme="minorHAnsi" w:cstheme="minorHAnsi"/>
                <w:b/>
                <w:bCs/>
                <w:color w:val="000000"/>
                <w:sz w:val="22"/>
                <w:szCs w:val="22"/>
              </w:rPr>
            </w:pPr>
            <w:r w:rsidRPr="006B6738">
              <w:rPr>
                <w:rFonts w:asciiTheme="minorHAnsi" w:hAnsiTheme="minorHAnsi" w:cstheme="minorHAnsi"/>
                <w:color w:val="000000"/>
                <w:sz w:val="22"/>
                <w:szCs w:val="22"/>
                <w:lang w:val="en-IN" w:eastAsia="en-IN"/>
              </w:rPr>
              <w:t>19.87</w:t>
            </w:r>
          </w:p>
        </w:tc>
        <w:tc>
          <w:tcPr>
            <w:tcW w:w="732" w:type="pct"/>
            <w:noWrap/>
          </w:tcPr>
          <w:p w14:paraId="4DF206B1" w14:textId="4C3EFC73" w:rsidR="003253AF" w:rsidRDefault="003253AF" w:rsidP="003253AF">
            <w:pPr>
              <w:spacing w:line="360" w:lineRule="auto"/>
              <w:jc w:val="center"/>
              <w:rPr>
                <w:rFonts w:asciiTheme="minorHAnsi" w:hAnsiTheme="minorHAnsi" w:cstheme="minorHAnsi"/>
                <w:color w:val="000000"/>
                <w:sz w:val="22"/>
                <w:szCs w:val="22"/>
                <w:lang w:val="en-IN" w:eastAsia="en-IN"/>
              </w:rPr>
            </w:pPr>
            <w:r w:rsidRPr="006B6738">
              <w:rPr>
                <w:rFonts w:asciiTheme="minorHAnsi" w:hAnsiTheme="minorHAnsi" w:cstheme="minorHAnsi"/>
                <w:color w:val="000000"/>
                <w:sz w:val="22"/>
                <w:szCs w:val="22"/>
                <w:lang w:val="en-IN" w:eastAsia="en-IN"/>
              </w:rPr>
              <w:t>19.87</w:t>
            </w:r>
          </w:p>
        </w:tc>
      </w:tr>
      <w:tr w:rsidR="00266EB3" w:rsidRPr="0098039F" w14:paraId="1526F9AE" w14:textId="77777777" w:rsidTr="003253AF">
        <w:trPr>
          <w:trHeight w:val="288"/>
        </w:trPr>
        <w:tc>
          <w:tcPr>
            <w:tcW w:w="2803" w:type="pct"/>
            <w:shd w:val="clear" w:color="auto" w:fill="DEEAF6" w:themeFill="accent1" w:themeFillTint="33"/>
            <w:noWrap/>
            <w:hideMark/>
          </w:tcPr>
          <w:p w14:paraId="46B9B263" w14:textId="21E520FB" w:rsidR="00266EB3" w:rsidRPr="0098039F" w:rsidRDefault="003253AF" w:rsidP="00266EB3">
            <w:pPr>
              <w:spacing w:line="360" w:lineRule="auto"/>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 xml:space="preserve">Adjusted </w:t>
            </w:r>
            <w:r w:rsidR="00266EB3" w:rsidRPr="0098039F">
              <w:rPr>
                <w:rFonts w:asciiTheme="minorHAnsi" w:hAnsiTheme="minorHAnsi" w:cstheme="minorHAnsi"/>
                <w:b/>
                <w:bCs/>
                <w:color w:val="000000"/>
                <w:sz w:val="22"/>
                <w:szCs w:val="22"/>
                <w:lang w:val="en-IN" w:eastAsia="en-IN"/>
              </w:rPr>
              <w:t>Enterprise Value</w:t>
            </w:r>
          </w:p>
        </w:tc>
        <w:tc>
          <w:tcPr>
            <w:tcW w:w="732" w:type="pct"/>
            <w:shd w:val="clear" w:color="auto" w:fill="DEEAF6" w:themeFill="accent1" w:themeFillTint="33"/>
            <w:noWrap/>
            <w:hideMark/>
          </w:tcPr>
          <w:p w14:paraId="5CFD5E99" w14:textId="315BE7E1" w:rsidR="00266EB3" w:rsidRPr="004B09F8" w:rsidRDefault="00215E56" w:rsidP="00F009EE">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sz w:val="22"/>
                <w:szCs w:val="22"/>
              </w:rPr>
              <w:t>1,</w:t>
            </w:r>
            <w:r w:rsidR="00F009EE">
              <w:rPr>
                <w:rFonts w:asciiTheme="minorHAnsi" w:hAnsiTheme="minorHAnsi" w:cstheme="minorHAnsi"/>
                <w:sz w:val="22"/>
                <w:szCs w:val="22"/>
              </w:rPr>
              <w:t>272.15</w:t>
            </w:r>
          </w:p>
        </w:tc>
        <w:tc>
          <w:tcPr>
            <w:tcW w:w="733" w:type="pct"/>
            <w:shd w:val="clear" w:color="auto" w:fill="DEEAF6" w:themeFill="accent1" w:themeFillTint="33"/>
            <w:noWrap/>
            <w:hideMark/>
          </w:tcPr>
          <w:p w14:paraId="7F22FD3A" w14:textId="2E502AD1" w:rsidR="00266EB3" w:rsidRPr="004B09F8" w:rsidRDefault="00266EB3" w:rsidP="00F009EE">
            <w:pPr>
              <w:spacing w:line="360" w:lineRule="auto"/>
              <w:jc w:val="center"/>
              <w:rPr>
                <w:rFonts w:asciiTheme="minorHAnsi" w:hAnsiTheme="minorHAnsi" w:cstheme="minorHAnsi"/>
                <w:b/>
                <w:bCs/>
                <w:color w:val="000000"/>
                <w:sz w:val="22"/>
                <w:szCs w:val="22"/>
                <w:lang w:val="en-IN" w:eastAsia="en-IN"/>
              </w:rPr>
            </w:pPr>
            <w:r w:rsidRPr="004B09F8">
              <w:rPr>
                <w:rFonts w:asciiTheme="minorHAnsi" w:hAnsiTheme="minorHAnsi" w:cstheme="minorHAnsi"/>
                <w:b/>
                <w:bCs/>
                <w:sz w:val="22"/>
                <w:szCs w:val="22"/>
              </w:rPr>
              <w:t xml:space="preserve"> </w:t>
            </w:r>
            <w:r w:rsidR="00215E56">
              <w:rPr>
                <w:rFonts w:asciiTheme="minorHAnsi" w:hAnsiTheme="minorHAnsi" w:cstheme="minorHAnsi"/>
                <w:b/>
                <w:bCs/>
                <w:sz w:val="22"/>
                <w:szCs w:val="22"/>
              </w:rPr>
              <w:t>1,</w:t>
            </w:r>
            <w:r w:rsidR="00F009EE">
              <w:rPr>
                <w:rFonts w:asciiTheme="minorHAnsi" w:hAnsiTheme="minorHAnsi" w:cstheme="minorHAnsi"/>
                <w:b/>
                <w:bCs/>
                <w:sz w:val="22"/>
                <w:szCs w:val="22"/>
              </w:rPr>
              <w:t>207.35</w:t>
            </w:r>
            <w:r w:rsidRPr="004B09F8">
              <w:rPr>
                <w:rFonts w:asciiTheme="minorHAnsi" w:hAnsiTheme="minorHAnsi" w:cstheme="minorHAnsi"/>
                <w:b/>
                <w:bCs/>
                <w:sz w:val="22"/>
                <w:szCs w:val="22"/>
              </w:rPr>
              <w:t xml:space="preserve"> </w:t>
            </w:r>
          </w:p>
        </w:tc>
        <w:tc>
          <w:tcPr>
            <w:tcW w:w="732" w:type="pct"/>
            <w:shd w:val="clear" w:color="auto" w:fill="DEEAF6" w:themeFill="accent1" w:themeFillTint="33"/>
            <w:noWrap/>
            <w:hideMark/>
          </w:tcPr>
          <w:p w14:paraId="7C599E9D" w14:textId="4BDC2162" w:rsidR="00266EB3" w:rsidRPr="004B09F8" w:rsidRDefault="00215E56" w:rsidP="00F009EE">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sz w:val="22"/>
                <w:szCs w:val="22"/>
              </w:rPr>
              <w:t>1,</w:t>
            </w:r>
            <w:r w:rsidR="00F009EE">
              <w:rPr>
                <w:rFonts w:asciiTheme="minorHAnsi" w:hAnsiTheme="minorHAnsi" w:cstheme="minorHAnsi"/>
                <w:sz w:val="22"/>
                <w:szCs w:val="22"/>
              </w:rPr>
              <w:t>149.49</w:t>
            </w:r>
            <w:r w:rsidR="00266EB3" w:rsidRPr="004B09F8">
              <w:rPr>
                <w:rFonts w:asciiTheme="minorHAnsi" w:hAnsiTheme="minorHAnsi" w:cstheme="minorHAnsi"/>
                <w:sz w:val="22"/>
                <w:szCs w:val="22"/>
              </w:rPr>
              <w:t xml:space="preserve"> </w:t>
            </w:r>
          </w:p>
        </w:tc>
      </w:tr>
    </w:tbl>
    <w:p w14:paraId="61B9647D" w14:textId="678002BF" w:rsidR="004A297B" w:rsidRPr="00826EDC" w:rsidRDefault="00826EDC" w:rsidP="00694E39">
      <w:pPr>
        <w:spacing w:before="240" w:line="360" w:lineRule="auto"/>
        <w:ind w:left="142" w:right="-23"/>
        <w:jc w:val="both"/>
        <w:rPr>
          <w:rFonts w:ascii="Arial" w:hAnsi="Arial" w:cs="Arial"/>
          <w:color w:val="000000" w:themeColor="text1"/>
          <w:sz w:val="22"/>
          <w:szCs w:val="22"/>
        </w:rPr>
      </w:pPr>
      <w:r>
        <w:rPr>
          <w:rFonts w:ascii="Arial" w:hAnsi="Arial" w:cs="Arial"/>
          <w:color w:val="000000" w:themeColor="text1"/>
          <w:sz w:val="22"/>
          <w:szCs w:val="22"/>
        </w:rPr>
        <w:t>Thus</w:t>
      </w:r>
      <w:r w:rsidRPr="00826EDC">
        <w:rPr>
          <w:rFonts w:ascii="Arial" w:hAnsi="Arial" w:cs="Arial"/>
          <w:color w:val="000000" w:themeColor="text1"/>
          <w:sz w:val="22"/>
          <w:szCs w:val="22"/>
        </w:rPr>
        <w:t>,</w:t>
      </w:r>
      <w:r>
        <w:rPr>
          <w:rFonts w:ascii="Arial" w:hAnsi="Arial" w:cs="Arial"/>
          <w:color w:val="000000" w:themeColor="text1"/>
          <w:sz w:val="22"/>
          <w:szCs w:val="22"/>
        </w:rPr>
        <w:t xml:space="preserve"> </w:t>
      </w:r>
      <w:r w:rsidR="00561B04" w:rsidRPr="00215E56">
        <w:rPr>
          <w:rFonts w:ascii="Arial" w:hAnsi="Arial" w:cs="Arial"/>
          <w:b/>
          <w:bCs/>
          <w:color w:val="000000" w:themeColor="text1"/>
          <w:sz w:val="22"/>
          <w:szCs w:val="22"/>
        </w:rPr>
        <w:t xml:space="preserve">M/s </w:t>
      </w:r>
      <w:r w:rsidR="00215E56">
        <w:rPr>
          <w:rFonts w:ascii="Arial" w:hAnsi="Arial" w:cs="Arial"/>
          <w:b/>
          <w:bCs/>
          <w:color w:val="000000" w:themeColor="text1"/>
          <w:sz w:val="22"/>
          <w:szCs w:val="22"/>
        </w:rPr>
        <w:t>GTL Infrastructure</w:t>
      </w:r>
      <w:r w:rsidR="00B467DA" w:rsidRPr="00215E56">
        <w:rPr>
          <w:rFonts w:ascii="Arial" w:hAnsi="Arial" w:cs="Arial"/>
          <w:b/>
          <w:bCs/>
          <w:color w:val="000000" w:themeColor="text1"/>
          <w:sz w:val="22"/>
          <w:szCs w:val="22"/>
        </w:rPr>
        <w:t xml:space="preserve"> </w:t>
      </w:r>
      <w:r w:rsidR="004149CC" w:rsidRPr="00215E56">
        <w:rPr>
          <w:rFonts w:ascii="Arial" w:hAnsi="Arial" w:cs="Arial"/>
          <w:b/>
          <w:bCs/>
          <w:color w:val="000000" w:themeColor="text1"/>
          <w:sz w:val="22"/>
          <w:szCs w:val="22"/>
        </w:rPr>
        <w:t>Limited</w:t>
      </w:r>
      <w:r w:rsidR="00561B04">
        <w:rPr>
          <w:rFonts w:ascii="Arial" w:hAnsi="Arial" w:cs="Arial"/>
          <w:color w:val="000000" w:themeColor="text1"/>
          <w:sz w:val="22"/>
          <w:szCs w:val="22"/>
        </w:rPr>
        <w:t xml:space="preserve"> is having an </w:t>
      </w:r>
      <w:r w:rsidR="00561B04" w:rsidRPr="00215E56">
        <w:rPr>
          <w:rFonts w:ascii="Arial" w:hAnsi="Arial" w:cs="Arial"/>
          <w:b/>
          <w:bCs/>
          <w:color w:val="000000" w:themeColor="text1"/>
          <w:sz w:val="22"/>
          <w:szCs w:val="22"/>
        </w:rPr>
        <w:t>Enterprise value</w:t>
      </w:r>
      <w:r w:rsidR="00561B04">
        <w:rPr>
          <w:rFonts w:ascii="Arial" w:hAnsi="Arial" w:cs="Arial"/>
          <w:color w:val="000000" w:themeColor="text1"/>
          <w:sz w:val="22"/>
          <w:szCs w:val="22"/>
        </w:rPr>
        <w:t xml:space="preserve"> of </w:t>
      </w:r>
      <w:r w:rsidR="00561B04" w:rsidRPr="00215E56">
        <w:rPr>
          <w:rFonts w:ascii="Arial" w:hAnsi="Arial" w:cs="Arial"/>
          <w:b/>
          <w:bCs/>
          <w:color w:val="000000" w:themeColor="text1"/>
          <w:sz w:val="22"/>
          <w:szCs w:val="22"/>
        </w:rPr>
        <w:t xml:space="preserve">INR </w:t>
      </w:r>
      <w:r w:rsidR="00215E56">
        <w:rPr>
          <w:rFonts w:ascii="Arial" w:hAnsi="Arial" w:cs="Arial"/>
          <w:b/>
          <w:bCs/>
          <w:color w:val="000000" w:themeColor="text1"/>
          <w:sz w:val="22"/>
          <w:szCs w:val="22"/>
        </w:rPr>
        <w:t>1,</w:t>
      </w:r>
      <w:r w:rsidR="00F009EE">
        <w:rPr>
          <w:rFonts w:ascii="Arial" w:hAnsi="Arial" w:cs="Arial"/>
          <w:b/>
          <w:bCs/>
          <w:color w:val="000000" w:themeColor="text1"/>
          <w:sz w:val="22"/>
          <w:szCs w:val="22"/>
        </w:rPr>
        <w:t>207.35</w:t>
      </w:r>
      <w:r w:rsidR="00B42878">
        <w:rPr>
          <w:rFonts w:ascii="Arial" w:hAnsi="Arial" w:cs="Arial"/>
          <w:b/>
          <w:bCs/>
          <w:color w:val="000000" w:themeColor="text1"/>
          <w:sz w:val="22"/>
          <w:szCs w:val="22"/>
        </w:rPr>
        <w:t xml:space="preserve"> </w:t>
      </w:r>
      <w:r w:rsidR="00215E56">
        <w:rPr>
          <w:rFonts w:ascii="Arial" w:hAnsi="Arial" w:cs="Arial"/>
          <w:b/>
          <w:bCs/>
          <w:color w:val="000000" w:themeColor="text1"/>
          <w:sz w:val="22"/>
          <w:szCs w:val="22"/>
        </w:rPr>
        <w:t>Crore</w:t>
      </w:r>
      <w:r w:rsidR="00D514D0" w:rsidRPr="00215E56">
        <w:rPr>
          <w:rFonts w:ascii="Arial" w:hAnsi="Arial" w:cs="Arial"/>
          <w:b/>
          <w:bCs/>
          <w:color w:val="000000" w:themeColor="text1"/>
          <w:sz w:val="22"/>
          <w:szCs w:val="22"/>
        </w:rPr>
        <w:t>s</w:t>
      </w:r>
      <w:r w:rsidR="00561B04">
        <w:rPr>
          <w:rFonts w:ascii="Arial" w:hAnsi="Arial" w:cs="Arial"/>
          <w:color w:val="000000" w:themeColor="text1"/>
          <w:sz w:val="22"/>
          <w:szCs w:val="22"/>
        </w:rPr>
        <w:t xml:space="preserve"> while all the assumptions according to </w:t>
      </w:r>
      <w:r w:rsidR="004149CC">
        <w:rPr>
          <w:rFonts w:ascii="Arial" w:hAnsi="Arial" w:cs="Arial"/>
          <w:color w:val="000000" w:themeColor="text1"/>
          <w:sz w:val="22"/>
          <w:szCs w:val="22"/>
        </w:rPr>
        <w:t>company’s audited financials</w:t>
      </w:r>
      <w:r w:rsidR="00561B04">
        <w:rPr>
          <w:rFonts w:ascii="Arial" w:hAnsi="Arial" w:cs="Arial"/>
          <w:color w:val="000000" w:themeColor="text1"/>
          <w:sz w:val="22"/>
          <w:szCs w:val="22"/>
        </w:rPr>
        <w:t xml:space="preserve"> have been considered</w:t>
      </w:r>
      <w:r w:rsidR="00D514D0">
        <w:rPr>
          <w:rFonts w:ascii="Arial" w:hAnsi="Arial" w:cs="Arial"/>
          <w:color w:val="000000" w:themeColor="text1"/>
          <w:sz w:val="22"/>
          <w:szCs w:val="22"/>
        </w:rPr>
        <w:t>.</w:t>
      </w:r>
    </w:p>
    <w:tbl>
      <w:tblPr>
        <w:tblpPr w:leftFromText="180" w:rightFromText="180" w:vertAnchor="text" w:horzAnchor="margin" w:tblpX="103" w:tblpY="127"/>
        <w:tblW w:w="9351" w:type="dxa"/>
        <w:tblLook w:val="04A0" w:firstRow="1" w:lastRow="0" w:firstColumn="1" w:lastColumn="0" w:noHBand="0" w:noVBand="1"/>
      </w:tblPr>
      <w:tblGrid>
        <w:gridCol w:w="9351"/>
      </w:tblGrid>
      <w:tr w:rsidR="0008705A" w:rsidRPr="0098039F" w14:paraId="5C477FF4" w14:textId="77777777" w:rsidTr="001623F5">
        <w:trPr>
          <w:trHeight w:val="421"/>
        </w:trPr>
        <w:tc>
          <w:tcPr>
            <w:tcW w:w="935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050F158" w14:textId="6976232E" w:rsidR="0008705A" w:rsidRPr="00831EEF" w:rsidRDefault="0008705A" w:rsidP="003253AF">
            <w:pPr>
              <w:spacing w:after="0"/>
              <w:jc w:val="center"/>
              <w:rPr>
                <w:rFonts w:asciiTheme="minorHAnsi" w:hAnsiTheme="minorHAnsi" w:cstheme="minorHAnsi"/>
                <w:b/>
                <w:bCs/>
                <w:color w:val="FFFFFF"/>
              </w:rPr>
            </w:pPr>
            <w:r w:rsidRPr="00831EEF">
              <w:rPr>
                <w:rFonts w:asciiTheme="minorHAnsi" w:hAnsiTheme="minorHAnsi" w:cstheme="minorHAnsi"/>
                <w:b/>
                <w:bCs/>
                <w:color w:val="FFFFFF"/>
              </w:rPr>
              <w:t xml:space="preserve">ENTERPRISE VALUE OF </w:t>
            </w:r>
            <w:r w:rsidR="004149CC" w:rsidRPr="00831EEF">
              <w:rPr>
                <w:rFonts w:asciiTheme="minorHAnsi" w:hAnsiTheme="minorHAnsi" w:cstheme="minorHAnsi"/>
                <w:b/>
                <w:bCs/>
                <w:color w:val="FFFFFF"/>
              </w:rPr>
              <w:t>M/S</w:t>
            </w:r>
            <w:r w:rsidR="00D730EB" w:rsidRPr="00831EEF">
              <w:rPr>
                <w:rFonts w:asciiTheme="minorHAnsi" w:hAnsiTheme="minorHAnsi" w:cstheme="minorHAnsi"/>
                <w:b/>
                <w:bCs/>
                <w:color w:val="FFFFFF"/>
              </w:rPr>
              <w:t xml:space="preserve"> </w:t>
            </w:r>
            <w:r w:rsidR="00215E56">
              <w:rPr>
                <w:rFonts w:asciiTheme="minorHAnsi" w:hAnsiTheme="minorHAnsi" w:cstheme="minorHAnsi"/>
                <w:b/>
                <w:bCs/>
                <w:color w:val="FFFFFF"/>
              </w:rPr>
              <w:t>GTL INFRASTRUCTURE</w:t>
            </w:r>
            <w:r w:rsidR="00B467DA" w:rsidRPr="00B467DA">
              <w:rPr>
                <w:rFonts w:asciiTheme="minorHAnsi" w:hAnsiTheme="minorHAnsi" w:cstheme="minorHAnsi"/>
                <w:b/>
                <w:bCs/>
                <w:color w:val="FFFFFF"/>
              </w:rPr>
              <w:t xml:space="preserve"> </w:t>
            </w:r>
            <w:r w:rsidR="00831EEF" w:rsidRPr="00831EEF">
              <w:rPr>
                <w:rFonts w:asciiTheme="minorHAnsi" w:hAnsiTheme="minorHAnsi" w:cstheme="minorHAnsi"/>
                <w:b/>
                <w:bCs/>
                <w:color w:val="FFFFFF"/>
              </w:rPr>
              <w:t>LIMITED</w:t>
            </w:r>
          </w:p>
        </w:tc>
      </w:tr>
      <w:tr w:rsidR="0008705A" w:rsidRPr="0098039F" w14:paraId="51ED9FC0" w14:textId="77777777" w:rsidTr="007A56DD">
        <w:trPr>
          <w:trHeight w:val="129"/>
        </w:trPr>
        <w:tc>
          <w:tcPr>
            <w:tcW w:w="93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B90FBD5" w14:textId="45C13813" w:rsidR="00831EEF" w:rsidRPr="00831EEF" w:rsidRDefault="00831EEF" w:rsidP="003253AF">
            <w:pPr>
              <w:spacing w:after="0"/>
              <w:jc w:val="center"/>
              <w:rPr>
                <w:rFonts w:asciiTheme="minorHAnsi" w:hAnsiTheme="minorHAnsi" w:cstheme="minorHAnsi"/>
                <w:b/>
              </w:rPr>
            </w:pPr>
            <w:r w:rsidRPr="00831EEF">
              <w:rPr>
                <w:rFonts w:asciiTheme="minorHAnsi" w:hAnsiTheme="minorHAnsi" w:cstheme="minorHAnsi"/>
                <w:b/>
              </w:rPr>
              <w:t xml:space="preserve">INR </w:t>
            </w:r>
            <w:r w:rsidR="00215E56">
              <w:rPr>
                <w:rFonts w:asciiTheme="minorHAnsi" w:hAnsiTheme="minorHAnsi" w:cstheme="minorHAnsi"/>
                <w:b/>
              </w:rPr>
              <w:t>ONE</w:t>
            </w:r>
            <w:r w:rsidRPr="00831EEF">
              <w:rPr>
                <w:rFonts w:asciiTheme="minorHAnsi" w:hAnsiTheme="minorHAnsi" w:cstheme="minorHAnsi"/>
                <w:b/>
              </w:rPr>
              <w:t xml:space="preserve"> THOUSAND </w:t>
            </w:r>
            <w:r w:rsidR="009C718D">
              <w:rPr>
                <w:rFonts w:asciiTheme="minorHAnsi" w:hAnsiTheme="minorHAnsi" w:cstheme="minorHAnsi"/>
                <w:b/>
              </w:rPr>
              <w:t>T</w:t>
            </w:r>
            <w:r w:rsidR="00911831">
              <w:rPr>
                <w:rFonts w:asciiTheme="minorHAnsi" w:hAnsiTheme="minorHAnsi" w:cstheme="minorHAnsi"/>
                <w:b/>
              </w:rPr>
              <w:t>WO</w:t>
            </w:r>
            <w:r w:rsidR="00944DAD">
              <w:rPr>
                <w:rFonts w:asciiTheme="minorHAnsi" w:hAnsiTheme="minorHAnsi" w:cstheme="minorHAnsi"/>
                <w:b/>
              </w:rPr>
              <w:t xml:space="preserve"> </w:t>
            </w:r>
            <w:r w:rsidRPr="00831EEF">
              <w:rPr>
                <w:rFonts w:asciiTheme="minorHAnsi" w:hAnsiTheme="minorHAnsi" w:cstheme="minorHAnsi"/>
                <w:b/>
              </w:rPr>
              <w:t xml:space="preserve">HUNDRED </w:t>
            </w:r>
            <w:r w:rsidR="009C718D">
              <w:rPr>
                <w:rFonts w:asciiTheme="minorHAnsi" w:hAnsiTheme="minorHAnsi" w:cstheme="minorHAnsi"/>
                <w:b/>
              </w:rPr>
              <w:t>SEV</w:t>
            </w:r>
            <w:r w:rsidR="00215E56">
              <w:rPr>
                <w:rFonts w:asciiTheme="minorHAnsi" w:hAnsiTheme="minorHAnsi" w:cstheme="minorHAnsi"/>
                <w:b/>
              </w:rPr>
              <w:t>E</w:t>
            </w:r>
            <w:r w:rsidR="009C718D">
              <w:rPr>
                <w:rFonts w:asciiTheme="minorHAnsi" w:hAnsiTheme="minorHAnsi" w:cstheme="minorHAnsi"/>
                <w:b/>
              </w:rPr>
              <w:t>N</w:t>
            </w:r>
            <w:r w:rsidR="00A226D6">
              <w:rPr>
                <w:rFonts w:asciiTheme="minorHAnsi" w:hAnsiTheme="minorHAnsi" w:cstheme="minorHAnsi"/>
                <w:b/>
              </w:rPr>
              <w:t xml:space="preserve"> </w:t>
            </w:r>
            <w:r w:rsidR="00215E56">
              <w:rPr>
                <w:rFonts w:asciiTheme="minorHAnsi" w:hAnsiTheme="minorHAnsi" w:cstheme="minorHAnsi"/>
                <w:b/>
              </w:rPr>
              <w:t>CRORE</w:t>
            </w:r>
            <w:r w:rsidR="00B467DA">
              <w:rPr>
                <w:rFonts w:asciiTheme="minorHAnsi" w:hAnsiTheme="minorHAnsi" w:cstheme="minorHAnsi"/>
                <w:b/>
              </w:rPr>
              <w:t xml:space="preserve">S </w:t>
            </w:r>
            <w:r w:rsidRPr="00831EEF">
              <w:rPr>
                <w:rFonts w:asciiTheme="minorHAnsi" w:hAnsiTheme="minorHAnsi" w:cstheme="minorHAnsi"/>
                <w:b/>
              </w:rPr>
              <w:t xml:space="preserve">AND </w:t>
            </w:r>
            <w:r w:rsidR="00911831">
              <w:rPr>
                <w:rFonts w:asciiTheme="minorHAnsi" w:hAnsiTheme="minorHAnsi" w:cstheme="minorHAnsi"/>
                <w:b/>
              </w:rPr>
              <w:t>THIRTY-FIVE</w:t>
            </w:r>
            <w:r w:rsidRPr="00831EEF">
              <w:rPr>
                <w:rFonts w:asciiTheme="minorHAnsi" w:hAnsiTheme="minorHAnsi" w:cstheme="minorHAnsi"/>
                <w:b/>
              </w:rPr>
              <w:t xml:space="preserve"> </w:t>
            </w:r>
            <w:r w:rsidR="00215E56">
              <w:rPr>
                <w:rFonts w:asciiTheme="minorHAnsi" w:hAnsiTheme="minorHAnsi" w:cstheme="minorHAnsi"/>
                <w:b/>
              </w:rPr>
              <w:t>LAKHS</w:t>
            </w:r>
            <w:r w:rsidRPr="00831EEF">
              <w:rPr>
                <w:rFonts w:asciiTheme="minorHAnsi" w:hAnsiTheme="minorHAnsi" w:cstheme="minorHAnsi"/>
                <w:b/>
              </w:rPr>
              <w:t xml:space="preserve"> </w:t>
            </w:r>
          </w:p>
          <w:p w14:paraId="3E049C51" w14:textId="37B0F997" w:rsidR="0008705A" w:rsidRPr="00831EEF" w:rsidRDefault="00831EEF" w:rsidP="00911831">
            <w:pPr>
              <w:spacing w:after="0"/>
              <w:jc w:val="center"/>
              <w:rPr>
                <w:rFonts w:asciiTheme="minorHAnsi" w:hAnsiTheme="minorHAnsi" w:cstheme="minorHAnsi"/>
                <w:b/>
                <w:color w:val="000000"/>
                <w:lang w:val="en-IN"/>
              </w:rPr>
            </w:pPr>
            <w:r w:rsidRPr="00831EEF">
              <w:rPr>
                <w:rFonts w:asciiTheme="minorHAnsi" w:hAnsiTheme="minorHAnsi" w:cstheme="minorHAnsi"/>
                <w:b/>
              </w:rPr>
              <w:t xml:space="preserve">(INR </w:t>
            </w:r>
            <w:r w:rsidR="00215E56">
              <w:rPr>
                <w:rFonts w:asciiTheme="minorHAnsi" w:hAnsiTheme="minorHAnsi" w:cstheme="minorHAnsi"/>
                <w:b/>
              </w:rPr>
              <w:t>1,</w:t>
            </w:r>
            <w:r w:rsidR="00911831">
              <w:rPr>
                <w:rFonts w:asciiTheme="minorHAnsi" w:hAnsiTheme="minorHAnsi" w:cstheme="minorHAnsi"/>
                <w:b/>
              </w:rPr>
              <w:t>20</w:t>
            </w:r>
            <w:r w:rsidR="009C718D">
              <w:rPr>
                <w:rFonts w:asciiTheme="minorHAnsi" w:hAnsiTheme="minorHAnsi" w:cstheme="minorHAnsi"/>
                <w:b/>
              </w:rPr>
              <w:t>7.</w:t>
            </w:r>
            <w:r w:rsidR="00911831">
              <w:rPr>
                <w:rFonts w:asciiTheme="minorHAnsi" w:hAnsiTheme="minorHAnsi" w:cstheme="minorHAnsi"/>
                <w:b/>
              </w:rPr>
              <w:t>35</w:t>
            </w:r>
            <w:r w:rsidRPr="00831EEF">
              <w:rPr>
                <w:rFonts w:asciiTheme="minorHAnsi" w:hAnsiTheme="minorHAnsi" w:cstheme="minorHAnsi"/>
                <w:b/>
              </w:rPr>
              <w:t xml:space="preserve"> </w:t>
            </w:r>
            <w:r w:rsidR="00215E56">
              <w:rPr>
                <w:rFonts w:asciiTheme="minorHAnsi" w:hAnsiTheme="minorHAnsi" w:cstheme="minorHAnsi"/>
                <w:b/>
              </w:rPr>
              <w:t>CRORE</w:t>
            </w:r>
            <w:r w:rsidRPr="00831EEF">
              <w:rPr>
                <w:rFonts w:asciiTheme="minorHAnsi" w:hAnsiTheme="minorHAnsi" w:cstheme="minorHAnsi"/>
                <w:b/>
              </w:rPr>
              <w:t>S)</w:t>
            </w:r>
          </w:p>
        </w:tc>
      </w:tr>
    </w:tbl>
    <w:p w14:paraId="1E5253DA" w14:textId="77777777" w:rsidR="00F009EE" w:rsidRDefault="00F009EE" w:rsidP="003253AF">
      <w:pPr>
        <w:pStyle w:val="ListParagraph"/>
        <w:spacing w:before="240" w:line="360" w:lineRule="auto"/>
        <w:ind w:left="142" w:right="-23"/>
        <w:jc w:val="both"/>
        <w:rPr>
          <w:rFonts w:ascii="Arial" w:hAnsi="Arial" w:cs="Arial"/>
          <w:b/>
          <w:i/>
          <w:color w:val="000000"/>
          <w:sz w:val="22"/>
          <w:szCs w:val="22"/>
        </w:rPr>
      </w:pPr>
    </w:p>
    <w:p w14:paraId="50B4B4C4" w14:textId="7C2B6D5F" w:rsidR="00751B50" w:rsidRPr="00751B50" w:rsidRDefault="008E1BCD" w:rsidP="003253AF">
      <w:pPr>
        <w:pStyle w:val="ListParagraph"/>
        <w:spacing w:before="240" w:line="360" w:lineRule="auto"/>
        <w:ind w:left="142" w:right="-23"/>
        <w:jc w:val="both"/>
        <w:rPr>
          <w:rFonts w:ascii="Arial" w:hAnsi="Arial" w:cs="Arial"/>
          <w:b/>
          <w:i/>
          <w:color w:val="000000"/>
          <w:sz w:val="22"/>
          <w:szCs w:val="22"/>
        </w:rPr>
      </w:pPr>
      <w:r w:rsidRPr="00D730EB">
        <w:rPr>
          <w:rFonts w:ascii="Arial" w:hAnsi="Arial" w:cs="Arial"/>
          <w:b/>
          <w:i/>
          <w:color w:val="000000"/>
          <w:sz w:val="22"/>
          <w:szCs w:val="22"/>
        </w:rPr>
        <w:t xml:space="preserve">NOTE: </w:t>
      </w:r>
    </w:p>
    <w:p w14:paraId="3F87B4DF" w14:textId="77777777" w:rsidR="00751B50" w:rsidRPr="00751B50" w:rsidRDefault="00751B50" w:rsidP="00B07001">
      <w:pPr>
        <w:pStyle w:val="ListParagraph"/>
        <w:numPr>
          <w:ilvl w:val="0"/>
          <w:numId w:val="20"/>
        </w:numPr>
        <w:spacing w:after="0" w:line="360" w:lineRule="auto"/>
        <w:ind w:left="426" w:right="-23" w:hanging="283"/>
        <w:jc w:val="both"/>
        <w:rPr>
          <w:rFonts w:ascii="Arial" w:eastAsiaTheme="minorHAnsi" w:hAnsi="Arial" w:cs="Arial"/>
          <w:i/>
          <w:iCs/>
          <w:color w:val="000000"/>
          <w:sz w:val="22"/>
          <w:szCs w:val="22"/>
          <w:lang w:val="en-IN"/>
        </w:rPr>
      </w:pPr>
      <w:r w:rsidRPr="00751B50">
        <w:rPr>
          <w:rFonts w:ascii="Arial" w:eastAsiaTheme="minorHAnsi" w:hAnsi="Arial" w:cs="Arial"/>
          <w:i/>
          <w:iCs/>
          <w:color w:val="000000"/>
          <w:sz w:val="22"/>
          <w:szCs w:val="22"/>
          <w:lang w:val="en-IN"/>
        </w:rPr>
        <w:t xml:space="preserve">The valuation is done based on the historical financials, Industry trend and our experience within the sector. </w:t>
      </w:r>
    </w:p>
    <w:p w14:paraId="5432978B" w14:textId="571F8CC4" w:rsidR="00751B50" w:rsidRPr="00751B50" w:rsidRDefault="00751B50" w:rsidP="00B07001">
      <w:pPr>
        <w:pStyle w:val="ListParagraph"/>
        <w:numPr>
          <w:ilvl w:val="0"/>
          <w:numId w:val="20"/>
        </w:numPr>
        <w:spacing w:after="0" w:line="360" w:lineRule="auto"/>
        <w:ind w:left="426" w:right="-23" w:hanging="283"/>
        <w:jc w:val="both"/>
        <w:rPr>
          <w:rFonts w:ascii="Arial" w:eastAsiaTheme="minorHAnsi" w:hAnsi="Arial" w:cs="Arial"/>
          <w:i/>
          <w:iCs/>
          <w:color w:val="000000"/>
          <w:sz w:val="22"/>
          <w:szCs w:val="22"/>
          <w:lang w:val="en-IN"/>
        </w:rPr>
      </w:pPr>
      <w:r w:rsidRPr="00751B50">
        <w:rPr>
          <w:rFonts w:ascii="Arial" w:eastAsiaTheme="minorHAnsi" w:hAnsi="Arial" w:cs="Arial"/>
          <w:i/>
          <w:iCs/>
          <w:color w:val="000000"/>
          <w:sz w:val="22"/>
          <w:szCs w:val="22"/>
          <w:lang w:val="en-IN"/>
        </w:rPr>
        <w:t xml:space="preserve">The enterprise valuation of the project is just the reflection of the present value of its cash flow generating capacity in future years. </w:t>
      </w:r>
    </w:p>
    <w:p w14:paraId="76DEE081" w14:textId="635A1091" w:rsidR="00751B50" w:rsidRPr="00751B50" w:rsidRDefault="00751B50" w:rsidP="00B07001">
      <w:pPr>
        <w:pStyle w:val="ListParagraph"/>
        <w:numPr>
          <w:ilvl w:val="0"/>
          <w:numId w:val="20"/>
        </w:numPr>
        <w:spacing w:after="0" w:line="360" w:lineRule="auto"/>
        <w:ind w:left="426" w:right="-23" w:hanging="283"/>
        <w:jc w:val="both"/>
        <w:rPr>
          <w:rFonts w:ascii="Arial" w:eastAsiaTheme="minorHAnsi" w:hAnsi="Arial" w:cs="Arial"/>
          <w:i/>
          <w:iCs/>
          <w:color w:val="000000"/>
          <w:sz w:val="22"/>
          <w:szCs w:val="22"/>
          <w:lang w:val="en-IN"/>
        </w:rPr>
      </w:pPr>
      <w:r w:rsidRPr="00751B50">
        <w:rPr>
          <w:rFonts w:ascii="Arial" w:eastAsiaTheme="minorHAnsi" w:hAnsi="Arial" w:cs="Arial"/>
          <w:i/>
          <w:iCs/>
          <w:color w:val="000000"/>
          <w:sz w:val="22"/>
          <w:szCs w:val="22"/>
          <w:lang w:val="en-IN"/>
        </w:rPr>
        <w:t xml:space="preserve">This Valuation shall not be construed as the physical asset or should be directly related to cost approach or Project cost. </w:t>
      </w:r>
    </w:p>
    <w:p w14:paraId="2E6B92EB" w14:textId="73D29B9E" w:rsidR="00751B50" w:rsidRPr="00751B50" w:rsidRDefault="00751B50" w:rsidP="00B07001">
      <w:pPr>
        <w:pStyle w:val="ListParagraph"/>
        <w:numPr>
          <w:ilvl w:val="0"/>
          <w:numId w:val="20"/>
        </w:numPr>
        <w:spacing w:after="0" w:line="360" w:lineRule="auto"/>
        <w:ind w:left="426" w:right="-23" w:hanging="283"/>
        <w:jc w:val="both"/>
        <w:rPr>
          <w:rFonts w:ascii="Arial" w:hAnsi="Arial" w:cs="Arial"/>
          <w:bCs/>
          <w:i/>
          <w:color w:val="000000"/>
          <w:sz w:val="22"/>
          <w:szCs w:val="22"/>
        </w:rPr>
      </w:pPr>
      <w:r w:rsidRPr="00751B50">
        <w:rPr>
          <w:rFonts w:ascii="Arial" w:eastAsiaTheme="minorHAnsi" w:hAnsi="Arial" w:cs="Arial"/>
          <w:i/>
          <w:iCs/>
          <w:color w:val="000000"/>
          <w:sz w:val="22"/>
          <w:szCs w:val="22"/>
          <w:lang w:val="en-IN"/>
        </w:rPr>
        <w:t xml:space="preserve">We are of the viewpoint that the </w:t>
      </w:r>
      <w:r>
        <w:rPr>
          <w:rFonts w:ascii="Arial" w:eastAsiaTheme="minorHAnsi" w:hAnsi="Arial" w:cs="Arial"/>
          <w:i/>
          <w:iCs/>
          <w:color w:val="000000"/>
          <w:sz w:val="22"/>
          <w:szCs w:val="22"/>
          <w:lang w:val="en-IN"/>
        </w:rPr>
        <w:t>telecom</w:t>
      </w:r>
      <w:r w:rsidRPr="00751B50">
        <w:rPr>
          <w:rFonts w:ascii="Arial" w:eastAsiaTheme="minorHAnsi" w:hAnsi="Arial" w:cs="Arial"/>
          <w:i/>
          <w:iCs/>
          <w:color w:val="000000"/>
          <w:sz w:val="22"/>
          <w:szCs w:val="22"/>
          <w:lang w:val="en-IN"/>
        </w:rPr>
        <w:t xml:space="preserve"> industry growth and demand for the </w:t>
      </w:r>
      <w:r>
        <w:rPr>
          <w:rFonts w:ascii="Arial" w:eastAsiaTheme="minorHAnsi" w:hAnsi="Arial" w:cs="Arial"/>
          <w:i/>
          <w:iCs/>
          <w:color w:val="000000"/>
          <w:sz w:val="22"/>
          <w:szCs w:val="22"/>
          <w:lang w:val="en-IN"/>
        </w:rPr>
        <w:t>5g connectivity</w:t>
      </w:r>
      <w:r w:rsidRPr="00751B50">
        <w:rPr>
          <w:rFonts w:ascii="Arial" w:eastAsiaTheme="minorHAnsi" w:hAnsi="Arial" w:cs="Arial"/>
          <w:i/>
          <w:iCs/>
          <w:color w:val="000000"/>
          <w:sz w:val="22"/>
          <w:szCs w:val="22"/>
          <w:lang w:val="en-IN"/>
        </w:rPr>
        <w:t xml:space="preserve"> will be higher in the future years, which will increase the demand for the </w:t>
      </w:r>
      <w:r>
        <w:rPr>
          <w:rFonts w:ascii="Arial" w:eastAsiaTheme="minorHAnsi" w:hAnsi="Arial" w:cs="Arial"/>
          <w:i/>
          <w:iCs/>
          <w:color w:val="000000"/>
          <w:sz w:val="22"/>
          <w:szCs w:val="22"/>
          <w:lang w:val="en-IN"/>
        </w:rPr>
        <w:t>telecom towers</w:t>
      </w:r>
      <w:r w:rsidRPr="00751B50">
        <w:rPr>
          <w:rFonts w:ascii="Arial" w:eastAsiaTheme="minorHAnsi" w:hAnsi="Arial" w:cs="Arial"/>
          <w:i/>
          <w:iCs/>
          <w:color w:val="000000"/>
          <w:sz w:val="22"/>
          <w:szCs w:val="22"/>
          <w:lang w:val="en-IN"/>
        </w:rPr>
        <w:t xml:space="preserve"> as a result of it. </w:t>
      </w:r>
    </w:p>
    <w:p w14:paraId="79558182" w14:textId="43625534" w:rsidR="00751B50" w:rsidRPr="00751B50" w:rsidRDefault="00751B50" w:rsidP="00B07001">
      <w:pPr>
        <w:pStyle w:val="ListParagraph"/>
        <w:numPr>
          <w:ilvl w:val="0"/>
          <w:numId w:val="20"/>
        </w:numPr>
        <w:spacing w:after="0" w:line="360" w:lineRule="auto"/>
        <w:ind w:left="426" w:right="-23" w:hanging="283"/>
        <w:jc w:val="both"/>
        <w:rPr>
          <w:rFonts w:ascii="Arial" w:hAnsi="Arial" w:cs="Arial"/>
          <w:bCs/>
          <w:i/>
          <w:color w:val="000000"/>
          <w:sz w:val="22"/>
          <w:szCs w:val="22"/>
        </w:rPr>
      </w:pPr>
      <w:r w:rsidRPr="00751B50">
        <w:rPr>
          <w:rFonts w:ascii="Arial" w:eastAsiaTheme="minorHAnsi" w:hAnsi="Arial" w:cs="Arial"/>
          <w:i/>
          <w:iCs/>
          <w:color w:val="000000"/>
          <w:sz w:val="22"/>
          <w:szCs w:val="22"/>
          <w:lang w:val="en-IN"/>
        </w:rPr>
        <w:t xml:space="preserve">We have not considered any contingent Dues / Liability/ Payables / Receivables / Pendency on or of the company in future years, which should be assessed separately by the parties, wanting to enter in the transaction, unless otherwise mentioned. </w:t>
      </w:r>
    </w:p>
    <w:p w14:paraId="717D7E36" w14:textId="77777777" w:rsidR="00B467DA" w:rsidRDefault="00B467DA" w:rsidP="00B467DA">
      <w:pPr>
        <w:pStyle w:val="Default"/>
        <w:spacing w:line="360" w:lineRule="auto"/>
        <w:ind w:left="142" w:right="16"/>
        <w:jc w:val="both"/>
        <w:rPr>
          <w:b/>
          <w:sz w:val="22"/>
        </w:rPr>
      </w:pPr>
    </w:p>
    <w:p w14:paraId="38F0EFA3" w14:textId="4650D73D" w:rsidR="00303EBE" w:rsidRPr="005F3F74" w:rsidRDefault="00303EBE" w:rsidP="00B07001">
      <w:pPr>
        <w:pStyle w:val="Default"/>
        <w:numPr>
          <w:ilvl w:val="0"/>
          <w:numId w:val="19"/>
        </w:numPr>
        <w:spacing w:after="240" w:line="360" w:lineRule="auto"/>
        <w:ind w:left="142" w:right="16" w:hanging="426"/>
        <w:jc w:val="both"/>
        <w:rPr>
          <w:b/>
          <w:sz w:val="22"/>
        </w:rPr>
      </w:pPr>
      <w:r w:rsidRPr="00FD7B78">
        <w:rPr>
          <w:b/>
          <w:sz w:val="22"/>
        </w:rPr>
        <w:t>SENSITIVITY ANALYSIS:</w:t>
      </w:r>
    </w:p>
    <w:p w14:paraId="0E2603E1" w14:textId="06902CFD" w:rsidR="00303EBE" w:rsidRPr="0039282F" w:rsidRDefault="00303EBE" w:rsidP="00B07001">
      <w:pPr>
        <w:pStyle w:val="ListParagraph"/>
        <w:numPr>
          <w:ilvl w:val="0"/>
          <w:numId w:val="23"/>
        </w:numPr>
        <w:spacing w:line="360" w:lineRule="auto"/>
        <w:ind w:left="567" w:right="-23" w:hanging="425"/>
        <w:jc w:val="both"/>
        <w:rPr>
          <w:rFonts w:ascii="Arial" w:hAnsi="Arial" w:cs="Arial"/>
          <w:b/>
          <w:color w:val="000000"/>
          <w:sz w:val="22"/>
          <w:szCs w:val="22"/>
        </w:rPr>
      </w:pPr>
      <w:r w:rsidRPr="00E0581F">
        <w:rPr>
          <w:rFonts w:ascii="Arial" w:hAnsi="Arial" w:cs="Arial"/>
          <w:b/>
          <w:bCs/>
          <w:iCs/>
          <w:color w:val="000000"/>
          <w:sz w:val="22"/>
        </w:rPr>
        <w:t>WACC</w:t>
      </w:r>
      <w:r>
        <w:rPr>
          <w:rFonts w:ascii="Arial" w:hAnsi="Arial" w:cs="Arial"/>
          <w:bCs/>
          <w:iCs/>
          <w:color w:val="000000"/>
          <w:sz w:val="22"/>
        </w:rPr>
        <w:t xml:space="preserve"> is the key input which has strong impact on the firm’s value with respect to percentage change. We have considered a change of </w:t>
      </w:r>
      <w:r w:rsidR="0079596E">
        <w:rPr>
          <w:rFonts w:ascii="Arial" w:hAnsi="Arial" w:cs="Arial"/>
          <w:b/>
          <w:bCs/>
          <w:iCs/>
          <w:color w:val="000000"/>
          <w:sz w:val="22"/>
        </w:rPr>
        <w:t>1</w:t>
      </w:r>
      <w:r w:rsidR="00215E56">
        <w:rPr>
          <w:rFonts w:ascii="Arial" w:hAnsi="Arial" w:cs="Arial"/>
          <w:b/>
          <w:bCs/>
          <w:iCs/>
          <w:color w:val="000000"/>
          <w:sz w:val="22"/>
        </w:rPr>
        <w:t>.00</w:t>
      </w:r>
      <w:r w:rsidRPr="00E0581F">
        <w:rPr>
          <w:rFonts w:ascii="Arial" w:hAnsi="Arial" w:cs="Arial"/>
          <w:b/>
          <w:bCs/>
          <w:iCs/>
          <w:color w:val="000000"/>
          <w:sz w:val="22"/>
        </w:rPr>
        <w:t>%</w:t>
      </w:r>
      <w:r>
        <w:rPr>
          <w:rFonts w:ascii="Arial" w:hAnsi="Arial" w:cs="Arial"/>
          <w:bCs/>
          <w:iCs/>
          <w:color w:val="000000"/>
          <w:sz w:val="22"/>
        </w:rPr>
        <w:t xml:space="preserve"> to perform the sensitivity analysis.</w:t>
      </w:r>
    </w:p>
    <w:tbl>
      <w:tblPr>
        <w:tblW w:w="6586" w:type="dxa"/>
        <w:tblInd w:w="2093" w:type="dxa"/>
        <w:tblLook w:val="04A0" w:firstRow="1" w:lastRow="0" w:firstColumn="1" w:lastColumn="0" w:noHBand="0" w:noVBand="1"/>
      </w:tblPr>
      <w:tblGrid>
        <w:gridCol w:w="2617"/>
        <w:gridCol w:w="3969"/>
      </w:tblGrid>
      <w:tr w:rsidR="00303EBE" w:rsidRPr="00E8622C" w14:paraId="3293F1DB" w14:textId="77777777" w:rsidTr="00F11098">
        <w:trPr>
          <w:trHeight w:val="374"/>
        </w:trPr>
        <w:tc>
          <w:tcPr>
            <w:tcW w:w="2617" w:type="dxa"/>
            <w:tcBorders>
              <w:top w:val="single" w:sz="4" w:space="0" w:color="auto"/>
              <w:left w:val="single" w:sz="4" w:space="0" w:color="auto"/>
              <w:bottom w:val="single" w:sz="4" w:space="0" w:color="auto"/>
              <w:right w:val="single" w:sz="4" w:space="0" w:color="auto"/>
            </w:tcBorders>
            <w:shd w:val="clear" w:color="auto" w:fill="002060"/>
            <w:vAlign w:val="center"/>
          </w:tcPr>
          <w:p w14:paraId="636F8309" w14:textId="77777777" w:rsidR="00303EBE" w:rsidRPr="00E8622C" w:rsidRDefault="00303EBE" w:rsidP="0067033C">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Scenario</w:t>
            </w:r>
          </w:p>
        </w:tc>
        <w:tc>
          <w:tcPr>
            <w:tcW w:w="3969" w:type="dxa"/>
            <w:tcBorders>
              <w:top w:val="single" w:sz="4" w:space="0" w:color="auto"/>
              <w:left w:val="single" w:sz="4" w:space="0" w:color="auto"/>
              <w:bottom w:val="single" w:sz="4" w:space="0" w:color="auto"/>
              <w:right w:val="single" w:sz="4" w:space="0" w:color="auto"/>
            </w:tcBorders>
            <w:shd w:val="clear" w:color="auto" w:fill="002060"/>
            <w:vAlign w:val="bottom"/>
          </w:tcPr>
          <w:p w14:paraId="4802E83B" w14:textId="77777777" w:rsidR="00303EBE" w:rsidRPr="00E8622C" w:rsidRDefault="00303EBE" w:rsidP="0067033C">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WACC</w:t>
            </w:r>
          </w:p>
        </w:tc>
      </w:tr>
      <w:tr w:rsidR="00215E56" w:rsidRPr="00E8622C" w14:paraId="63FEC60B" w14:textId="77777777" w:rsidTr="0067033C">
        <w:trPr>
          <w:trHeight w:val="409"/>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70B230E7" w14:textId="71D030BE" w:rsidR="00215E56" w:rsidRPr="00E8622C" w:rsidRDefault="00215E56" w:rsidP="00215E56">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Optimistic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FFA8" w14:textId="54295561" w:rsidR="00215E56" w:rsidRPr="00215E56" w:rsidRDefault="00215E56" w:rsidP="00215E56">
            <w:pPr>
              <w:spacing w:after="0" w:line="276" w:lineRule="auto"/>
              <w:jc w:val="center"/>
              <w:rPr>
                <w:rFonts w:ascii="Calibri" w:hAnsi="Calibri" w:cs="Calibri"/>
                <w:color w:val="000000"/>
                <w:sz w:val="22"/>
                <w:szCs w:val="22"/>
                <w:lang w:val="en-IN" w:eastAsia="en-IN"/>
              </w:rPr>
            </w:pPr>
            <w:r w:rsidRPr="00215E56">
              <w:rPr>
                <w:rFonts w:ascii="Calibri" w:hAnsi="Calibri" w:cs="Calibri"/>
                <w:color w:val="000000"/>
                <w:sz w:val="22"/>
                <w:szCs w:val="22"/>
              </w:rPr>
              <w:t>16.76%</w:t>
            </w:r>
          </w:p>
        </w:tc>
      </w:tr>
      <w:tr w:rsidR="00215E56" w:rsidRPr="00E8622C" w14:paraId="7C05FB15" w14:textId="77777777" w:rsidTr="0067033C">
        <w:trPr>
          <w:trHeight w:val="415"/>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40007122" w14:textId="77777777" w:rsidR="00215E56" w:rsidRPr="00E8622C" w:rsidRDefault="00215E56" w:rsidP="00215E56">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F6B9" w14:textId="09341612" w:rsidR="00215E56" w:rsidRPr="00215E56" w:rsidRDefault="00215E56" w:rsidP="00215E56">
            <w:pPr>
              <w:spacing w:after="0" w:line="276" w:lineRule="auto"/>
              <w:jc w:val="center"/>
              <w:rPr>
                <w:rFonts w:ascii="Calibri" w:hAnsi="Calibri" w:cs="Calibri"/>
                <w:color w:val="000000"/>
                <w:sz w:val="22"/>
                <w:szCs w:val="22"/>
                <w:lang w:val="en-IN" w:eastAsia="en-IN"/>
              </w:rPr>
            </w:pPr>
            <w:r w:rsidRPr="00215E56">
              <w:rPr>
                <w:rFonts w:ascii="Calibri" w:hAnsi="Calibri" w:cs="Calibri"/>
                <w:color w:val="000000"/>
                <w:sz w:val="22"/>
                <w:szCs w:val="22"/>
              </w:rPr>
              <w:t>17.76%</w:t>
            </w:r>
          </w:p>
        </w:tc>
      </w:tr>
      <w:tr w:rsidR="00215E56" w:rsidRPr="00E8622C" w14:paraId="4BBB95C4" w14:textId="77777777" w:rsidTr="0067033C">
        <w:trPr>
          <w:trHeight w:val="420"/>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0C7E59C8" w14:textId="77777777" w:rsidR="00215E56" w:rsidRPr="00E8622C" w:rsidRDefault="00215E56" w:rsidP="00215E56">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F897" w14:textId="4ED3374F" w:rsidR="00215E56" w:rsidRPr="00215E56" w:rsidRDefault="00215E56" w:rsidP="00215E56">
            <w:pPr>
              <w:spacing w:after="0" w:line="276" w:lineRule="auto"/>
              <w:jc w:val="center"/>
              <w:rPr>
                <w:rFonts w:ascii="Calibri" w:hAnsi="Calibri" w:cs="Calibri"/>
                <w:color w:val="000000"/>
                <w:sz w:val="22"/>
                <w:szCs w:val="22"/>
                <w:lang w:val="en-IN" w:eastAsia="en-IN"/>
              </w:rPr>
            </w:pPr>
            <w:r w:rsidRPr="00215E56">
              <w:rPr>
                <w:rFonts w:ascii="Calibri" w:hAnsi="Calibri" w:cs="Calibri"/>
                <w:color w:val="000000"/>
                <w:sz w:val="22"/>
                <w:szCs w:val="22"/>
              </w:rPr>
              <w:t>18.76%</w:t>
            </w:r>
          </w:p>
        </w:tc>
      </w:tr>
    </w:tbl>
    <w:p w14:paraId="766D6308" w14:textId="77777777" w:rsidR="00303EBE" w:rsidRPr="005F3F74" w:rsidRDefault="00303EBE" w:rsidP="00D33C10">
      <w:pPr>
        <w:spacing w:after="0" w:line="360" w:lineRule="auto"/>
        <w:jc w:val="both"/>
        <w:rPr>
          <w:rFonts w:ascii="Arial" w:hAnsi="Arial" w:cs="Arial"/>
          <w:b/>
          <w:iCs/>
          <w:color w:val="000000"/>
          <w:sz w:val="22"/>
          <w:szCs w:val="22"/>
          <w:u w:val="single"/>
        </w:rPr>
      </w:pPr>
    </w:p>
    <w:p w14:paraId="5D7D1A26" w14:textId="6E553FF5" w:rsidR="00303EBE" w:rsidRPr="00E0581F" w:rsidRDefault="00215E56" w:rsidP="00B07001">
      <w:pPr>
        <w:pStyle w:val="ListParagraph"/>
        <w:numPr>
          <w:ilvl w:val="0"/>
          <w:numId w:val="23"/>
        </w:numPr>
        <w:spacing w:line="360" w:lineRule="auto"/>
        <w:ind w:left="567" w:right="-23" w:hanging="425"/>
        <w:jc w:val="both"/>
        <w:rPr>
          <w:rFonts w:ascii="Arial" w:hAnsi="Arial" w:cs="Arial"/>
          <w:b/>
        </w:rPr>
      </w:pPr>
      <w:r>
        <w:rPr>
          <w:rFonts w:ascii="Arial" w:hAnsi="Arial" w:cs="Arial"/>
          <w:b/>
          <w:sz w:val="22"/>
          <w:szCs w:val="22"/>
        </w:rPr>
        <w:t>TERMINAL</w:t>
      </w:r>
      <w:r w:rsidR="000A3482" w:rsidRPr="000A3482">
        <w:rPr>
          <w:rFonts w:ascii="Arial" w:hAnsi="Arial" w:cs="Arial"/>
          <w:b/>
          <w:sz w:val="22"/>
          <w:szCs w:val="22"/>
        </w:rPr>
        <w:t xml:space="preserve"> GROWTH RATE</w:t>
      </w:r>
      <w:r w:rsidR="005F3F74">
        <w:rPr>
          <w:rFonts w:ascii="Arial" w:hAnsi="Arial" w:cs="Arial"/>
          <w:b/>
        </w:rPr>
        <w:t xml:space="preserve"> </w:t>
      </w:r>
      <w:r w:rsidR="00303EBE">
        <w:rPr>
          <w:rFonts w:ascii="Arial" w:hAnsi="Arial" w:cs="Arial"/>
          <w:sz w:val="22"/>
          <w:szCs w:val="22"/>
        </w:rPr>
        <w:t xml:space="preserve">is the key input to calculate the </w:t>
      </w:r>
      <w:r w:rsidR="000A3482">
        <w:rPr>
          <w:rFonts w:ascii="Arial" w:hAnsi="Arial" w:cs="Arial"/>
          <w:sz w:val="22"/>
          <w:szCs w:val="22"/>
        </w:rPr>
        <w:t>Enterprise</w:t>
      </w:r>
      <w:r w:rsidR="00303EBE">
        <w:rPr>
          <w:rFonts w:ascii="Arial" w:hAnsi="Arial" w:cs="Arial"/>
          <w:sz w:val="22"/>
          <w:szCs w:val="22"/>
        </w:rPr>
        <w:t xml:space="preserve"> Value during assessing the firm’s value. </w:t>
      </w:r>
      <w:r w:rsidR="00303EBE">
        <w:rPr>
          <w:rFonts w:ascii="Arial" w:hAnsi="Arial" w:cs="Arial"/>
          <w:bCs/>
          <w:iCs/>
          <w:color w:val="000000"/>
          <w:sz w:val="22"/>
        </w:rPr>
        <w:t xml:space="preserve">We have considered a change of </w:t>
      </w:r>
      <w:r w:rsidR="00694E39">
        <w:rPr>
          <w:rFonts w:ascii="Arial" w:hAnsi="Arial" w:cs="Arial"/>
          <w:b/>
          <w:bCs/>
          <w:iCs/>
          <w:color w:val="000000"/>
          <w:sz w:val="22"/>
        </w:rPr>
        <w:t>0</w:t>
      </w:r>
      <w:r w:rsidR="00303EBE" w:rsidRPr="00E0581F">
        <w:rPr>
          <w:rFonts w:ascii="Arial" w:hAnsi="Arial" w:cs="Arial"/>
          <w:b/>
          <w:bCs/>
          <w:iCs/>
          <w:color w:val="000000"/>
          <w:sz w:val="22"/>
        </w:rPr>
        <w:t>.</w:t>
      </w:r>
      <w:r>
        <w:rPr>
          <w:rFonts w:ascii="Arial" w:hAnsi="Arial" w:cs="Arial"/>
          <w:b/>
          <w:bCs/>
          <w:iCs/>
          <w:color w:val="000000"/>
          <w:sz w:val="22"/>
        </w:rPr>
        <w:t>25</w:t>
      </w:r>
      <w:r w:rsidR="00303EBE" w:rsidRPr="00E0581F">
        <w:rPr>
          <w:rFonts w:ascii="Arial" w:hAnsi="Arial" w:cs="Arial"/>
          <w:b/>
          <w:bCs/>
          <w:iCs/>
          <w:color w:val="000000"/>
          <w:sz w:val="22"/>
        </w:rPr>
        <w:t>%</w:t>
      </w:r>
      <w:r w:rsidR="00303EBE">
        <w:rPr>
          <w:rFonts w:ascii="Arial" w:hAnsi="Arial" w:cs="Arial"/>
          <w:bCs/>
          <w:iCs/>
          <w:color w:val="000000"/>
          <w:sz w:val="22"/>
        </w:rPr>
        <w:t xml:space="preserve"> to perform the sensitivity analysis.</w:t>
      </w:r>
    </w:p>
    <w:tbl>
      <w:tblPr>
        <w:tblW w:w="666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002"/>
      </w:tblGrid>
      <w:tr w:rsidR="00303EBE" w:rsidRPr="00E8622C" w14:paraId="15A706BE" w14:textId="77777777" w:rsidTr="00F11098">
        <w:trPr>
          <w:trHeight w:val="300"/>
        </w:trPr>
        <w:tc>
          <w:tcPr>
            <w:tcW w:w="2660" w:type="dxa"/>
            <w:shd w:val="clear" w:color="auto" w:fill="002060"/>
            <w:noWrap/>
            <w:vAlign w:val="bottom"/>
          </w:tcPr>
          <w:p w14:paraId="2361018B" w14:textId="77777777" w:rsidR="00303EBE" w:rsidRPr="00A024D3" w:rsidRDefault="00303EBE" w:rsidP="0067033C">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Scenario</w:t>
            </w:r>
          </w:p>
        </w:tc>
        <w:tc>
          <w:tcPr>
            <w:tcW w:w="4002" w:type="dxa"/>
            <w:shd w:val="clear" w:color="auto" w:fill="002060"/>
            <w:noWrap/>
            <w:vAlign w:val="center"/>
          </w:tcPr>
          <w:p w14:paraId="5B84EDE3" w14:textId="77777777" w:rsidR="00303EBE" w:rsidRPr="00A024D3" w:rsidRDefault="00303EBE" w:rsidP="0067033C">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Growth Rate</w:t>
            </w:r>
          </w:p>
        </w:tc>
      </w:tr>
      <w:tr w:rsidR="00303EBE" w:rsidRPr="00E8622C" w14:paraId="585789E4" w14:textId="77777777" w:rsidTr="00C5152D">
        <w:trPr>
          <w:trHeight w:val="300"/>
        </w:trPr>
        <w:tc>
          <w:tcPr>
            <w:tcW w:w="2660" w:type="dxa"/>
            <w:shd w:val="clear" w:color="auto" w:fill="auto"/>
            <w:noWrap/>
            <w:vAlign w:val="bottom"/>
            <w:hideMark/>
          </w:tcPr>
          <w:p w14:paraId="43BA625E" w14:textId="77777777" w:rsidR="00303EBE" w:rsidRPr="00E8622C" w:rsidRDefault="00303EBE" w:rsidP="0067033C">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4002" w:type="dxa"/>
            <w:shd w:val="clear" w:color="auto" w:fill="auto"/>
            <w:noWrap/>
            <w:vAlign w:val="center"/>
            <w:hideMark/>
          </w:tcPr>
          <w:p w14:paraId="605C8497" w14:textId="3837B011" w:rsidR="00303EBE" w:rsidRPr="00E8622C" w:rsidRDefault="00215E56" w:rsidP="0067033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694E39">
              <w:rPr>
                <w:rFonts w:ascii="Calibri" w:hAnsi="Calibri" w:cs="Calibri"/>
                <w:color w:val="000000"/>
                <w:sz w:val="22"/>
                <w:szCs w:val="22"/>
                <w:lang w:val="en-IN" w:eastAsia="en-IN"/>
              </w:rPr>
              <w:t>25</w:t>
            </w:r>
            <w:r w:rsidR="00A87799">
              <w:rPr>
                <w:rFonts w:ascii="Calibri" w:hAnsi="Calibri" w:cs="Calibri"/>
                <w:color w:val="000000"/>
                <w:sz w:val="22"/>
                <w:szCs w:val="22"/>
                <w:lang w:val="en-IN" w:eastAsia="en-IN"/>
              </w:rPr>
              <w:t>%</w:t>
            </w:r>
          </w:p>
        </w:tc>
      </w:tr>
      <w:tr w:rsidR="00303EBE" w:rsidRPr="00E8622C" w14:paraId="20492EAF" w14:textId="77777777" w:rsidTr="00C5152D">
        <w:trPr>
          <w:trHeight w:val="300"/>
        </w:trPr>
        <w:tc>
          <w:tcPr>
            <w:tcW w:w="2660" w:type="dxa"/>
            <w:shd w:val="clear" w:color="auto" w:fill="auto"/>
            <w:noWrap/>
            <w:vAlign w:val="bottom"/>
            <w:hideMark/>
          </w:tcPr>
          <w:p w14:paraId="3151E564" w14:textId="77777777" w:rsidR="00303EBE" w:rsidRPr="00E8622C" w:rsidRDefault="00303EBE" w:rsidP="0067033C">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4002" w:type="dxa"/>
            <w:shd w:val="clear" w:color="auto" w:fill="auto"/>
            <w:noWrap/>
            <w:vAlign w:val="center"/>
            <w:hideMark/>
          </w:tcPr>
          <w:p w14:paraId="2DDA06F2" w14:textId="307FCFFC" w:rsidR="00303EBE" w:rsidRPr="00E8622C" w:rsidRDefault="00215E56" w:rsidP="0067033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694E39">
              <w:rPr>
                <w:rFonts w:ascii="Calibri" w:hAnsi="Calibri" w:cs="Calibri"/>
                <w:color w:val="000000"/>
                <w:sz w:val="22"/>
                <w:szCs w:val="22"/>
                <w:lang w:val="en-IN" w:eastAsia="en-IN"/>
              </w:rPr>
              <w:t>.00</w:t>
            </w:r>
            <w:r w:rsidR="00A87799">
              <w:rPr>
                <w:rFonts w:ascii="Calibri" w:hAnsi="Calibri" w:cs="Calibri"/>
                <w:color w:val="000000"/>
                <w:sz w:val="22"/>
                <w:szCs w:val="22"/>
                <w:lang w:val="en-IN" w:eastAsia="en-IN"/>
              </w:rPr>
              <w:t>%</w:t>
            </w:r>
          </w:p>
        </w:tc>
      </w:tr>
      <w:tr w:rsidR="00303EBE" w:rsidRPr="00E8622C" w14:paraId="3733EFB2" w14:textId="77777777" w:rsidTr="00C5152D">
        <w:trPr>
          <w:trHeight w:val="300"/>
        </w:trPr>
        <w:tc>
          <w:tcPr>
            <w:tcW w:w="2660" w:type="dxa"/>
            <w:shd w:val="clear" w:color="auto" w:fill="auto"/>
            <w:noWrap/>
            <w:vAlign w:val="bottom"/>
            <w:hideMark/>
          </w:tcPr>
          <w:p w14:paraId="3290AEF7" w14:textId="77777777" w:rsidR="00303EBE" w:rsidRPr="00E8622C" w:rsidRDefault="00303EBE" w:rsidP="0067033C">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4002" w:type="dxa"/>
            <w:shd w:val="clear" w:color="auto" w:fill="auto"/>
            <w:noWrap/>
            <w:vAlign w:val="center"/>
            <w:hideMark/>
          </w:tcPr>
          <w:p w14:paraId="739506D4" w14:textId="517EB9AF" w:rsidR="00303EBE" w:rsidRPr="00E8622C" w:rsidRDefault="00215E56" w:rsidP="0067033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0.75</w:t>
            </w:r>
            <w:r w:rsidR="00A87799">
              <w:rPr>
                <w:rFonts w:ascii="Calibri" w:hAnsi="Calibri" w:cs="Calibri"/>
                <w:color w:val="000000"/>
                <w:sz w:val="22"/>
                <w:szCs w:val="22"/>
                <w:lang w:val="en-IN" w:eastAsia="en-IN"/>
              </w:rPr>
              <w:t>%</w:t>
            </w:r>
          </w:p>
        </w:tc>
      </w:tr>
    </w:tbl>
    <w:p w14:paraId="76573682" w14:textId="193670E8" w:rsidR="000C7C4D" w:rsidRDefault="000C7C4D" w:rsidP="00BC727E">
      <w:pPr>
        <w:spacing w:after="0"/>
        <w:rPr>
          <w:rFonts w:ascii="Arial" w:hAnsi="Arial" w:cs="Arial"/>
          <w:b/>
          <w:iCs/>
          <w:color w:val="000000"/>
          <w:sz w:val="22"/>
          <w:szCs w:val="22"/>
        </w:rPr>
      </w:pPr>
    </w:p>
    <w:p w14:paraId="63C260C6" w14:textId="7F90F014" w:rsidR="00303EBE" w:rsidRDefault="00303EBE" w:rsidP="00B07001">
      <w:pPr>
        <w:pStyle w:val="ListParagraph"/>
        <w:numPr>
          <w:ilvl w:val="0"/>
          <w:numId w:val="23"/>
        </w:numPr>
        <w:spacing w:line="360" w:lineRule="auto"/>
        <w:ind w:left="567" w:right="-23" w:hanging="425"/>
        <w:jc w:val="both"/>
        <w:rPr>
          <w:rFonts w:ascii="Arial" w:hAnsi="Arial" w:cs="Arial"/>
          <w:b/>
          <w:iCs/>
          <w:color w:val="000000"/>
          <w:sz w:val="22"/>
          <w:szCs w:val="22"/>
        </w:rPr>
      </w:pPr>
      <w:r>
        <w:rPr>
          <w:rFonts w:ascii="Arial" w:hAnsi="Arial" w:cs="Arial"/>
          <w:b/>
          <w:iCs/>
          <w:color w:val="000000"/>
          <w:sz w:val="22"/>
          <w:szCs w:val="22"/>
        </w:rPr>
        <w:t>ENTERPRISE VALUE OF THE FIRM IN THE DIFFERENT SCENARIO:</w:t>
      </w:r>
    </w:p>
    <w:tbl>
      <w:tblPr>
        <w:tblW w:w="471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384"/>
        <w:gridCol w:w="2077"/>
        <w:gridCol w:w="1943"/>
        <w:gridCol w:w="2142"/>
      </w:tblGrid>
      <w:tr w:rsidR="000A3482" w:rsidRPr="001318DF" w14:paraId="62C12654" w14:textId="77777777" w:rsidTr="00911831">
        <w:trPr>
          <w:trHeight w:val="300"/>
        </w:trPr>
        <w:tc>
          <w:tcPr>
            <w:tcW w:w="1550" w:type="pct"/>
            <w:gridSpan w:val="2"/>
            <w:vMerge w:val="restart"/>
            <w:shd w:val="clear" w:color="auto" w:fill="002060"/>
            <w:noWrap/>
            <w:vAlign w:val="center"/>
            <w:hideMark/>
          </w:tcPr>
          <w:p w14:paraId="4BA1327F" w14:textId="57F5451F" w:rsidR="000A3482" w:rsidRPr="005B69A9" w:rsidRDefault="000A3482" w:rsidP="00443BE2">
            <w:pPr>
              <w:spacing w:after="0" w:line="276" w:lineRule="auto"/>
              <w:jc w:val="center"/>
              <w:rPr>
                <w:rFonts w:asciiTheme="minorHAnsi" w:hAnsiTheme="minorHAnsi" w:cstheme="minorHAnsi"/>
                <w:b/>
                <w:color w:val="FFFFFF" w:themeColor="background1"/>
                <w:szCs w:val="22"/>
                <w:lang w:val="en-IN" w:eastAsia="en-IN"/>
              </w:rPr>
            </w:pPr>
            <w:r w:rsidRPr="005B69A9">
              <w:rPr>
                <w:rFonts w:asciiTheme="minorHAnsi" w:hAnsiTheme="minorHAnsi" w:cstheme="minorHAnsi"/>
                <w:b/>
                <w:color w:val="FFFFFF" w:themeColor="background1"/>
                <w:szCs w:val="22"/>
                <w:lang w:val="en-IN" w:eastAsia="en-IN"/>
              </w:rPr>
              <w:t xml:space="preserve">INR </w:t>
            </w:r>
            <w:r w:rsidR="00911831" w:rsidRPr="00911831">
              <w:rPr>
                <w:rFonts w:ascii="Calibri" w:hAnsi="Calibri" w:cs="Calibri"/>
                <w:b/>
                <w:color w:val="FFFFFF" w:themeColor="background1"/>
                <w:szCs w:val="22"/>
              </w:rPr>
              <w:t>1,207.35</w:t>
            </w:r>
            <w:r w:rsidR="00911831">
              <w:rPr>
                <w:rFonts w:asciiTheme="minorHAnsi" w:hAnsiTheme="minorHAnsi" w:cstheme="minorHAnsi"/>
                <w:b/>
                <w:color w:val="FFFFFF" w:themeColor="background1"/>
                <w:szCs w:val="22"/>
                <w:lang w:val="en-IN" w:eastAsia="en-IN"/>
              </w:rPr>
              <w:t xml:space="preserve"> </w:t>
            </w:r>
            <w:r w:rsidR="00215E56">
              <w:rPr>
                <w:rFonts w:asciiTheme="minorHAnsi" w:hAnsiTheme="minorHAnsi" w:cstheme="minorHAnsi"/>
                <w:b/>
                <w:color w:val="FFFFFF" w:themeColor="background1"/>
                <w:szCs w:val="22"/>
                <w:lang w:val="en-IN" w:eastAsia="en-IN"/>
              </w:rPr>
              <w:t>Crore</w:t>
            </w:r>
            <w:r w:rsidR="00694E39" w:rsidRPr="005B69A9">
              <w:rPr>
                <w:rFonts w:asciiTheme="minorHAnsi" w:hAnsiTheme="minorHAnsi" w:cstheme="minorHAnsi"/>
                <w:b/>
                <w:color w:val="FFFFFF" w:themeColor="background1"/>
                <w:szCs w:val="22"/>
                <w:lang w:val="en-IN" w:eastAsia="en-IN"/>
              </w:rPr>
              <w:t>s</w:t>
            </w:r>
          </w:p>
        </w:tc>
        <w:tc>
          <w:tcPr>
            <w:tcW w:w="3450" w:type="pct"/>
            <w:gridSpan w:val="3"/>
            <w:shd w:val="clear" w:color="auto" w:fill="002060"/>
            <w:noWrap/>
            <w:vAlign w:val="center"/>
            <w:hideMark/>
          </w:tcPr>
          <w:p w14:paraId="021B0CA7" w14:textId="74C155D8" w:rsidR="000A3482" w:rsidRPr="00D85A0D" w:rsidRDefault="00FC54BE" w:rsidP="00C14E3C">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color w:val="FFFFFF" w:themeColor="background1"/>
                <w:sz w:val="22"/>
                <w:szCs w:val="22"/>
                <w:lang w:val="en-IN" w:eastAsia="en-IN"/>
              </w:rPr>
              <w:t xml:space="preserve">Terminal </w:t>
            </w:r>
            <w:r w:rsidR="000A3482" w:rsidRPr="00D85A0D">
              <w:rPr>
                <w:rFonts w:asciiTheme="minorHAnsi" w:hAnsiTheme="minorHAnsi" w:cstheme="minorHAnsi"/>
                <w:b/>
                <w:bCs/>
                <w:color w:val="FFFFFF" w:themeColor="background1"/>
                <w:sz w:val="22"/>
                <w:szCs w:val="22"/>
                <w:lang w:val="en-IN" w:eastAsia="en-IN"/>
              </w:rPr>
              <w:t xml:space="preserve">Growth </w:t>
            </w:r>
            <w:r>
              <w:rPr>
                <w:rFonts w:asciiTheme="minorHAnsi" w:hAnsiTheme="minorHAnsi" w:cstheme="minorHAnsi"/>
                <w:b/>
                <w:bCs/>
                <w:color w:val="FFFFFF" w:themeColor="background1"/>
                <w:sz w:val="22"/>
                <w:szCs w:val="22"/>
                <w:lang w:val="en-IN" w:eastAsia="en-IN"/>
              </w:rPr>
              <w:t>Rate</w:t>
            </w:r>
          </w:p>
        </w:tc>
      </w:tr>
      <w:tr w:rsidR="00215E56" w:rsidRPr="001318DF" w14:paraId="7C49A980" w14:textId="77777777" w:rsidTr="00911831">
        <w:trPr>
          <w:trHeight w:val="300"/>
        </w:trPr>
        <w:tc>
          <w:tcPr>
            <w:tcW w:w="1550" w:type="pct"/>
            <w:gridSpan w:val="2"/>
            <w:vMerge/>
            <w:shd w:val="clear" w:color="auto" w:fill="002060"/>
            <w:noWrap/>
            <w:vAlign w:val="center"/>
            <w:hideMark/>
          </w:tcPr>
          <w:p w14:paraId="36CCB050" w14:textId="77777777" w:rsidR="00215E56" w:rsidRPr="00D85A0D" w:rsidRDefault="00215E56" w:rsidP="00215E56">
            <w:pPr>
              <w:spacing w:after="0" w:line="360" w:lineRule="auto"/>
              <w:jc w:val="center"/>
              <w:rPr>
                <w:rFonts w:asciiTheme="minorHAnsi" w:hAnsiTheme="minorHAnsi" w:cstheme="minorHAnsi"/>
                <w:sz w:val="22"/>
                <w:szCs w:val="22"/>
                <w:lang w:val="en-IN" w:eastAsia="en-IN"/>
              </w:rPr>
            </w:pPr>
          </w:p>
        </w:tc>
        <w:tc>
          <w:tcPr>
            <w:tcW w:w="1163" w:type="pct"/>
            <w:shd w:val="clear" w:color="auto" w:fill="DEEAF6" w:themeFill="accent1" w:themeFillTint="33"/>
            <w:noWrap/>
            <w:vAlign w:val="center"/>
            <w:hideMark/>
          </w:tcPr>
          <w:p w14:paraId="6594B66A" w14:textId="735193DA" w:rsidR="00215E56" w:rsidRPr="00215E56" w:rsidRDefault="00215E56" w:rsidP="00215E56">
            <w:pPr>
              <w:spacing w:after="0" w:line="360" w:lineRule="auto"/>
              <w:jc w:val="center"/>
              <w:rPr>
                <w:rFonts w:asciiTheme="minorHAnsi" w:hAnsiTheme="minorHAnsi" w:cstheme="minorHAnsi"/>
                <w:b/>
                <w:bCs/>
                <w:sz w:val="22"/>
                <w:szCs w:val="22"/>
                <w:lang w:val="en-IN" w:eastAsia="en-IN"/>
              </w:rPr>
            </w:pPr>
            <w:r w:rsidRPr="00215E56">
              <w:rPr>
                <w:rFonts w:ascii="Calibri" w:hAnsi="Calibri" w:cs="Calibri"/>
                <w:b/>
                <w:bCs/>
                <w:color w:val="000000"/>
                <w:sz w:val="22"/>
                <w:szCs w:val="22"/>
              </w:rPr>
              <w:t>0.75%</w:t>
            </w:r>
          </w:p>
        </w:tc>
        <w:tc>
          <w:tcPr>
            <w:tcW w:w="1088" w:type="pct"/>
            <w:shd w:val="clear" w:color="auto" w:fill="DEEAF6" w:themeFill="accent1" w:themeFillTint="33"/>
            <w:noWrap/>
            <w:vAlign w:val="center"/>
            <w:hideMark/>
          </w:tcPr>
          <w:p w14:paraId="1526FA0B" w14:textId="3114F272" w:rsidR="00215E56" w:rsidRPr="00215E56" w:rsidRDefault="00215E56" w:rsidP="00215E56">
            <w:pPr>
              <w:spacing w:after="0" w:line="360" w:lineRule="auto"/>
              <w:jc w:val="center"/>
              <w:rPr>
                <w:rFonts w:asciiTheme="minorHAnsi" w:hAnsiTheme="minorHAnsi" w:cstheme="minorHAnsi"/>
                <w:b/>
                <w:bCs/>
                <w:sz w:val="22"/>
                <w:szCs w:val="22"/>
                <w:lang w:val="en-IN" w:eastAsia="en-IN"/>
              </w:rPr>
            </w:pPr>
            <w:r w:rsidRPr="00215E56">
              <w:rPr>
                <w:rFonts w:ascii="Calibri" w:hAnsi="Calibri" w:cs="Calibri"/>
                <w:b/>
                <w:bCs/>
                <w:color w:val="000000"/>
                <w:sz w:val="22"/>
                <w:szCs w:val="22"/>
              </w:rPr>
              <w:t>1.00%</w:t>
            </w:r>
          </w:p>
        </w:tc>
        <w:tc>
          <w:tcPr>
            <w:tcW w:w="1200" w:type="pct"/>
            <w:shd w:val="clear" w:color="auto" w:fill="DEEAF6" w:themeFill="accent1" w:themeFillTint="33"/>
            <w:noWrap/>
            <w:vAlign w:val="center"/>
            <w:hideMark/>
          </w:tcPr>
          <w:p w14:paraId="1353434D" w14:textId="73029600" w:rsidR="00215E56" w:rsidRPr="00215E56" w:rsidRDefault="00215E56" w:rsidP="00215E56">
            <w:pPr>
              <w:spacing w:after="0" w:line="360" w:lineRule="auto"/>
              <w:jc w:val="center"/>
              <w:rPr>
                <w:rFonts w:asciiTheme="minorHAnsi" w:hAnsiTheme="minorHAnsi" w:cstheme="minorHAnsi"/>
                <w:b/>
                <w:bCs/>
                <w:sz w:val="22"/>
                <w:szCs w:val="22"/>
                <w:lang w:val="en-IN" w:eastAsia="en-IN"/>
              </w:rPr>
            </w:pPr>
            <w:r w:rsidRPr="00215E56">
              <w:rPr>
                <w:rFonts w:ascii="Calibri" w:hAnsi="Calibri" w:cs="Calibri"/>
                <w:b/>
                <w:bCs/>
                <w:color w:val="000000"/>
                <w:sz w:val="22"/>
                <w:szCs w:val="22"/>
              </w:rPr>
              <w:t>1.25%</w:t>
            </w:r>
          </w:p>
        </w:tc>
      </w:tr>
      <w:tr w:rsidR="00911831" w:rsidRPr="001318DF" w14:paraId="11E3EA24" w14:textId="77777777" w:rsidTr="00911831">
        <w:trPr>
          <w:trHeight w:val="300"/>
        </w:trPr>
        <w:tc>
          <w:tcPr>
            <w:tcW w:w="775" w:type="pct"/>
            <w:vMerge w:val="restart"/>
            <w:shd w:val="clear" w:color="auto" w:fill="002060"/>
            <w:textDirection w:val="btLr"/>
            <w:vAlign w:val="center"/>
            <w:hideMark/>
          </w:tcPr>
          <w:p w14:paraId="4A4A3D85" w14:textId="77777777" w:rsidR="00911831" w:rsidRPr="00D85A0D" w:rsidRDefault="00911831" w:rsidP="00911831">
            <w:pPr>
              <w:spacing w:after="0" w:line="360" w:lineRule="auto"/>
              <w:jc w:val="center"/>
              <w:rPr>
                <w:rFonts w:asciiTheme="minorHAnsi" w:hAnsiTheme="minorHAnsi" w:cstheme="minorHAnsi"/>
                <w:b/>
                <w:bCs/>
                <w:sz w:val="22"/>
                <w:szCs w:val="22"/>
                <w:lang w:val="en-IN" w:eastAsia="en-IN"/>
              </w:rPr>
            </w:pPr>
            <w:r w:rsidRPr="00D85A0D">
              <w:rPr>
                <w:rFonts w:asciiTheme="minorHAnsi" w:hAnsiTheme="minorHAnsi" w:cstheme="minorHAnsi"/>
                <w:b/>
                <w:bCs/>
                <w:sz w:val="22"/>
                <w:szCs w:val="22"/>
                <w:lang w:val="en-IN" w:eastAsia="en-IN"/>
              </w:rPr>
              <w:t>Discount Rate</w:t>
            </w:r>
          </w:p>
        </w:tc>
        <w:tc>
          <w:tcPr>
            <w:tcW w:w="775" w:type="pct"/>
            <w:shd w:val="clear" w:color="auto" w:fill="DEEAF6" w:themeFill="accent1" w:themeFillTint="33"/>
            <w:noWrap/>
            <w:vAlign w:val="center"/>
            <w:hideMark/>
          </w:tcPr>
          <w:p w14:paraId="1D26E2B2" w14:textId="3B598214" w:rsidR="00911831" w:rsidRPr="00215E56" w:rsidRDefault="00911831" w:rsidP="00911831">
            <w:pPr>
              <w:spacing w:after="0" w:line="360" w:lineRule="auto"/>
              <w:jc w:val="center"/>
              <w:rPr>
                <w:rFonts w:asciiTheme="minorHAnsi" w:hAnsiTheme="minorHAnsi" w:cstheme="minorHAnsi"/>
                <w:b/>
                <w:bCs/>
                <w:i/>
                <w:iCs/>
                <w:sz w:val="22"/>
                <w:szCs w:val="22"/>
                <w:lang w:val="en-IN" w:eastAsia="en-IN"/>
              </w:rPr>
            </w:pPr>
            <w:r w:rsidRPr="00215E56">
              <w:rPr>
                <w:rFonts w:ascii="Calibri" w:hAnsi="Calibri" w:cs="Calibri"/>
                <w:b/>
                <w:bCs/>
                <w:color w:val="000000"/>
                <w:sz w:val="22"/>
                <w:szCs w:val="22"/>
              </w:rPr>
              <w:t>16.76%</w:t>
            </w:r>
          </w:p>
        </w:tc>
        <w:tc>
          <w:tcPr>
            <w:tcW w:w="1163" w:type="pct"/>
            <w:shd w:val="clear" w:color="auto" w:fill="auto"/>
            <w:noWrap/>
            <w:vAlign w:val="center"/>
            <w:hideMark/>
          </w:tcPr>
          <w:p w14:paraId="77D39629" w14:textId="4EFF56B7"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1,267.35</w:t>
            </w:r>
          </w:p>
        </w:tc>
        <w:tc>
          <w:tcPr>
            <w:tcW w:w="1088" w:type="pct"/>
            <w:shd w:val="clear" w:color="auto" w:fill="auto"/>
            <w:noWrap/>
            <w:vAlign w:val="center"/>
            <w:hideMark/>
          </w:tcPr>
          <w:p w14:paraId="0B349863" w14:textId="24429B8C"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1,272.15</w:t>
            </w:r>
          </w:p>
        </w:tc>
        <w:tc>
          <w:tcPr>
            <w:tcW w:w="1200" w:type="pct"/>
            <w:shd w:val="clear" w:color="auto" w:fill="auto"/>
            <w:noWrap/>
            <w:vAlign w:val="center"/>
            <w:hideMark/>
          </w:tcPr>
          <w:p w14:paraId="7BC6BA3F" w14:textId="4165CC96"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1,277.11</w:t>
            </w:r>
          </w:p>
        </w:tc>
      </w:tr>
      <w:tr w:rsidR="00911831" w:rsidRPr="001318DF" w14:paraId="4922A6D1" w14:textId="77777777" w:rsidTr="00911831">
        <w:trPr>
          <w:trHeight w:val="375"/>
        </w:trPr>
        <w:tc>
          <w:tcPr>
            <w:tcW w:w="775" w:type="pct"/>
            <w:vMerge/>
            <w:shd w:val="clear" w:color="auto" w:fill="002060"/>
            <w:vAlign w:val="center"/>
            <w:hideMark/>
          </w:tcPr>
          <w:p w14:paraId="07B9F716" w14:textId="77777777" w:rsidR="00911831" w:rsidRPr="00D85A0D" w:rsidRDefault="00911831" w:rsidP="00911831">
            <w:pPr>
              <w:spacing w:after="0" w:line="360" w:lineRule="auto"/>
              <w:jc w:val="center"/>
              <w:rPr>
                <w:rFonts w:asciiTheme="minorHAnsi" w:hAnsiTheme="minorHAnsi" w:cstheme="minorHAnsi"/>
                <w:b/>
                <w:bCs/>
                <w:sz w:val="22"/>
                <w:szCs w:val="22"/>
                <w:lang w:val="en-IN" w:eastAsia="en-IN"/>
              </w:rPr>
            </w:pPr>
          </w:p>
        </w:tc>
        <w:tc>
          <w:tcPr>
            <w:tcW w:w="775" w:type="pct"/>
            <w:shd w:val="clear" w:color="auto" w:fill="DEEAF6" w:themeFill="accent1" w:themeFillTint="33"/>
            <w:noWrap/>
            <w:vAlign w:val="center"/>
            <w:hideMark/>
          </w:tcPr>
          <w:p w14:paraId="0448C377" w14:textId="76ED9D1B" w:rsidR="00911831" w:rsidRPr="00215E56" w:rsidRDefault="00911831" w:rsidP="00911831">
            <w:pPr>
              <w:spacing w:after="0" w:line="360" w:lineRule="auto"/>
              <w:jc w:val="center"/>
              <w:rPr>
                <w:rFonts w:asciiTheme="minorHAnsi" w:hAnsiTheme="minorHAnsi" w:cstheme="minorHAnsi"/>
                <w:b/>
                <w:bCs/>
                <w:i/>
                <w:iCs/>
                <w:sz w:val="22"/>
                <w:szCs w:val="22"/>
                <w:lang w:val="en-IN" w:eastAsia="en-IN"/>
              </w:rPr>
            </w:pPr>
            <w:r w:rsidRPr="00215E56">
              <w:rPr>
                <w:rFonts w:ascii="Calibri" w:hAnsi="Calibri" w:cs="Calibri"/>
                <w:b/>
                <w:bCs/>
                <w:color w:val="000000"/>
                <w:sz w:val="22"/>
                <w:szCs w:val="22"/>
              </w:rPr>
              <w:t>17.76%</w:t>
            </w:r>
          </w:p>
        </w:tc>
        <w:tc>
          <w:tcPr>
            <w:tcW w:w="1163" w:type="pct"/>
            <w:shd w:val="clear" w:color="auto" w:fill="auto"/>
            <w:noWrap/>
            <w:vAlign w:val="center"/>
            <w:hideMark/>
          </w:tcPr>
          <w:p w14:paraId="767F4FBE" w14:textId="679A5973"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1,203.39</w:t>
            </w:r>
          </w:p>
        </w:tc>
        <w:tc>
          <w:tcPr>
            <w:tcW w:w="1088" w:type="pct"/>
            <w:shd w:val="clear" w:color="auto" w:fill="auto"/>
            <w:noWrap/>
            <w:vAlign w:val="center"/>
            <w:hideMark/>
          </w:tcPr>
          <w:p w14:paraId="0D232FFA" w14:textId="21036AD4" w:rsidR="00911831" w:rsidRPr="00911831" w:rsidRDefault="00911831" w:rsidP="00911831">
            <w:pPr>
              <w:spacing w:after="0" w:line="360" w:lineRule="auto"/>
              <w:ind w:left="-107"/>
              <w:jc w:val="center"/>
              <w:rPr>
                <w:rFonts w:asciiTheme="minorHAnsi" w:hAnsiTheme="minorHAnsi" w:cstheme="minorHAnsi"/>
                <w:b/>
                <w:bCs/>
                <w:color w:val="C00000"/>
                <w:sz w:val="22"/>
                <w:szCs w:val="22"/>
                <w:lang w:val="en-IN" w:eastAsia="en-IN"/>
              </w:rPr>
            </w:pPr>
            <w:r w:rsidRPr="00911831">
              <w:rPr>
                <w:rFonts w:ascii="Calibri" w:hAnsi="Calibri" w:cs="Calibri"/>
                <w:b/>
                <w:color w:val="000000"/>
                <w:sz w:val="22"/>
                <w:szCs w:val="22"/>
              </w:rPr>
              <w:t>1,207.35</w:t>
            </w:r>
          </w:p>
        </w:tc>
        <w:tc>
          <w:tcPr>
            <w:tcW w:w="1200" w:type="pct"/>
            <w:shd w:val="clear" w:color="auto" w:fill="auto"/>
            <w:noWrap/>
            <w:vAlign w:val="center"/>
            <w:hideMark/>
          </w:tcPr>
          <w:p w14:paraId="19F4385A" w14:textId="1DF8A390"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1,211.43</w:t>
            </w:r>
          </w:p>
        </w:tc>
      </w:tr>
      <w:tr w:rsidR="00911831" w:rsidRPr="001318DF" w14:paraId="0FD63291" w14:textId="77777777" w:rsidTr="00911831">
        <w:trPr>
          <w:trHeight w:val="300"/>
        </w:trPr>
        <w:tc>
          <w:tcPr>
            <w:tcW w:w="775" w:type="pct"/>
            <w:vMerge/>
            <w:shd w:val="clear" w:color="auto" w:fill="002060"/>
            <w:vAlign w:val="center"/>
            <w:hideMark/>
          </w:tcPr>
          <w:p w14:paraId="63CD20B3" w14:textId="77777777" w:rsidR="00911831" w:rsidRPr="00D85A0D" w:rsidRDefault="00911831" w:rsidP="00911831">
            <w:pPr>
              <w:spacing w:after="0" w:line="360" w:lineRule="auto"/>
              <w:jc w:val="center"/>
              <w:rPr>
                <w:rFonts w:asciiTheme="minorHAnsi" w:hAnsiTheme="minorHAnsi" w:cstheme="minorHAnsi"/>
                <w:b/>
                <w:bCs/>
                <w:sz w:val="22"/>
                <w:szCs w:val="22"/>
                <w:lang w:val="en-IN" w:eastAsia="en-IN"/>
              </w:rPr>
            </w:pPr>
          </w:p>
        </w:tc>
        <w:tc>
          <w:tcPr>
            <w:tcW w:w="775" w:type="pct"/>
            <w:shd w:val="clear" w:color="auto" w:fill="DEEAF6" w:themeFill="accent1" w:themeFillTint="33"/>
            <w:noWrap/>
            <w:vAlign w:val="center"/>
            <w:hideMark/>
          </w:tcPr>
          <w:p w14:paraId="4F6C6764" w14:textId="67BC6EA1" w:rsidR="00911831" w:rsidRPr="00215E56" w:rsidRDefault="00911831" w:rsidP="00911831">
            <w:pPr>
              <w:spacing w:after="0" w:line="360" w:lineRule="auto"/>
              <w:jc w:val="center"/>
              <w:rPr>
                <w:rFonts w:asciiTheme="minorHAnsi" w:hAnsiTheme="minorHAnsi" w:cstheme="minorHAnsi"/>
                <w:b/>
                <w:bCs/>
                <w:i/>
                <w:iCs/>
                <w:sz w:val="22"/>
                <w:szCs w:val="22"/>
                <w:lang w:val="en-IN" w:eastAsia="en-IN"/>
              </w:rPr>
            </w:pPr>
            <w:r w:rsidRPr="00215E56">
              <w:rPr>
                <w:rFonts w:ascii="Calibri" w:hAnsi="Calibri" w:cs="Calibri"/>
                <w:b/>
                <w:bCs/>
                <w:color w:val="000000"/>
                <w:sz w:val="22"/>
                <w:szCs w:val="22"/>
              </w:rPr>
              <w:t>18.76%</w:t>
            </w:r>
          </w:p>
        </w:tc>
        <w:tc>
          <w:tcPr>
            <w:tcW w:w="1163" w:type="pct"/>
            <w:shd w:val="clear" w:color="auto" w:fill="auto"/>
            <w:noWrap/>
            <w:vAlign w:val="center"/>
            <w:hideMark/>
          </w:tcPr>
          <w:p w14:paraId="0CC7448B" w14:textId="4791A530"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1,146.19</w:t>
            </w:r>
          </w:p>
        </w:tc>
        <w:tc>
          <w:tcPr>
            <w:tcW w:w="1088" w:type="pct"/>
            <w:shd w:val="clear" w:color="auto" w:fill="auto"/>
            <w:noWrap/>
            <w:vAlign w:val="center"/>
            <w:hideMark/>
          </w:tcPr>
          <w:p w14:paraId="539D3A79" w14:textId="3BC5DD24"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1,149.49</w:t>
            </w:r>
          </w:p>
        </w:tc>
        <w:tc>
          <w:tcPr>
            <w:tcW w:w="1200" w:type="pct"/>
            <w:shd w:val="clear" w:color="auto" w:fill="auto"/>
            <w:noWrap/>
            <w:vAlign w:val="center"/>
            <w:hideMark/>
          </w:tcPr>
          <w:p w14:paraId="51D913B7" w14:textId="0B659599" w:rsidR="00911831" w:rsidRPr="004B09F8" w:rsidRDefault="00911831" w:rsidP="00911831">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1,152.88</w:t>
            </w:r>
          </w:p>
        </w:tc>
      </w:tr>
    </w:tbl>
    <w:p w14:paraId="45C24C85" w14:textId="76EF0871" w:rsidR="00117947" w:rsidRDefault="00303EBE" w:rsidP="00117947">
      <w:pPr>
        <w:spacing w:before="240" w:line="360" w:lineRule="auto"/>
        <w:ind w:left="567" w:right="-23"/>
        <w:jc w:val="both"/>
        <w:rPr>
          <w:rFonts w:ascii="Arial" w:hAnsi="Arial" w:cs="Arial"/>
          <w:sz w:val="22"/>
          <w:szCs w:val="22"/>
        </w:rPr>
      </w:pPr>
      <w:r w:rsidRPr="00466695">
        <w:rPr>
          <w:rFonts w:ascii="Arial" w:hAnsi="Arial" w:cs="Arial"/>
          <w:sz w:val="22"/>
          <w:szCs w:val="22"/>
        </w:rPr>
        <w:t>Thus, in the base case</w:t>
      </w:r>
      <w:r w:rsidR="00694E39">
        <w:rPr>
          <w:rFonts w:ascii="Arial" w:hAnsi="Arial" w:cs="Arial"/>
          <w:sz w:val="22"/>
          <w:szCs w:val="22"/>
        </w:rPr>
        <w:t xml:space="preserve">, </w:t>
      </w:r>
      <w:r w:rsidR="00694E39" w:rsidRPr="00FE63AE">
        <w:rPr>
          <w:rFonts w:ascii="Arial" w:hAnsi="Arial" w:cs="Arial"/>
          <w:b/>
          <w:bCs/>
          <w:sz w:val="22"/>
          <w:szCs w:val="22"/>
        </w:rPr>
        <w:t>‘</w:t>
      </w:r>
      <w:r w:rsidR="00215E56">
        <w:rPr>
          <w:rFonts w:ascii="Arial" w:hAnsi="Arial" w:cs="Arial"/>
          <w:b/>
          <w:bCs/>
          <w:sz w:val="22"/>
          <w:szCs w:val="22"/>
        </w:rPr>
        <w:t>GTL INFRA</w:t>
      </w:r>
      <w:r w:rsidR="00FE63AE" w:rsidRPr="00FE63AE">
        <w:rPr>
          <w:rFonts w:ascii="Arial" w:hAnsi="Arial" w:cs="Arial"/>
          <w:b/>
          <w:bCs/>
          <w:sz w:val="22"/>
          <w:szCs w:val="22"/>
        </w:rPr>
        <w:t>’</w:t>
      </w:r>
      <w:r w:rsidR="00FE63AE">
        <w:rPr>
          <w:rFonts w:ascii="Arial" w:hAnsi="Arial" w:cs="Arial"/>
          <w:sz w:val="22"/>
          <w:szCs w:val="22"/>
        </w:rPr>
        <w:t xml:space="preserve"> </w:t>
      </w:r>
      <w:r w:rsidRPr="00466695">
        <w:rPr>
          <w:rFonts w:ascii="Arial" w:hAnsi="Arial" w:cs="Arial"/>
          <w:sz w:val="22"/>
          <w:szCs w:val="22"/>
        </w:rPr>
        <w:t xml:space="preserve">is having the Enterprise Value </w:t>
      </w:r>
      <w:r w:rsidR="00D17A69">
        <w:rPr>
          <w:rFonts w:ascii="Arial" w:hAnsi="Arial" w:cs="Arial"/>
          <w:sz w:val="22"/>
          <w:szCs w:val="22"/>
        </w:rPr>
        <w:t xml:space="preserve">of </w:t>
      </w:r>
      <w:r w:rsidRPr="00466695">
        <w:rPr>
          <w:rFonts w:ascii="Arial" w:hAnsi="Arial" w:cs="Arial"/>
          <w:b/>
          <w:sz w:val="22"/>
          <w:szCs w:val="22"/>
        </w:rPr>
        <w:t xml:space="preserve">INR </w:t>
      </w:r>
      <w:r w:rsidR="00215E56">
        <w:rPr>
          <w:rFonts w:ascii="Arial" w:hAnsi="Arial" w:cs="Arial"/>
          <w:b/>
          <w:sz w:val="22"/>
          <w:szCs w:val="22"/>
        </w:rPr>
        <w:t>1,</w:t>
      </w:r>
      <w:r w:rsidR="00911831">
        <w:rPr>
          <w:rFonts w:ascii="Arial" w:hAnsi="Arial" w:cs="Arial"/>
          <w:b/>
          <w:sz w:val="22"/>
          <w:szCs w:val="22"/>
        </w:rPr>
        <w:t>207.35</w:t>
      </w:r>
      <w:r w:rsidRPr="00466695">
        <w:rPr>
          <w:rFonts w:ascii="Arial" w:hAnsi="Arial" w:cs="Arial"/>
          <w:sz w:val="22"/>
          <w:szCs w:val="22"/>
        </w:rPr>
        <w:t xml:space="preserve"> and it may vary up to </w:t>
      </w:r>
      <w:r w:rsidRPr="00466695">
        <w:rPr>
          <w:rFonts w:ascii="Arial" w:hAnsi="Arial" w:cs="Arial"/>
          <w:b/>
          <w:sz w:val="22"/>
          <w:szCs w:val="22"/>
        </w:rPr>
        <w:t xml:space="preserve">INR </w:t>
      </w:r>
      <w:r w:rsidR="00215E56">
        <w:rPr>
          <w:rFonts w:ascii="Arial" w:hAnsi="Arial" w:cs="Arial"/>
          <w:b/>
          <w:sz w:val="22"/>
          <w:szCs w:val="22"/>
        </w:rPr>
        <w:t>1,</w:t>
      </w:r>
      <w:r w:rsidR="00911831">
        <w:rPr>
          <w:rFonts w:ascii="Arial" w:hAnsi="Arial" w:cs="Arial"/>
          <w:b/>
          <w:sz w:val="22"/>
          <w:szCs w:val="22"/>
        </w:rPr>
        <w:t>277.11</w:t>
      </w:r>
      <w:r w:rsidRPr="00466695">
        <w:rPr>
          <w:rFonts w:ascii="Arial" w:hAnsi="Arial" w:cs="Arial"/>
          <w:b/>
          <w:sz w:val="22"/>
          <w:szCs w:val="22"/>
        </w:rPr>
        <w:t xml:space="preserve"> </w:t>
      </w:r>
      <w:r w:rsidR="00215E56">
        <w:rPr>
          <w:rFonts w:ascii="Arial" w:hAnsi="Arial" w:cs="Arial"/>
          <w:b/>
          <w:sz w:val="22"/>
          <w:szCs w:val="22"/>
        </w:rPr>
        <w:t>Crore</w:t>
      </w:r>
      <w:r w:rsidR="002C7230">
        <w:rPr>
          <w:rFonts w:ascii="Arial" w:hAnsi="Arial" w:cs="Arial"/>
          <w:b/>
          <w:sz w:val="22"/>
          <w:szCs w:val="22"/>
        </w:rPr>
        <w:t>s</w:t>
      </w:r>
      <w:r w:rsidRPr="00466695">
        <w:rPr>
          <w:rFonts w:ascii="Arial" w:hAnsi="Arial" w:cs="Arial"/>
          <w:sz w:val="22"/>
          <w:szCs w:val="22"/>
        </w:rPr>
        <w:t xml:space="preserve"> as optimistic case and </w:t>
      </w:r>
      <w:r w:rsidRPr="00466695">
        <w:rPr>
          <w:rFonts w:ascii="Arial" w:hAnsi="Arial" w:cs="Arial"/>
          <w:b/>
          <w:sz w:val="22"/>
          <w:szCs w:val="22"/>
        </w:rPr>
        <w:t xml:space="preserve">INR </w:t>
      </w:r>
      <w:r w:rsidR="00D17A69">
        <w:rPr>
          <w:rFonts w:ascii="Arial" w:hAnsi="Arial" w:cs="Arial"/>
          <w:b/>
          <w:sz w:val="22"/>
          <w:szCs w:val="22"/>
        </w:rPr>
        <w:t>1,</w:t>
      </w:r>
      <w:r w:rsidR="00911831">
        <w:rPr>
          <w:rFonts w:ascii="Arial" w:hAnsi="Arial" w:cs="Arial"/>
          <w:b/>
          <w:sz w:val="22"/>
          <w:szCs w:val="22"/>
        </w:rPr>
        <w:t>146</w:t>
      </w:r>
      <w:r w:rsidR="00D17A69">
        <w:rPr>
          <w:rFonts w:ascii="Arial" w:hAnsi="Arial" w:cs="Arial"/>
          <w:b/>
          <w:sz w:val="22"/>
          <w:szCs w:val="22"/>
        </w:rPr>
        <w:t>.</w:t>
      </w:r>
      <w:r w:rsidR="00911831">
        <w:rPr>
          <w:rFonts w:ascii="Arial" w:hAnsi="Arial" w:cs="Arial"/>
          <w:b/>
          <w:sz w:val="22"/>
          <w:szCs w:val="22"/>
        </w:rPr>
        <w:t>1</w:t>
      </w:r>
      <w:r w:rsidR="009D1050">
        <w:rPr>
          <w:rFonts w:ascii="Arial" w:hAnsi="Arial" w:cs="Arial"/>
          <w:b/>
          <w:sz w:val="22"/>
          <w:szCs w:val="22"/>
        </w:rPr>
        <w:t>9</w:t>
      </w:r>
      <w:r w:rsidR="00466695" w:rsidRPr="00466695">
        <w:rPr>
          <w:rFonts w:ascii="Arial" w:hAnsi="Arial" w:cs="Arial"/>
          <w:b/>
          <w:sz w:val="22"/>
          <w:szCs w:val="22"/>
        </w:rPr>
        <w:t xml:space="preserve"> </w:t>
      </w:r>
      <w:r w:rsidR="00215E56">
        <w:rPr>
          <w:rFonts w:ascii="Arial" w:hAnsi="Arial" w:cs="Arial"/>
          <w:b/>
          <w:sz w:val="22"/>
          <w:szCs w:val="22"/>
        </w:rPr>
        <w:t>Crore</w:t>
      </w:r>
      <w:r w:rsidR="002C7230">
        <w:rPr>
          <w:rFonts w:ascii="Arial" w:hAnsi="Arial" w:cs="Arial"/>
          <w:b/>
          <w:sz w:val="22"/>
          <w:szCs w:val="22"/>
        </w:rPr>
        <w:t>s</w:t>
      </w:r>
      <w:r w:rsidRPr="00466695">
        <w:rPr>
          <w:rFonts w:ascii="Arial" w:hAnsi="Arial" w:cs="Arial"/>
          <w:sz w:val="22"/>
          <w:szCs w:val="22"/>
        </w:rPr>
        <w:t xml:space="preserve"> as the pessimistic case.</w:t>
      </w:r>
      <w:r w:rsidR="00734E09" w:rsidRPr="00466695">
        <w:rPr>
          <w:rFonts w:ascii="Arial" w:hAnsi="Arial" w:cs="Arial"/>
          <w:sz w:val="22"/>
          <w:szCs w:val="22"/>
        </w:rPr>
        <w:t xml:space="preserve"> </w:t>
      </w:r>
      <w:r w:rsidR="00BC0922" w:rsidRPr="00466695">
        <w:rPr>
          <w:rFonts w:ascii="Arial" w:hAnsi="Arial" w:cs="Arial"/>
          <w:sz w:val="22"/>
          <w:szCs w:val="22"/>
        </w:rPr>
        <w:t>However,</w:t>
      </w:r>
      <w:r w:rsidR="00035A12" w:rsidRPr="00466695">
        <w:rPr>
          <w:rFonts w:ascii="Arial" w:hAnsi="Arial" w:cs="Arial"/>
          <w:sz w:val="22"/>
          <w:szCs w:val="22"/>
        </w:rPr>
        <w:t xml:space="preserve"> as per sensitivity analysis, </w:t>
      </w:r>
      <w:r w:rsidR="00D40809" w:rsidRPr="00466695">
        <w:rPr>
          <w:rFonts w:ascii="Arial" w:hAnsi="Arial" w:cs="Arial"/>
          <w:sz w:val="22"/>
          <w:szCs w:val="22"/>
        </w:rPr>
        <w:t>the final transaction price</w:t>
      </w:r>
      <w:r w:rsidR="00035A12" w:rsidRPr="00466695">
        <w:rPr>
          <w:rFonts w:ascii="Arial" w:hAnsi="Arial" w:cs="Arial"/>
          <w:sz w:val="22"/>
          <w:szCs w:val="22"/>
        </w:rPr>
        <w:t xml:space="preserve"> will be dependent on the bargaining power of </w:t>
      </w:r>
      <w:r w:rsidR="004D0818" w:rsidRPr="00466695">
        <w:rPr>
          <w:rFonts w:ascii="Arial" w:hAnsi="Arial" w:cs="Arial"/>
          <w:sz w:val="22"/>
          <w:szCs w:val="22"/>
        </w:rPr>
        <w:t>market participants</w:t>
      </w:r>
      <w:r w:rsidR="00035A12" w:rsidRPr="00466695">
        <w:rPr>
          <w:rFonts w:ascii="Arial" w:hAnsi="Arial" w:cs="Arial"/>
          <w:sz w:val="22"/>
          <w:szCs w:val="22"/>
        </w:rPr>
        <w:t xml:space="preserve"> to reach out to a</w:t>
      </w:r>
      <w:r w:rsidR="00D40809" w:rsidRPr="00466695">
        <w:rPr>
          <w:rFonts w:ascii="Arial" w:hAnsi="Arial" w:cs="Arial"/>
          <w:sz w:val="22"/>
          <w:szCs w:val="22"/>
        </w:rPr>
        <w:t xml:space="preserve"> </w:t>
      </w:r>
      <w:r w:rsidR="00BC0922" w:rsidRPr="00466695">
        <w:rPr>
          <w:rFonts w:ascii="Arial" w:hAnsi="Arial" w:cs="Arial"/>
          <w:sz w:val="22"/>
          <w:szCs w:val="22"/>
        </w:rPr>
        <w:t>successful</w:t>
      </w:r>
      <w:r w:rsidR="00D40809" w:rsidRPr="00466695">
        <w:rPr>
          <w:rFonts w:ascii="Arial" w:hAnsi="Arial" w:cs="Arial"/>
          <w:sz w:val="22"/>
          <w:szCs w:val="22"/>
        </w:rPr>
        <w:t xml:space="preserve"> outcome</w:t>
      </w:r>
      <w:r w:rsidR="00BC0922" w:rsidRPr="00466695">
        <w:rPr>
          <w:rFonts w:ascii="Arial" w:hAnsi="Arial" w:cs="Arial"/>
          <w:sz w:val="22"/>
          <w:szCs w:val="22"/>
        </w:rPr>
        <w:t xml:space="preserve"> for all the concerned parties</w:t>
      </w:r>
      <w:r w:rsidR="00D40809" w:rsidRPr="00466695">
        <w:rPr>
          <w:rFonts w:ascii="Arial" w:hAnsi="Arial" w:cs="Arial"/>
          <w:sz w:val="22"/>
          <w:szCs w:val="22"/>
        </w:rPr>
        <w:t>.</w:t>
      </w:r>
    </w:p>
    <w:p w14:paraId="3AB248AA" w14:textId="787719AC" w:rsidR="00303EBE" w:rsidRPr="00200C20" w:rsidRDefault="00303EBE" w:rsidP="00117947">
      <w:pPr>
        <w:spacing w:before="240" w:line="360" w:lineRule="auto"/>
        <w:ind w:left="567" w:right="-23"/>
        <w:jc w:val="both"/>
        <w:rPr>
          <w:rFonts w:ascii="Arial" w:hAnsi="Arial" w:cs="Arial"/>
          <w:sz w:val="22"/>
          <w:szCs w:val="22"/>
        </w:rPr>
      </w:pPr>
      <w:r w:rsidRPr="00200C20">
        <w:rPr>
          <w:rFonts w:ascii="Arial" w:hAnsi="Arial" w:cs="Arial"/>
          <w:sz w:val="22"/>
          <w:szCs w:val="22"/>
        </w:rPr>
        <w:t>Hence</w:t>
      </w:r>
      <w:r w:rsidR="00EA036A">
        <w:rPr>
          <w:rFonts w:ascii="Arial" w:hAnsi="Arial" w:cs="Arial"/>
          <w:sz w:val="22"/>
          <w:szCs w:val="22"/>
        </w:rPr>
        <w:t>,</w:t>
      </w:r>
      <w:r w:rsidRPr="00200C20">
        <w:rPr>
          <w:rFonts w:ascii="Arial" w:hAnsi="Arial" w:cs="Arial"/>
          <w:sz w:val="22"/>
          <w:szCs w:val="22"/>
        </w:rPr>
        <w:t xml:space="preserve"> using </w:t>
      </w:r>
      <w:r w:rsidR="00EA036A">
        <w:rPr>
          <w:rFonts w:ascii="Arial" w:hAnsi="Arial" w:cs="Arial"/>
          <w:sz w:val="22"/>
          <w:szCs w:val="22"/>
        </w:rPr>
        <w:t>two</w:t>
      </w:r>
      <w:r>
        <w:rPr>
          <w:rFonts w:ascii="Arial" w:hAnsi="Arial" w:cs="Arial"/>
          <w:sz w:val="22"/>
          <w:szCs w:val="22"/>
        </w:rPr>
        <w:t xml:space="preserve">-stage </w:t>
      </w:r>
      <w:r w:rsidR="004C1C3E">
        <w:rPr>
          <w:rFonts w:ascii="Arial" w:hAnsi="Arial" w:cs="Arial"/>
          <w:sz w:val="22"/>
          <w:szCs w:val="22"/>
        </w:rPr>
        <w:t>Discounted Cash Flow (</w:t>
      </w:r>
      <w:r>
        <w:rPr>
          <w:rFonts w:ascii="Arial" w:hAnsi="Arial" w:cs="Arial"/>
          <w:sz w:val="22"/>
          <w:szCs w:val="22"/>
        </w:rPr>
        <w:t>DCF</w:t>
      </w:r>
      <w:r w:rsidR="004C1C3E">
        <w:rPr>
          <w:rFonts w:ascii="Arial" w:hAnsi="Arial" w:cs="Arial"/>
          <w:sz w:val="22"/>
          <w:szCs w:val="22"/>
        </w:rPr>
        <w:t>)</w:t>
      </w:r>
      <w:r>
        <w:rPr>
          <w:rFonts w:ascii="Arial" w:hAnsi="Arial" w:cs="Arial"/>
          <w:sz w:val="22"/>
          <w:szCs w:val="22"/>
        </w:rPr>
        <w:t xml:space="preserve"> Model</w:t>
      </w:r>
      <w:r w:rsidRPr="00200C20">
        <w:rPr>
          <w:rFonts w:ascii="Arial" w:hAnsi="Arial" w:cs="Arial"/>
          <w:sz w:val="22"/>
          <w:szCs w:val="22"/>
        </w:rPr>
        <w:t>, considering as a base case the Enterprise Value of “</w:t>
      </w:r>
      <w:r w:rsidRPr="00215E56">
        <w:rPr>
          <w:rFonts w:ascii="Arial" w:hAnsi="Arial" w:cs="Arial"/>
          <w:b/>
          <w:bCs/>
          <w:sz w:val="22"/>
          <w:szCs w:val="22"/>
        </w:rPr>
        <w:t xml:space="preserve">M/s </w:t>
      </w:r>
      <w:r w:rsidR="00215E56" w:rsidRPr="00215E56">
        <w:rPr>
          <w:rFonts w:ascii="Arial" w:hAnsi="Arial" w:cs="Arial"/>
          <w:b/>
          <w:bCs/>
          <w:sz w:val="22"/>
          <w:szCs w:val="22"/>
        </w:rPr>
        <w:t>GTL Infrastructure</w:t>
      </w:r>
      <w:r w:rsidRPr="00215E56">
        <w:rPr>
          <w:rFonts w:ascii="Arial" w:hAnsi="Arial" w:cs="Arial"/>
          <w:b/>
          <w:bCs/>
          <w:sz w:val="22"/>
          <w:szCs w:val="22"/>
        </w:rPr>
        <w:t xml:space="preserve"> Limited</w:t>
      </w:r>
      <w:r w:rsidRPr="00200C20">
        <w:rPr>
          <w:rFonts w:ascii="Arial" w:hAnsi="Arial" w:cs="Arial"/>
          <w:sz w:val="22"/>
          <w:szCs w:val="22"/>
        </w:rPr>
        <w:t xml:space="preserve">” is being calculated as </w:t>
      </w:r>
      <w:r w:rsidRPr="0067421B">
        <w:rPr>
          <w:rFonts w:ascii="Arial" w:hAnsi="Arial" w:cs="Arial"/>
          <w:b/>
          <w:sz w:val="22"/>
          <w:szCs w:val="22"/>
        </w:rPr>
        <w:t xml:space="preserve">INR </w:t>
      </w:r>
      <w:r w:rsidR="00215E56">
        <w:rPr>
          <w:rFonts w:ascii="Arial" w:hAnsi="Arial" w:cs="Arial"/>
          <w:b/>
          <w:sz w:val="22"/>
          <w:szCs w:val="22"/>
        </w:rPr>
        <w:t>1,</w:t>
      </w:r>
      <w:r w:rsidR="00911831">
        <w:rPr>
          <w:rFonts w:ascii="Arial" w:hAnsi="Arial" w:cs="Arial"/>
          <w:b/>
          <w:sz w:val="22"/>
          <w:szCs w:val="22"/>
        </w:rPr>
        <w:t>20</w:t>
      </w:r>
      <w:r w:rsidR="003E0015">
        <w:rPr>
          <w:rFonts w:ascii="Arial" w:hAnsi="Arial" w:cs="Arial"/>
          <w:b/>
          <w:sz w:val="22"/>
          <w:szCs w:val="22"/>
        </w:rPr>
        <w:t>7</w:t>
      </w:r>
      <w:r w:rsidR="00215E56">
        <w:rPr>
          <w:rFonts w:ascii="Arial" w:hAnsi="Arial" w:cs="Arial"/>
          <w:b/>
          <w:sz w:val="22"/>
          <w:szCs w:val="22"/>
        </w:rPr>
        <w:t>.</w:t>
      </w:r>
      <w:r w:rsidR="00911831">
        <w:rPr>
          <w:rFonts w:ascii="Arial" w:hAnsi="Arial" w:cs="Arial"/>
          <w:b/>
          <w:sz w:val="22"/>
          <w:szCs w:val="22"/>
        </w:rPr>
        <w:t>35</w:t>
      </w:r>
      <w:r w:rsidRPr="0067421B">
        <w:rPr>
          <w:rFonts w:ascii="Arial" w:hAnsi="Arial" w:cs="Arial"/>
          <w:b/>
          <w:sz w:val="22"/>
          <w:szCs w:val="22"/>
        </w:rPr>
        <w:t xml:space="preserve"> </w:t>
      </w:r>
      <w:r w:rsidR="00215E56">
        <w:rPr>
          <w:rFonts w:ascii="Arial" w:hAnsi="Arial" w:cs="Arial"/>
          <w:b/>
          <w:sz w:val="22"/>
          <w:szCs w:val="22"/>
        </w:rPr>
        <w:t>Crore</w:t>
      </w:r>
      <w:r w:rsidRPr="0067421B">
        <w:rPr>
          <w:rFonts w:ascii="Arial" w:hAnsi="Arial" w:cs="Arial"/>
          <w:b/>
          <w:sz w:val="22"/>
          <w:szCs w:val="22"/>
        </w:rPr>
        <w:t>s</w:t>
      </w:r>
      <w:r w:rsidRPr="00200C20">
        <w:rPr>
          <w:rFonts w:ascii="Arial" w:hAnsi="Arial" w:cs="Arial"/>
          <w:sz w:val="22"/>
          <w:szCs w:val="22"/>
        </w:rPr>
        <w:t xml:space="preserve">, subject to the </w:t>
      </w:r>
      <w:r>
        <w:rPr>
          <w:rFonts w:ascii="Arial" w:hAnsi="Arial" w:cs="Arial"/>
          <w:sz w:val="22"/>
          <w:szCs w:val="22"/>
        </w:rPr>
        <w:t xml:space="preserve">current assumptions and inputs used during the forecasted period, as well as the </w:t>
      </w:r>
      <w:r w:rsidR="00F11098">
        <w:rPr>
          <w:rFonts w:ascii="Arial" w:hAnsi="Arial" w:cs="Arial"/>
          <w:sz w:val="22"/>
          <w:szCs w:val="22"/>
        </w:rPr>
        <w:t xml:space="preserve">terminal </w:t>
      </w:r>
      <w:r>
        <w:rPr>
          <w:rFonts w:ascii="Arial" w:hAnsi="Arial" w:cs="Arial"/>
          <w:sz w:val="22"/>
          <w:szCs w:val="22"/>
        </w:rPr>
        <w:t xml:space="preserve">growth rate and WACC used to </w:t>
      </w:r>
      <w:r w:rsidRPr="00200C20">
        <w:rPr>
          <w:rFonts w:ascii="Arial" w:hAnsi="Arial" w:cs="Arial"/>
          <w:sz w:val="22"/>
          <w:szCs w:val="22"/>
        </w:rPr>
        <w:t xml:space="preserve">calculate the EV. </w:t>
      </w:r>
    </w:p>
    <w:p w14:paraId="649A7CF2" w14:textId="77777777" w:rsidR="00303EBE" w:rsidRDefault="00303EBE" w:rsidP="00EA036A">
      <w:pPr>
        <w:spacing w:after="0" w:line="360" w:lineRule="auto"/>
        <w:ind w:left="567" w:right="-23"/>
        <w:jc w:val="both"/>
        <w:rPr>
          <w:rFonts w:ascii="Arial" w:hAnsi="Arial" w:cs="Arial"/>
          <w:i/>
          <w:iCs/>
          <w:sz w:val="22"/>
          <w:szCs w:val="22"/>
        </w:rPr>
      </w:pPr>
      <w:r w:rsidRPr="0067421B">
        <w:rPr>
          <w:rFonts w:ascii="Arial" w:hAnsi="Arial" w:cs="Arial"/>
          <w:i/>
          <w:iCs/>
          <w:sz w:val="22"/>
          <w:szCs w:val="22"/>
        </w:rPr>
        <w:t>This is only a general assessment of the Enterprise/Business Value of the firm based on the data/ input Company officials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14B99520" w14:textId="5EB71721" w:rsidR="008F05EA" w:rsidRPr="008F05EA" w:rsidRDefault="008F05EA" w:rsidP="001623F5">
      <w:pPr>
        <w:pStyle w:val="Default"/>
        <w:spacing w:line="360" w:lineRule="auto"/>
        <w:ind w:right="-23"/>
        <w:jc w:val="both"/>
        <w:rPr>
          <w:sz w:val="22"/>
        </w:rPr>
      </w:pPr>
    </w:p>
    <w:p w14:paraId="7D26EECA" w14:textId="77777777" w:rsidR="00D009F6" w:rsidRPr="00D009F6" w:rsidRDefault="0008705A" w:rsidP="00D009F6">
      <w:pPr>
        <w:pStyle w:val="Default"/>
        <w:numPr>
          <w:ilvl w:val="0"/>
          <w:numId w:val="19"/>
        </w:numPr>
        <w:spacing w:after="240"/>
        <w:ind w:left="284" w:right="-23" w:hanging="426"/>
        <w:jc w:val="both"/>
        <w:rPr>
          <w:sz w:val="22"/>
        </w:rPr>
      </w:pPr>
      <w:r w:rsidRPr="00EA036A">
        <w:rPr>
          <w:b/>
          <w:sz w:val="22"/>
          <w:szCs w:val="22"/>
        </w:rPr>
        <w:t>KEY ASSUMPTIONS AND WORKINGS</w:t>
      </w:r>
      <w:r w:rsidR="00EA036A" w:rsidRPr="00EA036A">
        <w:rPr>
          <w:b/>
          <w:sz w:val="22"/>
          <w:szCs w:val="22"/>
        </w:rPr>
        <w:t xml:space="preserve">: </w:t>
      </w:r>
    </w:p>
    <w:p w14:paraId="242C67D8" w14:textId="64D2918E" w:rsidR="0008705A" w:rsidRDefault="0008705A" w:rsidP="00D009F6">
      <w:pPr>
        <w:pStyle w:val="Default"/>
        <w:spacing w:after="240" w:line="360" w:lineRule="auto"/>
        <w:ind w:left="284" w:right="-23"/>
        <w:jc w:val="both"/>
        <w:rPr>
          <w:sz w:val="22"/>
        </w:rPr>
      </w:pPr>
      <w:r w:rsidRPr="00EA036A">
        <w:rPr>
          <w:sz w:val="22"/>
        </w:rPr>
        <w:t xml:space="preserve">Assumptions </w:t>
      </w:r>
      <w:r w:rsidR="00064C72" w:rsidRPr="00EA036A">
        <w:rPr>
          <w:sz w:val="22"/>
        </w:rPr>
        <w:t xml:space="preserve">in the Valuation assessment </w:t>
      </w:r>
      <w:r w:rsidRPr="00EA036A">
        <w:rPr>
          <w:sz w:val="22"/>
        </w:rPr>
        <w:t xml:space="preserve">have </w:t>
      </w:r>
      <w:r w:rsidR="00064C72" w:rsidRPr="00EA036A">
        <w:rPr>
          <w:sz w:val="22"/>
        </w:rPr>
        <w:t xml:space="preserve">been taken based </w:t>
      </w:r>
      <w:r w:rsidR="000A568F" w:rsidRPr="00EA036A">
        <w:rPr>
          <w:sz w:val="22"/>
        </w:rPr>
        <w:t xml:space="preserve">on </w:t>
      </w:r>
      <w:r w:rsidRPr="00EA036A">
        <w:rPr>
          <w:sz w:val="22"/>
        </w:rPr>
        <w:t>data</w:t>
      </w:r>
      <w:r w:rsidR="00064C72" w:rsidRPr="00EA036A">
        <w:rPr>
          <w:sz w:val="22"/>
        </w:rPr>
        <w:t>/ information/ documents</w:t>
      </w:r>
      <w:r w:rsidRPr="00EA036A">
        <w:rPr>
          <w:sz w:val="22"/>
        </w:rPr>
        <w:t xml:space="preserve"> </w:t>
      </w:r>
      <w:r w:rsidR="006F1365" w:rsidRPr="00EA036A">
        <w:rPr>
          <w:sz w:val="22"/>
        </w:rPr>
        <w:t>shared by the Company</w:t>
      </w:r>
      <w:r w:rsidRPr="00EA036A">
        <w:rPr>
          <w:sz w:val="22"/>
        </w:rPr>
        <w:t>,</w:t>
      </w:r>
      <w:r w:rsidR="00F20A7D">
        <w:rPr>
          <w:sz w:val="22"/>
        </w:rPr>
        <w:t xml:space="preserve"> </w:t>
      </w:r>
      <w:r w:rsidR="006F1365" w:rsidRPr="00EA036A">
        <w:rPr>
          <w:sz w:val="22"/>
        </w:rPr>
        <w:t>Op</w:t>
      </w:r>
      <w:r w:rsidR="00064C72" w:rsidRPr="00EA036A">
        <w:rPr>
          <w:sz w:val="22"/>
        </w:rPr>
        <w:t xml:space="preserve">erating History of the </w:t>
      </w:r>
      <w:r w:rsidR="002C7230">
        <w:rPr>
          <w:sz w:val="22"/>
        </w:rPr>
        <w:t>Company</w:t>
      </w:r>
      <w:r w:rsidR="00064C72" w:rsidRPr="00EA036A">
        <w:rPr>
          <w:sz w:val="22"/>
        </w:rPr>
        <w:t xml:space="preserve">, Annual Reports of the company, </w:t>
      </w:r>
      <w:r w:rsidR="00E67E97" w:rsidRPr="00EA036A">
        <w:rPr>
          <w:sz w:val="22"/>
        </w:rPr>
        <w:t>Market &amp; Industry analysis</w:t>
      </w:r>
      <w:r w:rsidR="006F1365" w:rsidRPr="00EA036A">
        <w:rPr>
          <w:sz w:val="22"/>
        </w:rPr>
        <w:t xml:space="preserve">. Assumptions have been considered after thoroughly </w:t>
      </w:r>
      <w:r w:rsidRPr="00EA036A">
        <w:rPr>
          <w:sz w:val="22"/>
        </w:rPr>
        <w:t>reviewing the</w:t>
      </w:r>
      <w:r w:rsidR="006F1365" w:rsidRPr="00EA036A">
        <w:rPr>
          <w:sz w:val="22"/>
        </w:rPr>
        <w:t>ir</w:t>
      </w:r>
      <w:r w:rsidRPr="00EA036A">
        <w:rPr>
          <w:sz w:val="22"/>
        </w:rPr>
        <w:t xml:space="preserve"> feasibility.</w:t>
      </w:r>
    </w:p>
    <w:p w14:paraId="45F5448F" w14:textId="58B76A96" w:rsidR="0012257E" w:rsidRPr="00A90C13" w:rsidRDefault="00F871C8" w:rsidP="00B07001">
      <w:pPr>
        <w:pStyle w:val="ListParagraph"/>
        <w:numPr>
          <w:ilvl w:val="0"/>
          <w:numId w:val="24"/>
        </w:numPr>
        <w:spacing w:before="240" w:after="0" w:line="360" w:lineRule="auto"/>
        <w:ind w:left="709" w:right="-23" w:hanging="436"/>
        <w:jc w:val="both"/>
        <w:rPr>
          <w:rFonts w:ascii="Arial" w:hAnsi="Arial" w:cs="Arial"/>
          <w:b/>
          <w:sz w:val="22"/>
          <w:szCs w:val="22"/>
        </w:rPr>
      </w:pPr>
      <w:r w:rsidRPr="00A90C13">
        <w:rPr>
          <w:rFonts w:ascii="Arial" w:hAnsi="Arial" w:cs="Arial"/>
          <w:b/>
          <w:sz w:val="22"/>
        </w:rPr>
        <w:t xml:space="preserve">FREE CASH FLOW TO FIRM: </w:t>
      </w:r>
      <w:r w:rsidRPr="00A90C13">
        <w:rPr>
          <w:rFonts w:ascii="Arial" w:hAnsi="Arial" w:cs="Arial"/>
          <w:sz w:val="22"/>
        </w:rPr>
        <w:t xml:space="preserve"> After the preparation of projections, we have calculated the Free Cash Flow to Firm for the particular year during the explicit period, which was calculated after adjusting the Non-Cash Expenses, Working Capital Changes and Capex with the Net Operating Profit after taxes (NOPAT).</w:t>
      </w:r>
    </w:p>
    <w:p w14:paraId="275F8C84" w14:textId="31DB5269" w:rsidR="00F871C8" w:rsidRPr="00F871C8" w:rsidRDefault="00F871C8" w:rsidP="00B07001">
      <w:pPr>
        <w:pStyle w:val="ListParagraph"/>
        <w:numPr>
          <w:ilvl w:val="0"/>
          <w:numId w:val="24"/>
        </w:numPr>
        <w:spacing w:before="240" w:line="360" w:lineRule="auto"/>
        <w:ind w:right="-23" w:hanging="436"/>
        <w:jc w:val="both"/>
        <w:rPr>
          <w:rFonts w:ascii="Arial" w:hAnsi="Arial" w:cs="Arial"/>
          <w:sz w:val="22"/>
          <w:szCs w:val="22"/>
        </w:rPr>
      </w:pPr>
      <w:r w:rsidRPr="005B69A9">
        <w:rPr>
          <w:rFonts w:ascii="Arial" w:hAnsi="Arial" w:cs="Arial"/>
          <w:b/>
          <w:bCs/>
          <w:sz w:val="22"/>
          <w:szCs w:val="22"/>
        </w:rPr>
        <w:t>GROWTH</w:t>
      </w:r>
      <w:r>
        <w:rPr>
          <w:rFonts w:ascii="Arial" w:hAnsi="Arial" w:cs="Arial"/>
          <w:b/>
          <w:sz w:val="22"/>
          <w:szCs w:val="22"/>
        </w:rPr>
        <w:t xml:space="preserve"> RATE:</w:t>
      </w:r>
    </w:p>
    <w:p w14:paraId="57D0937E" w14:textId="440AEA8E" w:rsidR="00F871C8" w:rsidRPr="0079596E" w:rsidRDefault="00F871C8" w:rsidP="00B07001">
      <w:pPr>
        <w:pStyle w:val="ListParagraph"/>
        <w:numPr>
          <w:ilvl w:val="0"/>
          <w:numId w:val="25"/>
        </w:numPr>
        <w:spacing w:line="360" w:lineRule="auto"/>
        <w:ind w:left="993" w:right="-23" w:hanging="284"/>
        <w:jc w:val="both"/>
        <w:rPr>
          <w:rFonts w:ascii="Arial" w:hAnsi="Arial" w:cs="Arial"/>
          <w:b/>
          <w:bCs/>
          <w:sz w:val="22"/>
          <w:szCs w:val="22"/>
        </w:rPr>
      </w:pPr>
      <w:r w:rsidRPr="0079596E">
        <w:rPr>
          <w:rFonts w:ascii="Arial" w:hAnsi="Arial" w:cs="Arial"/>
          <w:b/>
          <w:bCs/>
          <w:sz w:val="22"/>
          <w:szCs w:val="22"/>
        </w:rPr>
        <w:t>Projected Period</w:t>
      </w:r>
      <w:r w:rsidR="00541218">
        <w:rPr>
          <w:rFonts w:ascii="Arial" w:hAnsi="Arial" w:cs="Arial"/>
          <w:b/>
          <w:bCs/>
          <w:sz w:val="22"/>
          <w:szCs w:val="22"/>
        </w:rPr>
        <w:t xml:space="preserve">: </w:t>
      </w:r>
      <w:r w:rsidR="00642C30" w:rsidRPr="0079596E">
        <w:rPr>
          <w:rFonts w:ascii="Arial" w:hAnsi="Arial" w:cs="Arial"/>
          <w:sz w:val="22"/>
          <w:szCs w:val="22"/>
        </w:rPr>
        <w:t xml:space="preserve">The </w:t>
      </w:r>
      <w:r w:rsidR="004A056B" w:rsidRPr="0079596E">
        <w:rPr>
          <w:rFonts w:ascii="Arial" w:hAnsi="Arial" w:cs="Arial"/>
          <w:sz w:val="22"/>
          <w:szCs w:val="22"/>
        </w:rPr>
        <w:t xml:space="preserve">annual </w:t>
      </w:r>
      <w:r w:rsidR="00642C30" w:rsidRPr="0079596E">
        <w:rPr>
          <w:rFonts w:ascii="Arial" w:hAnsi="Arial" w:cs="Arial"/>
          <w:sz w:val="22"/>
          <w:szCs w:val="22"/>
        </w:rPr>
        <w:t>growth rate for the projec</w:t>
      </w:r>
      <w:r w:rsidR="00272F4B">
        <w:rPr>
          <w:rFonts w:ascii="Arial" w:hAnsi="Arial" w:cs="Arial"/>
          <w:sz w:val="22"/>
          <w:szCs w:val="22"/>
        </w:rPr>
        <w:t xml:space="preserve">ted years’ revenue is </w:t>
      </w:r>
      <w:r w:rsidR="00642C30" w:rsidRPr="0079596E">
        <w:rPr>
          <w:rFonts w:ascii="Arial" w:hAnsi="Arial" w:cs="Arial"/>
          <w:sz w:val="22"/>
          <w:szCs w:val="22"/>
        </w:rPr>
        <w:t xml:space="preserve">considered as </w:t>
      </w:r>
      <w:r w:rsidR="00541218">
        <w:rPr>
          <w:rFonts w:ascii="Arial" w:hAnsi="Arial" w:cs="Arial"/>
          <w:sz w:val="22"/>
          <w:szCs w:val="22"/>
        </w:rPr>
        <w:t>2.75</w:t>
      </w:r>
      <w:r w:rsidR="00642C30" w:rsidRPr="0079596E">
        <w:rPr>
          <w:rFonts w:ascii="Arial" w:hAnsi="Arial" w:cs="Arial"/>
          <w:sz w:val="22"/>
          <w:szCs w:val="22"/>
        </w:rPr>
        <w:t>%</w:t>
      </w:r>
      <w:r w:rsidR="00A87799" w:rsidRPr="0079596E">
        <w:rPr>
          <w:rFonts w:ascii="Arial" w:hAnsi="Arial" w:cs="Arial"/>
          <w:sz w:val="22"/>
          <w:szCs w:val="22"/>
        </w:rPr>
        <w:t xml:space="preserve"> </w:t>
      </w:r>
      <w:r w:rsidR="00541218">
        <w:rPr>
          <w:rFonts w:ascii="Arial" w:hAnsi="Arial" w:cs="Arial"/>
          <w:sz w:val="22"/>
          <w:szCs w:val="22"/>
        </w:rPr>
        <w:t xml:space="preserve">in accordance with the MSAs </w:t>
      </w:r>
      <w:r w:rsidR="004C1C3E">
        <w:rPr>
          <w:rFonts w:ascii="Arial" w:hAnsi="Arial" w:cs="Arial"/>
          <w:sz w:val="22"/>
          <w:szCs w:val="22"/>
        </w:rPr>
        <w:t xml:space="preserve">(Master Service Agreements) </w:t>
      </w:r>
      <w:r w:rsidR="00541218">
        <w:rPr>
          <w:rFonts w:ascii="Arial" w:hAnsi="Arial" w:cs="Arial"/>
          <w:sz w:val="22"/>
          <w:szCs w:val="22"/>
        </w:rPr>
        <w:t xml:space="preserve">with all the parties. As per information shared with us, the company has lost more than 2,000 tenancies during the last 3 years and as per the recent trends, the company is primarily securing </w:t>
      </w:r>
      <w:r w:rsidR="00B2612F" w:rsidRPr="00B2612F">
        <w:rPr>
          <w:rFonts w:ascii="Arial" w:hAnsi="Arial" w:cs="Arial"/>
          <w:sz w:val="22"/>
          <w:szCs w:val="22"/>
        </w:rPr>
        <w:t xml:space="preserve">equipment tenancy </w:t>
      </w:r>
      <w:r w:rsidR="00B2612F">
        <w:rPr>
          <w:rFonts w:ascii="Arial" w:hAnsi="Arial" w:cs="Arial"/>
          <w:sz w:val="22"/>
          <w:szCs w:val="22"/>
        </w:rPr>
        <w:t>(</w:t>
      </w:r>
      <w:r w:rsidR="00541218">
        <w:rPr>
          <w:rFonts w:ascii="Arial" w:hAnsi="Arial" w:cs="Arial"/>
          <w:sz w:val="22"/>
          <w:szCs w:val="22"/>
        </w:rPr>
        <w:t>EQ tenancies</w:t>
      </w:r>
      <w:r w:rsidR="00B2612F">
        <w:rPr>
          <w:rFonts w:ascii="Arial" w:hAnsi="Arial" w:cs="Arial"/>
          <w:sz w:val="22"/>
          <w:szCs w:val="22"/>
        </w:rPr>
        <w:t>)</w:t>
      </w:r>
      <w:r w:rsidR="00541218">
        <w:rPr>
          <w:rFonts w:ascii="Arial" w:hAnsi="Arial" w:cs="Arial"/>
          <w:sz w:val="22"/>
          <w:szCs w:val="22"/>
        </w:rPr>
        <w:t>.</w:t>
      </w:r>
      <w:r w:rsidR="00B2612F">
        <w:rPr>
          <w:rFonts w:ascii="Arial" w:hAnsi="Arial" w:cs="Arial"/>
          <w:sz w:val="22"/>
          <w:szCs w:val="22"/>
        </w:rPr>
        <w:t xml:space="preserve"> Thus, c</w:t>
      </w:r>
      <w:r w:rsidR="00B2612F" w:rsidRPr="00B2612F">
        <w:rPr>
          <w:rFonts w:ascii="Arial" w:hAnsi="Arial" w:cs="Arial"/>
          <w:sz w:val="22"/>
          <w:szCs w:val="22"/>
        </w:rPr>
        <w:t xml:space="preserve">onsidering impact of exits and addition of primarily EQ tenancies, </w:t>
      </w:r>
      <w:r w:rsidR="00B2612F">
        <w:rPr>
          <w:rFonts w:ascii="Arial" w:hAnsi="Arial" w:cs="Arial"/>
          <w:sz w:val="22"/>
          <w:szCs w:val="22"/>
        </w:rPr>
        <w:t>we have</w:t>
      </w:r>
      <w:r w:rsidR="00B2612F" w:rsidRPr="00B2612F">
        <w:rPr>
          <w:rFonts w:ascii="Arial" w:hAnsi="Arial" w:cs="Arial"/>
          <w:sz w:val="22"/>
          <w:szCs w:val="22"/>
        </w:rPr>
        <w:t xml:space="preserve"> considered escalation</w:t>
      </w:r>
      <w:r w:rsidR="00B2612F">
        <w:rPr>
          <w:rFonts w:ascii="Arial" w:hAnsi="Arial" w:cs="Arial"/>
          <w:sz w:val="22"/>
          <w:szCs w:val="22"/>
        </w:rPr>
        <w:t xml:space="preserve"> only</w:t>
      </w:r>
      <w:r w:rsidR="00B2612F" w:rsidRPr="00B2612F">
        <w:rPr>
          <w:rFonts w:ascii="Arial" w:hAnsi="Arial" w:cs="Arial"/>
          <w:sz w:val="22"/>
          <w:szCs w:val="22"/>
        </w:rPr>
        <w:t xml:space="preserve"> as per MSA</w:t>
      </w:r>
      <w:r w:rsidR="00B2612F">
        <w:rPr>
          <w:rFonts w:ascii="Arial" w:hAnsi="Arial" w:cs="Arial"/>
          <w:sz w:val="22"/>
          <w:szCs w:val="22"/>
        </w:rPr>
        <w:t xml:space="preserve">. </w:t>
      </w:r>
    </w:p>
    <w:p w14:paraId="051BFFBF" w14:textId="597075F3" w:rsidR="00F871C8" w:rsidRPr="004A7122" w:rsidRDefault="00F871C8" w:rsidP="00B07001">
      <w:pPr>
        <w:pStyle w:val="ListParagraph"/>
        <w:numPr>
          <w:ilvl w:val="0"/>
          <w:numId w:val="25"/>
        </w:numPr>
        <w:spacing w:after="0" w:line="360" w:lineRule="auto"/>
        <w:ind w:left="993" w:right="-23" w:hanging="284"/>
        <w:jc w:val="both"/>
        <w:rPr>
          <w:rFonts w:ascii="Arial" w:hAnsi="Arial" w:cs="Arial"/>
          <w:b/>
          <w:bCs/>
          <w:sz w:val="20"/>
          <w:szCs w:val="20"/>
          <w:lang w:val="en-IN"/>
        </w:rPr>
      </w:pPr>
      <w:r w:rsidRPr="00F871C8">
        <w:rPr>
          <w:rFonts w:ascii="Arial" w:hAnsi="Arial" w:cs="Arial"/>
          <w:b/>
          <w:bCs/>
          <w:sz w:val="22"/>
          <w:szCs w:val="22"/>
        </w:rPr>
        <w:t xml:space="preserve">Perpetual Period: </w:t>
      </w:r>
      <w:r w:rsidRPr="00F871C8">
        <w:rPr>
          <w:rFonts w:ascii="Arial" w:hAnsi="Arial" w:cs="Arial"/>
          <w:sz w:val="22"/>
          <w:szCs w:val="22"/>
        </w:rPr>
        <w:t xml:space="preserve">Perpetual </w:t>
      </w:r>
      <w:r w:rsidRPr="00F871C8">
        <w:rPr>
          <w:rFonts w:ascii="Arial" w:hAnsi="Arial" w:cs="Arial"/>
          <w:sz w:val="22"/>
          <w:szCs w:val="22"/>
          <w:lang w:val="en-IN"/>
        </w:rPr>
        <w:t xml:space="preserve">Growth rate has been considered as </w:t>
      </w:r>
      <w:r w:rsidR="00541218">
        <w:rPr>
          <w:rFonts w:ascii="Arial" w:hAnsi="Arial" w:cs="Arial"/>
          <w:sz w:val="22"/>
          <w:szCs w:val="22"/>
          <w:lang w:val="en-IN"/>
        </w:rPr>
        <w:t>1</w:t>
      </w:r>
      <w:r w:rsidR="002C7230" w:rsidRPr="00414970">
        <w:rPr>
          <w:rFonts w:ascii="Arial" w:hAnsi="Arial" w:cs="Arial"/>
          <w:sz w:val="22"/>
          <w:szCs w:val="22"/>
          <w:lang w:val="en-IN"/>
        </w:rPr>
        <w:t>.00</w:t>
      </w:r>
      <w:r w:rsidRPr="00414970">
        <w:rPr>
          <w:rFonts w:ascii="Arial" w:hAnsi="Arial" w:cs="Arial"/>
          <w:sz w:val="22"/>
          <w:szCs w:val="22"/>
          <w:lang w:val="en-IN"/>
        </w:rPr>
        <w:t>%</w:t>
      </w:r>
      <w:r w:rsidRPr="00F871C8">
        <w:rPr>
          <w:rFonts w:ascii="Arial" w:hAnsi="Arial" w:cs="Arial"/>
          <w:sz w:val="22"/>
          <w:szCs w:val="22"/>
          <w:lang w:val="en-IN"/>
        </w:rPr>
        <w:t xml:space="preserve">, which is in the line and on conservative side in comparison with the respective sector and </w:t>
      </w:r>
      <w:r w:rsidR="001F29A0">
        <w:rPr>
          <w:rFonts w:ascii="Arial" w:hAnsi="Arial" w:cs="Arial"/>
          <w:sz w:val="22"/>
          <w:szCs w:val="22"/>
          <w:lang w:val="en-IN"/>
        </w:rPr>
        <w:t>i</w:t>
      </w:r>
      <w:r w:rsidRPr="00F871C8">
        <w:rPr>
          <w:rFonts w:ascii="Arial" w:hAnsi="Arial" w:cs="Arial"/>
          <w:sz w:val="22"/>
          <w:szCs w:val="22"/>
          <w:lang w:val="en-IN"/>
        </w:rPr>
        <w:t>ndustry.</w:t>
      </w:r>
    </w:p>
    <w:p w14:paraId="1AEBCF02" w14:textId="2F6A2785" w:rsidR="000D522A" w:rsidRDefault="000D522A" w:rsidP="00B07001">
      <w:pPr>
        <w:pStyle w:val="ListParagraph"/>
        <w:numPr>
          <w:ilvl w:val="0"/>
          <w:numId w:val="24"/>
        </w:numPr>
        <w:spacing w:before="240" w:line="360" w:lineRule="auto"/>
        <w:ind w:right="-23" w:hanging="436"/>
        <w:jc w:val="both"/>
        <w:rPr>
          <w:rFonts w:ascii="Arial" w:hAnsi="Arial" w:cs="Arial"/>
          <w:b/>
          <w:bCs/>
          <w:sz w:val="22"/>
          <w:szCs w:val="22"/>
        </w:rPr>
      </w:pPr>
      <w:r>
        <w:rPr>
          <w:rFonts w:ascii="Arial" w:hAnsi="Arial" w:cs="Arial"/>
          <w:b/>
          <w:bCs/>
          <w:sz w:val="22"/>
          <w:szCs w:val="22"/>
        </w:rPr>
        <w:t>ENERGY &amp; OTHER REIMBURSEMENTS</w:t>
      </w:r>
      <w:r w:rsidR="00111C9A">
        <w:rPr>
          <w:rFonts w:ascii="Arial" w:hAnsi="Arial" w:cs="Arial"/>
          <w:b/>
          <w:bCs/>
          <w:sz w:val="22"/>
          <w:szCs w:val="22"/>
        </w:rPr>
        <w:t xml:space="preserve"> AND ENERGY COSTS</w:t>
      </w:r>
      <w:r>
        <w:rPr>
          <w:rFonts w:ascii="Arial" w:hAnsi="Arial" w:cs="Arial"/>
          <w:b/>
          <w:bCs/>
          <w:sz w:val="22"/>
          <w:szCs w:val="22"/>
        </w:rPr>
        <w:t xml:space="preserve">: </w:t>
      </w:r>
      <w:r>
        <w:rPr>
          <w:rFonts w:ascii="Arial" w:hAnsi="Arial" w:cs="Arial"/>
          <w:sz w:val="22"/>
          <w:szCs w:val="22"/>
        </w:rPr>
        <w:t>E</w:t>
      </w:r>
      <w:r w:rsidRPr="000D522A">
        <w:rPr>
          <w:rFonts w:ascii="Arial" w:hAnsi="Arial" w:cs="Arial"/>
          <w:sz w:val="22"/>
          <w:szCs w:val="22"/>
        </w:rPr>
        <w:t>nergy and reimbursements, as well as energy costs, are pass-through in nature. Any changes in energy due to rate or tenancy changes do not significantly affect EBITDA. Therefore, these are considered the same throughout the period</w:t>
      </w:r>
      <w:r>
        <w:rPr>
          <w:rFonts w:ascii="Arial" w:hAnsi="Arial" w:cs="Arial"/>
          <w:b/>
          <w:bCs/>
          <w:sz w:val="22"/>
          <w:szCs w:val="22"/>
        </w:rPr>
        <w:t>.</w:t>
      </w:r>
    </w:p>
    <w:p w14:paraId="5A83D91F" w14:textId="11915486" w:rsidR="004A7122" w:rsidRPr="000D522A" w:rsidRDefault="004A7122" w:rsidP="00B07001">
      <w:pPr>
        <w:pStyle w:val="ListParagraph"/>
        <w:numPr>
          <w:ilvl w:val="0"/>
          <w:numId w:val="24"/>
        </w:numPr>
        <w:spacing w:before="240" w:line="360" w:lineRule="auto"/>
        <w:ind w:right="-23" w:hanging="436"/>
        <w:jc w:val="both"/>
        <w:rPr>
          <w:rFonts w:ascii="Arial" w:hAnsi="Arial" w:cs="Arial"/>
          <w:b/>
          <w:bCs/>
          <w:sz w:val="22"/>
          <w:szCs w:val="22"/>
        </w:rPr>
      </w:pPr>
      <w:r w:rsidRPr="004A7122">
        <w:rPr>
          <w:rFonts w:ascii="Arial" w:hAnsi="Arial" w:cs="Arial"/>
          <w:b/>
          <w:bCs/>
          <w:sz w:val="22"/>
          <w:szCs w:val="22"/>
        </w:rPr>
        <w:t>OTHER INCOME:</w:t>
      </w:r>
      <w:r>
        <w:rPr>
          <w:rFonts w:ascii="Arial" w:hAnsi="Arial" w:cs="Arial"/>
          <w:b/>
          <w:bCs/>
          <w:sz w:val="22"/>
          <w:szCs w:val="22"/>
        </w:rPr>
        <w:t xml:space="preserve"> </w:t>
      </w:r>
      <w:r w:rsidR="000D132A">
        <w:rPr>
          <w:rFonts w:ascii="Arial" w:hAnsi="Arial" w:cs="Arial"/>
          <w:sz w:val="22"/>
          <w:szCs w:val="22"/>
        </w:rPr>
        <w:t>To</w:t>
      </w:r>
      <w:r w:rsidRPr="002A59EF">
        <w:rPr>
          <w:rFonts w:ascii="Arial" w:hAnsi="Arial" w:cs="Arial"/>
          <w:sz w:val="22"/>
          <w:szCs w:val="22"/>
        </w:rPr>
        <w:t xml:space="preserve"> estimate the </w:t>
      </w:r>
      <w:r>
        <w:rPr>
          <w:rFonts w:ascii="Arial" w:hAnsi="Arial" w:cs="Arial"/>
          <w:sz w:val="22"/>
          <w:szCs w:val="22"/>
        </w:rPr>
        <w:t xml:space="preserve">Other Income </w:t>
      </w:r>
      <w:r w:rsidRPr="002A59EF">
        <w:rPr>
          <w:rFonts w:ascii="Arial" w:hAnsi="Arial" w:cs="Arial"/>
          <w:sz w:val="22"/>
          <w:szCs w:val="22"/>
        </w:rPr>
        <w:t>during the projection period</w:t>
      </w:r>
      <w:r>
        <w:rPr>
          <w:rFonts w:ascii="Arial" w:hAnsi="Arial" w:cs="Arial"/>
          <w:sz w:val="22"/>
          <w:szCs w:val="22"/>
        </w:rPr>
        <w:t xml:space="preserve"> we have used the average of the historical </w:t>
      </w:r>
      <w:r w:rsidR="000D132A">
        <w:rPr>
          <w:rFonts w:ascii="Arial" w:hAnsi="Arial" w:cs="Arial"/>
          <w:sz w:val="22"/>
          <w:szCs w:val="22"/>
        </w:rPr>
        <w:t>other income (without extraordinary and one-off income)</w:t>
      </w:r>
      <w:r>
        <w:rPr>
          <w:rFonts w:ascii="Arial" w:hAnsi="Arial" w:cs="Arial"/>
          <w:sz w:val="22"/>
          <w:szCs w:val="22"/>
        </w:rPr>
        <w:t xml:space="preserve"> with respect to the operating revenues a</w:t>
      </w:r>
      <w:r w:rsidRPr="002A59EF">
        <w:rPr>
          <w:rFonts w:ascii="Arial" w:hAnsi="Arial" w:cs="Arial"/>
          <w:sz w:val="22"/>
          <w:szCs w:val="22"/>
        </w:rPr>
        <w:t>s per the best practices</w:t>
      </w:r>
      <w:r>
        <w:rPr>
          <w:rFonts w:ascii="Arial" w:hAnsi="Arial" w:cs="Arial"/>
          <w:sz w:val="22"/>
          <w:szCs w:val="22"/>
        </w:rPr>
        <w:t xml:space="preserve"> used in the industry</w:t>
      </w:r>
      <w:r w:rsidR="000D132A">
        <w:rPr>
          <w:rFonts w:ascii="Arial" w:hAnsi="Arial" w:cs="Arial"/>
          <w:sz w:val="22"/>
          <w:szCs w:val="22"/>
        </w:rPr>
        <w:t xml:space="preserve">, which comes out to be </w:t>
      </w:r>
      <w:r w:rsidR="000D522A">
        <w:rPr>
          <w:rFonts w:ascii="Arial" w:hAnsi="Arial" w:cs="Arial"/>
          <w:sz w:val="22"/>
          <w:szCs w:val="22"/>
        </w:rPr>
        <w:t>2.05</w:t>
      </w:r>
      <w:r w:rsidR="000D132A">
        <w:rPr>
          <w:rFonts w:ascii="Arial" w:hAnsi="Arial" w:cs="Arial"/>
          <w:sz w:val="22"/>
          <w:szCs w:val="22"/>
        </w:rPr>
        <w:t>%</w:t>
      </w:r>
      <w:r>
        <w:rPr>
          <w:rFonts w:ascii="Arial" w:hAnsi="Arial" w:cs="Arial"/>
          <w:sz w:val="22"/>
          <w:szCs w:val="22"/>
        </w:rPr>
        <w:t>.</w:t>
      </w:r>
    </w:p>
    <w:p w14:paraId="7C8E5A1A" w14:textId="2BB2E792" w:rsidR="008F05EA" w:rsidRPr="008F05EA" w:rsidRDefault="000D522A" w:rsidP="00B07001">
      <w:pPr>
        <w:pStyle w:val="ListParagraph"/>
        <w:numPr>
          <w:ilvl w:val="0"/>
          <w:numId w:val="24"/>
        </w:numPr>
        <w:spacing w:before="240" w:line="360" w:lineRule="auto"/>
        <w:ind w:right="-23" w:hanging="436"/>
        <w:jc w:val="both"/>
        <w:rPr>
          <w:rFonts w:ascii="Arial" w:hAnsi="Arial" w:cs="Arial"/>
          <w:sz w:val="22"/>
          <w:szCs w:val="22"/>
          <w:lang w:val="en-IN"/>
        </w:rPr>
      </w:pPr>
      <w:r w:rsidRPr="008F05EA">
        <w:rPr>
          <w:rFonts w:ascii="Arial" w:hAnsi="Arial" w:cs="Arial"/>
          <w:b/>
          <w:bCs/>
          <w:sz w:val="22"/>
          <w:szCs w:val="22"/>
        </w:rPr>
        <w:t>MSA RENEGOTIATION</w:t>
      </w:r>
      <w:r w:rsidR="00D479EB">
        <w:rPr>
          <w:rFonts w:ascii="Arial" w:hAnsi="Arial" w:cs="Arial"/>
          <w:b/>
          <w:bCs/>
          <w:sz w:val="22"/>
          <w:szCs w:val="22"/>
        </w:rPr>
        <w:t xml:space="preserve"> CHARGES</w:t>
      </w:r>
      <w:r w:rsidRPr="008F05EA">
        <w:rPr>
          <w:rFonts w:ascii="Arial" w:hAnsi="Arial" w:cs="Arial"/>
          <w:b/>
          <w:bCs/>
          <w:sz w:val="22"/>
          <w:szCs w:val="22"/>
        </w:rPr>
        <w:t xml:space="preserve">: </w:t>
      </w:r>
      <w:r w:rsidRPr="008F05EA">
        <w:rPr>
          <w:rFonts w:ascii="Arial" w:hAnsi="Arial" w:cs="Arial"/>
          <w:sz w:val="22"/>
          <w:szCs w:val="22"/>
        </w:rPr>
        <w:t xml:space="preserve">As per the information shared with us, </w:t>
      </w:r>
      <w:r w:rsidRPr="008F05EA">
        <w:rPr>
          <w:rFonts w:ascii="Arial" w:hAnsi="Arial" w:cs="Arial"/>
          <w:sz w:val="22"/>
          <w:szCs w:val="22"/>
          <w:lang w:val="en-IN"/>
        </w:rPr>
        <w:t xml:space="preserve">the company had long-term agreements with telecom operators like </w:t>
      </w:r>
      <w:proofErr w:type="spellStart"/>
      <w:r w:rsidRPr="008F05EA">
        <w:rPr>
          <w:rFonts w:ascii="Arial" w:hAnsi="Arial" w:cs="Arial"/>
          <w:sz w:val="22"/>
          <w:szCs w:val="22"/>
          <w:lang w:val="en-IN"/>
        </w:rPr>
        <w:t>Jio</w:t>
      </w:r>
      <w:proofErr w:type="spellEnd"/>
      <w:r w:rsidRPr="008F05EA">
        <w:rPr>
          <w:rFonts w:ascii="Arial" w:hAnsi="Arial" w:cs="Arial"/>
          <w:sz w:val="22"/>
          <w:szCs w:val="22"/>
          <w:lang w:val="en-IN"/>
        </w:rPr>
        <w:t>, Airtel, V</w:t>
      </w:r>
      <w:r w:rsidR="004C1C3E">
        <w:rPr>
          <w:rFonts w:ascii="Arial" w:hAnsi="Arial" w:cs="Arial"/>
          <w:sz w:val="22"/>
          <w:szCs w:val="22"/>
          <w:lang w:val="en-IN"/>
        </w:rPr>
        <w:t>I</w:t>
      </w:r>
      <w:r w:rsidRPr="008F05EA">
        <w:rPr>
          <w:rFonts w:ascii="Arial" w:hAnsi="Arial" w:cs="Arial"/>
          <w:sz w:val="22"/>
          <w:szCs w:val="22"/>
          <w:lang w:val="en-IN"/>
        </w:rPr>
        <w:t>, and BSNL under Master Service Agreements (MSAs) with lock-in periods of 5 to 15 years. However, MSAs with three operators have expired, and renegotiations are in progress. Additionally, over 6,500 sites have exceeded their lock-in periods</w:t>
      </w:r>
      <w:r w:rsidR="00280EB2">
        <w:rPr>
          <w:rFonts w:ascii="Arial" w:hAnsi="Arial" w:cs="Arial"/>
          <w:sz w:val="22"/>
          <w:szCs w:val="22"/>
          <w:lang w:val="en-IN"/>
        </w:rPr>
        <w:t xml:space="preserve"> and 12,479 sites will be out of lock-in periods in the next 10 years</w:t>
      </w:r>
      <w:r w:rsidR="008F05EA">
        <w:rPr>
          <w:rFonts w:ascii="Arial" w:hAnsi="Arial" w:cs="Arial"/>
          <w:sz w:val="22"/>
          <w:szCs w:val="22"/>
          <w:lang w:val="en-IN"/>
        </w:rPr>
        <w:t>.</w:t>
      </w:r>
      <w:r w:rsidR="008F05EA" w:rsidRPr="008F05EA">
        <w:rPr>
          <w:rFonts w:ascii="Arial" w:eastAsiaTheme="minorHAnsi" w:hAnsi="Arial" w:cs="Arial"/>
          <w:lang w:val="en-IN"/>
        </w:rPr>
        <w:t xml:space="preserve"> </w:t>
      </w:r>
      <w:r w:rsidR="008F05EA" w:rsidRPr="008F05EA">
        <w:rPr>
          <w:rFonts w:ascii="Arial" w:hAnsi="Arial" w:cs="Arial"/>
          <w:sz w:val="22"/>
          <w:szCs w:val="22"/>
          <w:lang w:val="en-IN"/>
        </w:rPr>
        <w:t xml:space="preserve">Over time, due to annual escalations, the base rental rates at these sites have also nearly doubled compared to their original levels. </w:t>
      </w:r>
    </w:p>
    <w:p w14:paraId="306DF825" w14:textId="6EECEC37" w:rsidR="000D522A" w:rsidRDefault="000D522A" w:rsidP="008F05EA">
      <w:pPr>
        <w:pStyle w:val="ListParagraph"/>
        <w:spacing w:line="360" w:lineRule="auto"/>
        <w:ind w:right="-23"/>
        <w:jc w:val="both"/>
        <w:rPr>
          <w:rFonts w:ascii="Arial" w:hAnsi="Arial" w:cs="Arial"/>
          <w:sz w:val="22"/>
          <w:szCs w:val="22"/>
          <w:lang w:val="en-IN"/>
        </w:rPr>
      </w:pPr>
      <w:r w:rsidRPr="000D522A">
        <w:rPr>
          <w:rFonts w:ascii="Arial" w:hAnsi="Arial" w:cs="Arial"/>
          <w:sz w:val="22"/>
          <w:szCs w:val="22"/>
          <w:lang w:val="en-IN"/>
        </w:rPr>
        <w:t xml:space="preserve">Telecom operators are now raising concerns about the higher costs and are requesting a price reset to the original base levels. If their demands are not met, they may exit these sites, resulting in a complete loss of revenue. </w:t>
      </w:r>
      <w:r w:rsidR="00D44AC2" w:rsidRPr="00D44AC2">
        <w:rPr>
          <w:rFonts w:ascii="Arial" w:hAnsi="Arial" w:cs="Arial"/>
          <w:sz w:val="22"/>
          <w:szCs w:val="22"/>
        </w:rPr>
        <w:t>Tenancies exhibit base rents ranging from ₹12,000 to ₹37,000, contingent upon the specific tower type and the associated Master Service Agreement (MSA) terms.</w:t>
      </w:r>
      <w:r w:rsidR="00D44AC2">
        <w:rPr>
          <w:rFonts w:ascii="Arial" w:hAnsi="Arial" w:cs="Arial"/>
          <w:sz w:val="22"/>
          <w:szCs w:val="22"/>
        </w:rPr>
        <w:t xml:space="preserve"> </w:t>
      </w:r>
      <w:bookmarkStart w:id="23" w:name="_GoBack"/>
      <w:bookmarkEnd w:id="23"/>
      <w:r w:rsidR="00280EB2">
        <w:rPr>
          <w:rFonts w:ascii="Arial" w:hAnsi="Arial" w:cs="Arial"/>
          <w:sz w:val="22"/>
          <w:szCs w:val="22"/>
          <w:lang w:val="en-IN"/>
        </w:rPr>
        <w:t xml:space="preserve">The </w:t>
      </w:r>
      <w:r w:rsidR="00280EB2" w:rsidRPr="000D522A">
        <w:rPr>
          <w:rFonts w:ascii="Arial" w:hAnsi="Arial" w:cs="Arial"/>
          <w:sz w:val="22"/>
          <w:szCs w:val="22"/>
          <w:lang w:val="en-IN"/>
        </w:rPr>
        <w:t>renegotiation fee is being proposed to help offset this impact while maintaining long-term partnerships with telecom operators.</w:t>
      </w:r>
      <w:r w:rsidR="00280EB2">
        <w:rPr>
          <w:rFonts w:ascii="Arial" w:hAnsi="Arial" w:cs="Arial"/>
          <w:sz w:val="22"/>
          <w:szCs w:val="22"/>
          <w:lang w:val="en-IN"/>
        </w:rPr>
        <w:t xml:space="preserve"> </w:t>
      </w:r>
      <w:r w:rsidRPr="000D522A">
        <w:rPr>
          <w:rFonts w:ascii="Arial" w:hAnsi="Arial" w:cs="Arial"/>
          <w:sz w:val="22"/>
          <w:szCs w:val="22"/>
          <w:lang w:val="en-IN"/>
        </w:rPr>
        <w:t xml:space="preserve">To address this, the company has assessed the situation and estimated that resetting prices would lead to a revenue impact of approximately </w:t>
      </w:r>
      <w:r w:rsidR="008F05EA">
        <w:rPr>
          <w:rFonts w:ascii="Arial" w:hAnsi="Arial" w:cs="Arial"/>
          <w:sz w:val="22"/>
          <w:szCs w:val="22"/>
          <w:lang w:val="en-IN"/>
        </w:rPr>
        <w:t>INR</w:t>
      </w:r>
      <w:r w:rsidRPr="000D522A">
        <w:rPr>
          <w:rFonts w:ascii="Arial" w:hAnsi="Arial" w:cs="Arial"/>
          <w:sz w:val="22"/>
          <w:szCs w:val="22"/>
          <w:lang w:val="en-IN"/>
        </w:rPr>
        <w:t xml:space="preserve"> 50</w:t>
      </w:r>
      <w:r w:rsidR="008F05EA">
        <w:rPr>
          <w:rFonts w:ascii="Arial" w:hAnsi="Arial" w:cs="Arial"/>
          <w:sz w:val="22"/>
          <w:szCs w:val="22"/>
          <w:lang w:val="en-IN"/>
        </w:rPr>
        <w:t>.00</w:t>
      </w:r>
      <w:r w:rsidRPr="000D522A">
        <w:rPr>
          <w:rFonts w:ascii="Arial" w:hAnsi="Arial" w:cs="Arial"/>
          <w:sz w:val="22"/>
          <w:szCs w:val="22"/>
          <w:lang w:val="en-IN"/>
        </w:rPr>
        <w:t xml:space="preserve"> crore</w:t>
      </w:r>
      <w:r w:rsidRPr="008F05EA">
        <w:rPr>
          <w:rFonts w:ascii="Arial" w:hAnsi="Arial" w:cs="Arial"/>
          <w:sz w:val="22"/>
          <w:szCs w:val="22"/>
          <w:lang w:val="en-IN"/>
        </w:rPr>
        <w:t>s</w:t>
      </w:r>
      <w:r w:rsidR="00280EB2">
        <w:rPr>
          <w:rFonts w:ascii="Arial" w:hAnsi="Arial" w:cs="Arial"/>
          <w:sz w:val="22"/>
          <w:szCs w:val="22"/>
          <w:lang w:val="en-IN"/>
        </w:rPr>
        <w:t xml:space="preserve"> in FY 2024-25 and for the next 10 years the company have proposed the following annual impact of revenue. </w:t>
      </w:r>
    </w:p>
    <w:tbl>
      <w:tblPr>
        <w:tblW w:w="552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2409"/>
      </w:tblGrid>
      <w:tr w:rsidR="00280EB2" w:rsidRPr="00280EB2" w14:paraId="4B74E499" w14:textId="77777777" w:rsidTr="0008176D">
        <w:trPr>
          <w:trHeight w:val="119"/>
        </w:trPr>
        <w:tc>
          <w:tcPr>
            <w:tcW w:w="1271" w:type="dxa"/>
            <w:shd w:val="clear" w:color="000000" w:fill="002060"/>
            <w:vAlign w:val="center"/>
            <w:hideMark/>
          </w:tcPr>
          <w:p w14:paraId="6513891F" w14:textId="79C7F2B1" w:rsidR="00280EB2" w:rsidRPr="00280EB2" w:rsidRDefault="00280EB2" w:rsidP="0008176D">
            <w:pPr>
              <w:spacing w:after="0" w:line="360" w:lineRule="auto"/>
              <w:jc w:val="center"/>
              <w:rPr>
                <w:rFonts w:ascii="Calibri" w:hAnsi="Calibri" w:cs="Calibri"/>
                <w:b/>
                <w:bCs/>
                <w:color w:val="FFFFFF"/>
                <w:sz w:val="22"/>
                <w:szCs w:val="22"/>
                <w:lang w:val="en-IN" w:eastAsia="en-IN"/>
              </w:rPr>
            </w:pPr>
            <w:r>
              <w:rPr>
                <w:rFonts w:ascii="Calibri" w:hAnsi="Calibri" w:cs="Calibri"/>
                <w:b/>
                <w:bCs/>
                <w:color w:val="FFFFFF"/>
                <w:sz w:val="22"/>
                <w:szCs w:val="22"/>
              </w:rPr>
              <w:t>Financial Year</w:t>
            </w:r>
          </w:p>
        </w:tc>
        <w:tc>
          <w:tcPr>
            <w:tcW w:w="1843" w:type="dxa"/>
            <w:shd w:val="clear" w:color="000000" w:fill="002060"/>
            <w:vAlign w:val="center"/>
          </w:tcPr>
          <w:p w14:paraId="73B9EC06" w14:textId="3A61B6C9" w:rsidR="00280EB2" w:rsidRPr="00280EB2" w:rsidRDefault="00280EB2" w:rsidP="0008176D">
            <w:pPr>
              <w:spacing w:after="0" w:line="360" w:lineRule="auto"/>
              <w:jc w:val="center"/>
              <w:rPr>
                <w:rFonts w:ascii="Calibri" w:hAnsi="Calibri" w:cs="Calibri"/>
                <w:b/>
                <w:bCs/>
                <w:color w:val="FFFFFF"/>
                <w:sz w:val="22"/>
                <w:szCs w:val="22"/>
                <w:lang w:val="en-IN" w:eastAsia="en-IN"/>
              </w:rPr>
            </w:pPr>
            <w:r w:rsidRPr="00280EB2">
              <w:rPr>
                <w:rFonts w:ascii="Calibri" w:hAnsi="Calibri" w:cs="Calibri"/>
                <w:b/>
                <w:bCs/>
                <w:color w:val="FFFFFF"/>
                <w:sz w:val="22"/>
                <w:szCs w:val="22"/>
                <w:lang w:val="en-IN" w:eastAsia="en-IN"/>
              </w:rPr>
              <w:t>No. of tenancies out of lock in</w:t>
            </w:r>
          </w:p>
        </w:tc>
        <w:tc>
          <w:tcPr>
            <w:tcW w:w="2409" w:type="dxa"/>
            <w:shd w:val="clear" w:color="000000" w:fill="002060"/>
            <w:vAlign w:val="center"/>
            <w:hideMark/>
          </w:tcPr>
          <w:p w14:paraId="0C1CE474" w14:textId="0C71757D" w:rsidR="00280EB2" w:rsidRPr="00280EB2" w:rsidRDefault="00280EB2" w:rsidP="0008176D">
            <w:pPr>
              <w:spacing w:after="0" w:line="360" w:lineRule="auto"/>
              <w:jc w:val="center"/>
              <w:rPr>
                <w:rFonts w:ascii="Calibri" w:hAnsi="Calibri" w:cs="Calibri"/>
                <w:b/>
                <w:bCs/>
                <w:color w:val="FFFFFF"/>
                <w:sz w:val="22"/>
                <w:szCs w:val="22"/>
                <w:lang w:val="en-IN" w:eastAsia="en-IN"/>
              </w:rPr>
            </w:pPr>
            <w:r w:rsidRPr="00280EB2">
              <w:rPr>
                <w:rFonts w:ascii="Calibri" w:hAnsi="Calibri" w:cs="Calibri"/>
                <w:b/>
                <w:bCs/>
                <w:color w:val="FFFFFF"/>
                <w:sz w:val="22"/>
                <w:szCs w:val="22"/>
                <w:lang w:val="en-IN" w:eastAsia="en-IN"/>
              </w:rPr>
              <w:t>Potential annual impact of resetting of revenue</w:t>
            </w:r>
          </w:p>
        </w:tc>
      </w:tr>
      <w:tr w:rsidR="00280EB2" w:rsidRPr="00280EB2" w14:paraId="5B6D3D0A" w14:textId="77777777" w:rsidTr="0008176D">
        <w:trPr>
          <w:trHeight w:val="300"/>
        </w:trPr>
        <w:tc>
          <w:tcPr>
            <w:tcW w:w="1271" w:type="dxa"/>
            <w:shd w:val="clear" w:color="auto" w:fill="auto"/>
            <w:noWrap/>
            <w:vAlign w:val="center"/>
            <w:hideMark/>
          </w:tcPr>
          <w:p w14:paraId="5E728CBC" w14:textId="167B1907"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26-27</w:t>
            </w:r>
          </w:p>
        </w:tc>
        <w:tc>
          <w:tcPr>
            <w:tcW w:w="1843" w:type="dxa"/>
            <w:vAlign w:val="center"/>
          </w:tcPr>
          <w:p w14:paraId="3188721C" w14:textId="51AE179B"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1,468</w:t>
            </w:r>
          </w:p>
        </w:tc>
        <w:tc>
          <w:tcPr>
            <w:tcW w:w="2409" w:type="dxa"/>
            <w:shd w:val="clear" w:color="auto" w:fill="auto"/>
            <w:noWrap/>
            <w:vAlign w:val="center"/>
            <w:hideMark/>
          </w:tcPr>
          <w:p w14:paraId="3E3A3E1A" w14:textId="723E7653"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9.18</w:t>
            </w:r>
          </w:p>
        </w:tc>
      </w:tr>
      <w:tr w:rsidR="00280EB2" w:rsidRPr="00280EB2" w14:paraId="07EDB3B6" w14:textId="77777777" w:rsidTr="0008176D">
        <w:trPr>
          <w:trHeight w:val="300"/>
        </w:trPr>
        <w:tc>
          <w:tcPr>
            <w:tcW w:w="1271" w:type="dxa"/>
            <w:shd w:val="clear" w:color="auto" w:fill="auto"/>
            <w:noWrap/>
            <w:vAlign w:val="center"/>
            <w:hideMark/>
          </w:tcPr>
          <w:p w14:paraId="08CBA16C" w14:textId="28DBB02A"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27-28</w:t>
            </w:r>
          </w:p>
        </w:tc>
        <w:tc>
          <w:tcPr>
            <w:tcW w:w="1843" w:type="dxa"/>
            <w:vAlign w:val="center"/>
          </w:tcPr>
          <w:p w14:paraId="26C23DB8" w14:textId="1ECC864E"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3,947</w:t>
            </w:r>
          </w:p>
        </w:tc>
        <w:tc>
          <w:tcPr>
            <w:tcW w:w="2409" w:type="dxa"/>
            <w:shd w:val="clear" w:color="auto" w:fill="auto"/>
            <w:noWrap/>
            <w:vAlign w:val="center"/>
            <w:hideMark/>
          </w:tcPr>
          <w:p w14:paraId="19D127B9" w14:textId="13D04E6E"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27.40</w:t>
            </w:r>
          </w:p>
        </w:tc>
      </w:tr>
      <w:tr w:rsidR="00280EB2" w:rsidRPr="00280EB2" w14:paraId="15AF3194" w14:textId="77777777" w:rsidTr="0008176D">
        <w:trPr>
          <w:trHeight w:val="300"/>
        </w:trPr>
        <w:tc>
          <w:tcPr>
            <w:tcW w:w="1271" w:type="dxa"/>
            <w:shd w:val="clear" w:color="auto" w:fill="auto"/>
            <w:noWrap/>
            <w:vAlign w:val="center"/>
            <w:hideMark/>
          </w:tcPr>
          <w:p w14:paraId="4513F5E1" w14:textId="5880F059"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28-29</w:t>
            </w:r>
          </w:p>
        </w:tc>
        <w:tc>
          <w:tcPr>
            <w:tcW w:w="1843" w:type="dxa"/>
            <w:vAlign w:val="center"/>
          </w:tcPr>
          <w:p w14:paraId="50411991" w14:textId="27490E84"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3,255</w:t>
            </w:r>
          </w:p>
        </w:tc>
        <w:tc>
          <w:tcPr>
            <w:tcW w:w="2409" w:type="dxa"/>
            <w:shd w:val="clear" w:color="auto" w:fill="auto"/>
            <w:noWrap/>
            <w:vAlign w:val="center"/>
            <w:hideMark/>
          </w:tcPr>
          <w:p w14:paraId="270C15DB" w14:textId="54DA7F97"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21.30</w:t>
            </w:r>
          </w:p>
        </w:tc>
      </w:tr>
      <w:tr w:rsidR="00280EB2" w:rsidRPr="00280EB2" w14:paraId="670469BD" w14:textId="77777777" w:rsidTr="0008176D">
        <w:trPr>
          <w:trHeight w:val="300"/>
        </w:trPr>
        <w:tc>
          <w:tcPr>
            <w:tcW w:w="1271" w:type="dxa"/>
            <w:shd w:val="clear" w:color="auto" w:fill="auto"/>
            <w:noWrap/>
            <w:vAlign w:val="center"/>
            <w:hideMark/>
          </w:tcPr>
          <w:p w14:paraId="7D0DA506" w14:textId="15068AF4"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29-30</w:t>
            </w:r>
          </w:p>
        </w:tc>
        <w:tc>
          <w:tcPr>
            <w:tcW w:w="1843" w:type="dxa"/>
            <w:vAlign w:val="center"/>
          </w:tcPr>
          <w:p w14:paraId="52879B22" w14:textId="38BEAFED"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793</w:t>
            </w:r>
          </w:p>
        </w:tc>
        <w:tc>
          <w:tcPr>
            <w:tcW w:w="2409" w:type="dxa"/>
            <w:shd w:val="clear" w:color="auto" w:fill="auto"/>
            <w:noWrap/>
            <w:vAlign w:val="center"/>
            <w:hideMark/>
          </w:tcPr>
          <w:p w14:paraId="59A34113" w14:textId="6CB0D93D"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4.69</w:t>
            </w:r>
          </w:p>
        </w:tc>
      </w:tr>
      <w:tr w:rsidR="00280EB2" w:rsidRPr="00280EB2" w14:paraId="19B2C7DC" w14:textId="77777777" w:rsidTr="0008176D">
        <w:trPr>
          <w:trHeight w:val="300"/>
        </w:trPr>
        <w:tc>
          <w:tcPr>
            <w:tcW w:w="1271" w:type="dxa"/>
            <w:shd w:val="clear" w:color="auto" w:fill="auto"/>
            <w:noWrap/>
            <w:vAlign w:val="center"/>
            <w:hideMark/>
          </w:tcPr>
          <w:p w14:paraId="2F5970D2" w14:textId="186F5A6F"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30-31</w:t>
            </w:r>
          </w:p>
        </w:tc>
        <w:tc>
          <w:tcPr>
            <w:tcW w:w="1843" w:type="dxa"/>
            <w:vAlign w:val="center"/>
          </w:tcPr>
          <w:p w14:paraId="29F10086" w14:textId="066FE600"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423</w:t>
            </w:r>
          </w:p>
        </w:tc>
        <w:tc>
          <w:tcPr>
            <w:tcW w:w="2409" w:type="dxa"/>
            <w:shd w:val="clear" w:color="auto" w:fill="auto"/>
            <w:noWrap/>
            <w:vAlign w:val="center"/>
            <w:hideMark/>
          </w:tcPr>
          <w:p w14:paraId="5199F0AC" w14:textId="05688655"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2.66</w:t>
            </w:r>
          </w:p>
        </w:tc>
      </w:tr>
      <w:tr w:rsidR="00280EB2" w:rsidRPr="00280EB2" w14:paraId="1C02B6C4" w14:textId="77777777" w:rsidTr="0008176D">
        <w:trPr>
          <w:trHeight w:val="300"/>
        </w:trPr>
        <w:tc>
          <w:tcPr>
            <w:tcW w:w="1271" w:type="dxa"/>
            <w:shd w:val="clear" w:color="auto" w:fill="auto"/>
            <w:noWrap/>
            <w:vAlign w:val="center"/>
            <w:hideMark/>
          </w:tcPr>
          <w:p w14:paraId="7AAA006F" w14:textId="5D7BB0AC"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31-32</w:t>
            </w:r>
          </w:p>
        </w:tc>
        <w:tc>
          <w:tcPr>
            <w:tcW w:w="1843" w:type="dxa"/>
            <w:vAlign w:val="center"/>
          </w:tcPr>
          <w:p w14:paraId="34E932E3" w14:textId="0DD74BBF"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1,254</w:t>
            </w:r>
          </w:p>
        </w:tc>
        <w:tc>
          <w:tcPr>
            <w:tcW w:w="2409" w:type="dxa"/>
            <w:shd w:val="clear" w:color="auto" w:fill="auto"/>
            <w:noWrap/>
            <w:vAlign w:val="center"/>
            <w:hideMark/>
          </w:tcPr>
          <w:p w14:paraId="2D25BE4F" w14:textId="1DE8FB61"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6.20</w:t>
            </w:r>
          </w:p>
        </w:tc>
      </w:tr>
      <w:tr w:rsidR="00280EB2" w:rsidRPr="00280EB2" w14:paraId="301F6179" w14:textId="77777777" w:rsidTr="0008176D">
        <w:trPr>
          <w:trHeight w:val="300"/>
        </w:trPr>
        <w:tc>
          <w:tcPr>
            <w:tcW w:w="1271" w:type="dxa"/>
            <w:shd w:val="clear" w:color="auto" w:fill="auto"/>
            <w:noWrap/>
            <w:vAlign w:val="center"/>
            <w:hideMark/>
          </w:tcPr>
          <w:p w14:paraId="2F2A3D6B" w14:textId="3EEDFACA"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32-33</w:t>
            </w:r>
          </w:p>
        </w:tc>
        <w:tc>
          <w:tcPr>
            <w:tcW w:w="1843" w:type="dxa"/>
            <w:vAlign w:val="center"/>
          </w:tcPr>
          <w:p w14:paraId="6FB15110" w14:textId="17818547"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1,287</w:t>
            </w:r>
          </w:p>
        </w:tc>
        <w:tc>
          <w:tcPr>
            <w:tcW w:w="2409" w:type="dxa"/>
            <w:shd w:val="clear" w:color="auto" w:fill="auto"/>
            <w:noWrap/>
            <w:vAlign w:val="center"/>
            <w:hideMark/>
          </w:tcPr>
          <w:p w14:paraId="76798CE7" w14:textId="44365A5D"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5.57</w:t>
            </w:r>
          </w:p>
        </w:tc>
      </w:tr>
      <w:tr w:rsidR="00280EB2" w:rsidRPr="00280EB2" w14:paraId="42A5310F" w14:textId="77777777" w:rsidTr="0008176D">
        <w:trPr>
          <w:trHeight w:val="300"/>
        </w:trPr>
        <w:tc>
          <w:tcPr>
            <w:tcW w:w="1271" w:type="dxa"/>
            <w:shd w:val="clear" w:color="auto" w:fill="auto"/>
            <w:noWrap/>
            <w:vAlign w:val="center"/>
            <w:hideMark/>
          </w:tcPr>
          <w:p w14:paraId="3EEB2A8F" w14:textId="7DF649B5" w:rsidR="00280EB2" w:rsidRPr="00280EB2" w:rsidRDefault="00280EB2" w:rsidP="00280EB2">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FY 33-34</w:t>
            </w:r>
          </w:p>
        </w:tc>
        <w:tc>
          <w:tcPr>
            <w:tcW w:w="1843" w:type="dxa"/>
            <w:vAlign w:val="center"/>
          </w:tcPr>
          <w:p w14:paraId="3F87B7F7" w14:textId="5EE2B2AF"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52</w:t>
            </w:r>
          </w:p>
        </w:tc>
        <w:tc>
          <w:tcPr>
            <w:tcW w:w="2409" w:type="dxa"/>
            <w:shd w:val="clear" w:color="auto" w:fill="auto"/>
            <w:noWrap/>
            <w:vAlign w:val="center"/>
            <w:hideMark/>
          </w:tcPr>
          <w:p w14:paraId="696429D1" w14:textId="435B94B8" w:rsidR="00280EB2" w:rsidRPr="00280EB2" w:rsidRDefault="00280EB2" w:rsidP="00280EB2">
            <w:pPr>
              <w:spacing w:after="0" w:line="360" w:lineRule="auto"/>
              <w:jc w:val="center"/>
              <w:rPr>
                <w:rFonts w:ascii="Calibri" w:hAnsi="Calibri" w:cs="Calibri"/>
                <w:color w:val="000000"/>
                <w:sz w:val="22"/>
                <w:szCs w:val="22"/>
                <w:lang w:val="en-IN" w:eastAsia="en-IN"/>
              </w:rPr>
            </w:pPr>
            <w:r w:rsidRPr="00280EB2">
              <w:rPr>
                <w:rFonts w:ascii="Calibri" w:hAnsi="Calibri" w:cs="Calibri"/>
                <w:color w:val="000000"/>
                <w:sz w:val="22"/>
                <w:szCs w:val="22"/>
                <w:lang w:val="en-IN" w:eastAsia="en-IN"/>
              </w:rPr>
              <w:t>0.38</w:t>
            </w:r>
          </w:p>
        </w:tc>
      </w:tr>
      <w:tr w:rsidR="00280EB2" w:rsidRPr="00280EB2" w14:paraId="762072BF" w14:textId="77777777" w:rsidTr="0008176D">
        <w:trPr>
          <w:trHeight w:val="300"/>
        </w:trPr>
        <w:tc>
          <w:tcPr>
            <w:tcW w:w="1271" w:type="dxa"/>
            <w:shd w:val="clear" w:color="000000" w:fill="DDEBF7"/>
            <w:noWrap/>
            <w:vAlign w:val="center"/>
            <w:hideMark/>
          </w:tcPr>
          <w:p w14:paraId="5657E922" w14:textId="7C91BAED" w:rsidR="00280EB2" w:rsidRPr="00280EB2" w:rsidRDefault="00280EB2" w:rsidP="00280EB2">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Total</w:t>
            </w:r>
          </w:p>
        </w:tc>
        <w:tc>
          <w:tcPr>
            <w:tcW w:w="1843" w:type="dxa"/>
            <w:shd w:val="clear" w:color="000000" w:fill="DDEBF7"/>
            <w:vAlign w:val="center"/>
          </w:tcPr>
          <w:p w14:paraId="7D0E74D2" w14:textId="39EDBEC3" w:rsidR="00280EB2" w:rsidRPr="00280EB2" w:rsidRDefault="00280EB2" w:rsidP="00280EB2">
            <w:pPr>
              <w:spacing w:after="0" w:line="360" w:lineRule="auto"/>
              <w:jc w:val="center"/>
              <w:rPr>
                <w:rFonts w:ascii="Calibri" w:hAnsi="Calibri" w:cs="Calibri"/>
                <w:b/>
                <w:bCs/>
                <w:color w:val="000000"/>
                <w:sz w:val="22"/>
                <w:szCs w:val="22"/>
                <w:lang w:val="en-IN" w:eastAsia="en-IN"/>
              </w:rPr>
            </w:pPr>
            <w:r w:rsidRPr="00280EB2">
              <w:rPr>
                <w:rFonts w:ascii="Calibri" w:hAnsi="Calibri" w:cs="Calibri"/>
                <w:b/>
                <w:bCs/>
                <w:color w:val="000000"/>
                <w:sz w:val="22"/>
                <w:szCs w:val="22"/>
                <w:lang w:val="en-IN" w:eastAsia="en-IN"/>
              </w:rPr>
              <w:t>12,479</w:t>
            </w:r>
          </w:p>
        </w:tc>
        <w:tc>
          <w:tcPr>
            <w:tcW w:w="2409" w:type="dxa"/>
            <w:shd w:val="clear" w:color="000000" w:fill="DDEBF7"/>
            <w:noWrap/>
            <w:vAlign w:val="center"/>
            <w:hideMark/>
          </w:tcPr>
          <w:p w14:paraId="2786B6D3" w14:textId="6E89908E" w:rsidR="00280EB2" w:rsidRPr="00280EB2" w:rsidRDefault="00280EB2" w:rsidP="00280EB2">
            <w:pPr>
              <w:spacing w:after="0" w:line="360" w:lineRule="auto"/>
              <w:jc w:val="center"/>
              <w:rPr>
                <w:rFonts w:ascii="Calibri" w:hAnsi="Calibri" w:cs="Calibri"/>
                <w:b/>
                <w:bCs/>
                <w:color w:val="000000"/>
                <w:sz w:val="22"/>
                <w:szCs w:val="22"/>
                <w:lang w:val="en-IN" w:eastAsia="en-IN"/>
              </w:rPr>
            </w:pPr>
            <w:r w:rsidRPr="00280EB2">
              <w:rPr>
                <w:rFonts w:ascii="Calibri" w:hAnsi="Calibri" w:cs="Calibri"/>
                <w:b/>
                <w:bCs/>
                <w:color w:val="000000"/>
                <w:sz w:val="22"/>
                <w:szCs w:val="22"/>
                <w:lang w:val="en-IN" w:eastAsia="en-IN"/>
              </w:rPr>
              <w:t>77.38</w:t>
            </w:r>
          </w:p>
        </w:tc>
      </w:tr>
    </w:tbl>
    <w:p w14:paraId="728F0D19" w14:textId="77777777" w:rsidR="00D479EB" w:rsidRPr="000D522A" w:rsidRDefault="00D479EB" w:rsidP="0008176D">
      <w:pPr>
        <w:pStyle w:val="ListParagraph"/>
        <w:spacing w:after="0" w:line="360" w:lineRule="auto"/>
        <w:ind w:right="-23"/>
        <w:jc w:val="both"/>
        <w:rPr>
          <w:rFonts w:ascii="Arial" w:hAnsi="Arial" w:cs="Arial"/>
          <w:sz w:val="22"/>
          <w:szCs w:val="22"/>
          <w:lang w:val="en-IN"/>
        </w:rPr>
      </w:pPr>
    </w:p>
    <w:p w14:paraId="6317F186" w14:textId="77777777" w:rsidR="00E71396" w:rsidRPr="00E71396" w:rsidRDefault="00E71396" w:rsidP="0008176D">
      <w:pPr>
        <w:pStyle w:val="ListParagraph"/>
        <w:numPr>
          <w:ilvl w:val="0"/>
          <w:numId w:val="24"/>
        </w:numPr>
        <w:spacing w:line="360" w:lineRule="auto"/>
        <w:ind w:right="-23" w:hanging="436"/>
        <w:jc w:val="both"/>
      </w:pPr>
      <w:r>
        <w:rPr>
          <w:rFonts w:ascii="Arial" w:hAnsi="Arial" w:cs="Arial"/>
          <w:b/>
          <w:bCs/>
          <w:sz w:val="22"/>
          <w:szCs w:val="22"/>
          <w:lang w:val="en-IN"/>
        </w:rPr>
        <w:t>INFRASTRUCTURE O&amp;M COST</w:t>
      </w:r>
      <w:r w:rsidR="00A90C13" w:rsidRPr="00F11098">
        <w:rPr>
          <w:rFonts w:ascii="Arial" w:hAnsi="Arial" w:cs="Arial"/>
          <w:b/>
          <w:bCs/>
          <w:sz w:val="22"/>
          <w:szCs w:val="22"/>
        </w:rPr>
        <w:t xml:space="preserve">: </w:t>
      </w:r>
    </w:p>
    <w:p w14:paraId="0BF3FA35" w14:textId="29D275AF" w:rsidR="00111C9A" w:rsidRPr="00111C9A" w:rsidRDefault="00D4324D" w:rsidP="00B07001">
      <w:pPr>
        <w:pStyle w:val="ListParagraph"/>
        <w:numPr>
          <w:ilvl w:val="0"/>
          <w:numId w:val="27"/>
        </w:numPr>
        <w:spacing w:line="360" w:lineRule="auto"/>
        <w:ind w:left="993" w:hanging="284"/>
        <w:jc w:val="both"/>
        <w:rPr>
          <w:rFonts w:ascii="Arial" w:hAnsi="Arial" w:cs="Arial"/>
          <w:bCs/>
          <w:sz w:val="22"/>
          <w:szCs w:val="22"/>
        </w:rPr>
      </w:pPr>
      <w:r w:rsidRPr="00111C9A">
        <w:rPr>
          <w:rFonts w:ascii="Arial" w:hAnsi="Arial" w:cs="Arial"/>
          <w:b/>
          <w:bCs/>
          <w:sz w:val="22"/>
          <w:szCs w:val="22"/>
        </w:rPr>
        <w:t>Site Rentals</w:t>
      </w:r>
      <w:r w:rsidR="00204AD9" w:rsidRPr="00111C9A">
        <w:rPr>
          <w:rFonts w:ascii="Arial" w:hAnsi="Arial" w:cs="Arial"/>
          <w:b/>
          <w:bCs/>
          <w:sz w:val="22"/>
          <w:szCs w:val="22"/>
        </w:rPr>
        <w:t>:</w:t>
      </w:r>
      <w:r w:rsidRPr="00111C9A">
        <w:rPr>
          <w:rFonts w:ascii="Arial" w:hAnsi="Arial" w:cs="Arial"/>
          <w:b/>
          <w:bCs/>
          <w:sz w:val="22"/>
          <w:szCs w:val="22"/>
        </w:rPr>
        <w:t xml:space="preserve"> </w:t>
      </w:r>
      <w:r w:rsidR="00111C9A" w:rsidRPr="00111C9A">
        <w:rPr>
          <w:rFonts w:ascii="Arial" w:hAnsi="Arial" w:cs="Arial"/>
          <w:sz w:val="22"/>
          <w:szCs w:val="22"/>
        </w:rPr>
        <w:t xml:space="preserve">Site rentals are </w:t>
      </w:r>
      <w:r w:rsidR="00111C9A" w:rsidRPr="00111C9A">
        <w:rPr>
          <w:rFonts w:ascii="Arial" w:hAnsi="Arial" w:cs="Arial"/>
          <w:b/>
          <w:bCs/>
          <w:sz w:val="22"/>
          <w:szCs w:val="22"/>
        </w:rPr>
        <w:t>pass-through in nature</w:t>
      </w:r>
      <w:r w:rsidR="00111C9A" w:rsidRPr="00111C9A">
        <w:rPr>
          <w:rFonts w:ascii="Arial" w:hAnsi="Arial" w:cs="Arial"/>
          <w:sz w:val="22"/>
          <w:szCs w:val="22"/>
        </w:rPr>
        <w:t>, meaning any changes in rental costs do not have a significant impact on EBITDA. Since</w:t>
      </w:r>
      <w:r w:rsidR="00111C9A">
        <w:rPr>
          <w:rFonts w:ascii="Arial" w:hAnsi="Arial" w:cs="Arial"/>
          <w:sz w:val="22"/>
          <w:szCs w:val="22"/>
        </w:rPr>
        <w:t>,</w:t>
      </w:r>
      <w:r w:rsidR="00111C9A" w:rsidRPr="00111C9A">
        <w:rPr>
          <w:rFonts w:ascii="Arial" w:hAnsi="Arial" w:cs="Arial"/>
          <w:sz w:val="22"/>
          <w:szCs w:val="22"/>
        </w:rPr>
        <w:t xml:space="preserve"> these costs are typically recovered from tenants, fluctuations in site rentals do not materially affect the company's profitability. Therefore, for consistency and financial predictability, site rental expenses are assumed to remain unchanged throughout the projected period.</w:t>
      </w:r>
    </w:p>
    <w:p w14:paraId="36ACEFC2" w14:textId="396FAAB0" w:rsidR="00D4324D" w:rsidRPr="00111C9A" w:rsidRDefault="00D4324D" w:rsidP="00B07001">
      <w:pPr>
        <w:pStyle w:val="ListParagraph"/>
        <w:numPr>
          <w:ilvl w:val="0"/>
          <w:numId w:val="27"/>
        </w:numPr>
        <w:spacing w:line="360" w:lineRule="auto"/>
        <w:ind w:left="993" w:hanging="284"/>
        <w:jc w:val="both"/>
        <w:rPr>
          <w:rFonts w:ascii="Arial" w:hAnsi="Arial" w:cs="Arial"/>
          <w:bCs/>
          <w:sz w:val="22"/>
          <w:szCs w:val="22"/>
        </w:rPr>
      </w:pPr>
      <w:r w:rsidRPr="00111C9A">
        <w:rPr>
          <w:rFonts w:ascii="Arial" w:hAnsi="Arial" w:cs="Arial"/>
          <w:b/>
          <w:bCs/>
          <w:sz w:val="22"/>
          <w:szCs w:val="22"/>
        </w:rPr>
        <w:t xml:space="preserve">O&amp;M Cost: </w:t>
      </w:r>
      <w:r w:rsidRPr="00111C9A">
        <w:rPr>
          <w:rFonts w:ascii="Arial" w:hAnsi="Arial" w:cs="Arial"/>
          <w:sz w:val="22"/>
          <w:szCs w:val="22"/>
        </w:rPr>
        <w:t>The annual escalation rate for the projected years’ O&amp;M Cost is considered as 5.00% in accordance with the O&amp;M agreements.</w:t>
      </w:r>
    </w:p>
    <w:p w14:paraId="52F5810D" w14:textId="0D77A78F" w:rsidR="00E71396" w:rsidRPr="00D4324D" w:rsidRDefault="00E71396" w:rsidP="00B07001">
      <w:pPr>
        <w:pStyle w:val="ListParagraph"/>
        <w:numPr>
          <w:ilvl w:val="0"/>
          <w:numId w:val="27"/>
        </w:numPr>
        <w:spacing w:line="360" w:lineRule="auto"/>
        <w:ind w:left="993" w:hanging="284"/>
        <w:jc w:val="both"/>
        <w:rPr>
          <w:rFonts w:ascii="Arial" w:hAnsi="Arial" w:cs="Arial"/>
          <w:b/>
          <w:sz w:val="22"/>
          <w:szCs w:val="22"/>
        </w:rPr>
      </w:pPr>
      <w:r w:rsidRPr="00D4324D">
        <w:rPr>
          <w:rFonts w:ascii="Arial" w:hAnsi="Arial" w:cs="Arial"/>
          <w:b/>
          <w:sz w:val="22"/>
          <w:szCs w:val="22"/>
        </w:rPr>
        <w:t>Repa</w:t>
      </w:r>
      <w:r w:rsidR="00D4324D" w:rsidRPr="00D4324D">
        <w:rPr>
          <w:rFonts w:ascii="Arial" w:hAnsi="Arial" w:cs="Arial"/>
          <w:b/>
          <w:sz w:val="22"/>
          <w:szCs w:val="22"/>
        </w:rPr>
        <w:t xml:space="preserve">irs and Maintenance to Plant &amp; Equipment: </w:t>
      </w:r>
      <w:r w:rsidR="00D4324D" w:rsidRPr="00D4324D">
        <w:rPr>
          <w:rFonts w:ascii="Arial" w:hAnsi="Arial" w:cs="Arial"/>
          <w:bCs/>
          <w:sz w:val="22"/>
          <w:szCs w:val="22"/>
          <w:lang w:val="en-IN"/>
        </w:rPr>
        <w:t>As per the information provided by the client/company, repair &amp; maintenance to plant &amp; equipment are estimated based on previous years’ expenses with an annual expected inflation of 3%.</w:t>
      </w:r>
    </w:p>
    <w:p w14:paraId="08265DF7" w14:textId="7E8C65DB" w:rsidR="00D4324D" w:rsidRPr="00D4324D" w:rsidRDefault="00D4324D" w:rsidP="00B07001">
      <w:pPr>
        <w:pStyle w:val="ListParagraph"/>
        <w:numPr>
          <w:ilvl w:val="0"/>
          <w:numId w:val="27"/>
        </w:numPr>
        <w:spacing w:line="360" w:lineRule="auto"/>
        <w:ind w:left="993" w:hanging="284"/>
        <w:jc w:val="both"/>
        <w:rPr>
          <w:rFonts w:ascii="Arial" w:hAnsi="Arial" w:cs="Arial"/>
          <w:b/>
          <w:sz w:val="22"/>
          <w:szCs w:val="22"/>
        </w:rPr>
      </w:pPr>
      <w:r w:rsidRPr="00D4324D">
        <w:rPr>
          <w:rFonts w:ascii="Arial" w:hAnsi="Arial" w:cs="Arial"/>
          <w:b/>
          <w:sz w:val="22"/>
          <w:szCs w:val="22"/>
        </w:rPr>
        <w:t xml:space="preserve">Stores &amp; Spares: </w:t>
      </w:r>
      <w:r w:rsidRPr="00D4324D">
        <w:rPr>
          <w:rFonts w:ascii="Arial" w:hAnsi="Arial" w:cs="Arial"/>
          <w:bCs/>
          <w:sz w:val="22"/>
          <w:szCs w:val="22"/>
          <w:lang w:val="en-IN"/>
        </w:rPr>
        <w:t>As per the information provided by the client/company, cost of stores &amp; spares is estimated based on previous years’ expenses with an annual expected inflation of 3%.</w:t>
      </w:r>
    </w:p>
    <w:p w14:paraId="65F2BA0E" w14:textId="2A7177A5" w:rsidR="00D4324D" w:rsidRPr="00D4324D" w:rsidRDefault="00D4324D" w:rsidP="00B07001">
      <w:pPr>
        <w:pStyle w:val="ListParagraph"/>
        <w:numPr>
          <w:ilvl w:val="0"/>
          <w:numId w:val="27"/>
        </w:numPr>
        <w:spacing w:line="360" w:lineRule="auto"/>
        <w:ind w:left="993" w:hanging="284"/>
        <w:jc w:val="both"/>
        <w:rPr>
          <w:rFonts w:ascii="Arial" w:hAnsi="Arial" w:cs="Arial"/>
          <w:b/>
          <w:sz w:val="22"/>
          <w:szCs w:val="22"/>
          <w:lang w:val="en-IN"/>
        </w:rPr>
      </w:pPr>
      <w:r w:rsidRPr="00D4324D">
        <w:rPr>
          <w:rFonts w:ascii="Arial" w:hAnsi="Arial" w:cs="Arial"/>
          <w:b/>
          <w:sz w:val="22"/>
          <w:szCs w:val="22"/>
        </w:rPr>
        <w:t xml:space="preserve">Other Operating Expenditure: </w:t>
      </w:r>
      <w:r w:rsidRPr="00D4324D">
        <w:rPr>
          <w:rFonts w:ascii="Arial" w:hAnsi="Arial" w:cs="Arial"/>
          <w:bCs/>
          <w:sz w:val="22"/>
          <w:szCs w:val="22"/>
          <w:lang w:val="en-IN"/>
        </w:rPr>
        <w:t>As per the information provided by the client/company, other operating expenses are estimated based on previous years’ expenses with an annual expected inflation of 3%.</w:t>
      </w:r>
      <w:r w:rsidRPr="00D4324D">
        <w:rPr>
          <w:rFonts w:ascii="Arial" w:hAnsi="Arial" w:cs="Arial"/>
          <w:b/>
          <w:sz w:val="22"/>
          <w:szCs w:val="22"/>
          <w:lang w:val="en-IN"/>
        </w:rPr>
        <w:t xml:space="preserve"> </w:t>
      </w:r>
    </w:p>
    <w:p w14:paraId="5DB0B978" w14:textId="75D5DEF4" w:rsidR="00E71396" w:rsidRPr="00E71396" w:rsidRDefault="00E71396" w:rsidP="00B07001">
      <w:pPr>
        <w:pStyle w:val="ListParagraph"/>
        <w:numPr>
          <w:ilvl w:val="0"/>
          <w:numId w:val="24"/>
        </w:numPr>
        <w:spacing w:before="240" w:line="360" w:lineRule="auto"/>
        <w:ind w:right="-23" w:hanging="436"/>
        <w:jc w:val="both"/>
        <w:rPr>
          <w:rFonts w:ascii="Arial" w:hAnsi="Arial" w:cs="Arial"/>
          <w:b/>
          <w:sz w:val="22"/>
          <w:szCs w:val="22"/>
        </w:rPr>
      </w:pPr>
      <w:r w:rsidRPr="00E71396">
        <w:rPr>
          <w:rFonts w:ascii="Arial" w:hAnsi="Arial" w:cs="Arial"/>
          <w:b/>
          <w:sz w:val="22"/>
          <w:szCs w:val="22"/>
        </w:rPr>
        <w:t>OTHER EXPENSES:</w:t>
      </w:r>
    </w:p>
    <w:p w14:paraId="433DC5DC" w14:textId="7110E2A1" w:rsidR="001623F5" w:rsidRPr="003E0015" w:rsidRDefault="00204AD9" w:rsidP="00B07001">
      <w:pPr>
        <w:pStyle w:val="ListParagraph"/>
        <w:numPr>
          <w:ilvl w:val="0"/>
          <w:numId w:val="27"/>
        </w:numPr>
        <w:spacing w:line="360" w:lineRule="auto"/>
        <w:ind w:left="993" w:hanging="284"/>
        <w:jc w:val="both"/>
        <w:rPr>
          <w:rFonts w:ascii="Arial" w:hAnsi="Arial" w:cs="Arial"/>
          <w:bCs/>
          <w:sz w:val="22"/>
          <w:szCs w:val="22"/>
        </w:rPr>
      </w:pPr>
      <w:r w:rsidRPr="003E0015">
        <w:rPr>
          <w:rFonts w:ascii="Arial" w:hAnsi="Arial" w:cs="Arial"/>
          <w:b/>
          <w:bCs/>
          <w:sz w:val="22"/>
          <w:szCs w:val="22"/>
        </w:rPr>
        <w:t>Employee Benefit Expense</w:t>
      </w:r>
      <w:r w:rsidRPr="00111C9A">
        <w:rPr>
          <w:rFonts w:ascii="Arial" w:hAnsi="Arial" w:cs="Arial"/>
          <w:b/>
          <w:bCs/>
          <w:sz w:val="22"/>
          <w:szCs w:val="22"/>
        </w:rPr>
        <w:t>s:</w:t>
      </w:r>
      <w:r w:rsidRPr="003E0015">
        <w:rPr>
          <w:rFonts w:ascii="Arial" w:hAnsi="Arial" w:cs="Arial"/>
          <w:sz w:val="22"/>
          <w:szCs w:val="22"/>
        </w:rPr>
        <w:t xml:space="preserve"> E</w:t>
      </w:r>
      <w:r w:rsidRPr="003E0015">
        <w:rPr>
          <w:rFonts w:ascii="Arial" w:hAnsi="Arial" w:cs="Arial"/>
          <w:bCs/>
          <w:sz w:val="22"/>
          <w:szCs w:val="22"/>
        </w:rPr>
        <w:t xml:space="preserve">mployee benefit expenses are estimated based on previous years’ expenses with an annual expected </w:t>
      </w:r>
      <w:r w:rsidR="004A7122" w:rsidRPr="003E0015">
        <w:rPr>
          <w:rFonts w:ascii="Arial" w:hAnsi="Arial" w:cs="Arial"/>
          <w:bCs/>
          <w:sz w:val="22"/>
          <w:szCs w:val="22"/>
        </w:rPr>
        <w:t>growth rate of 5% is estimated for the projections</w:t>
      </w:r>
      <w:r w:rsidRPr="003E0015">
        <w:rPr>
          <w:rFonts w:ascii="Arial" w:hAnsi="Arial" w:cs="Arial"/>
          <w:bCs/>
          <w:sz w:val="22"/>
          <w:szCs w:val="22"/>
        </w:rPr>
        <w:t>.</w:t>
      </w:r>
    </w:p>
    <w:p w14:paraId="33121BCA" w14:textId="6ACF3441" w:rsidR="009C718D" w:rsidRPr="009C718D" w:rsidRDefault="009C718D" w:rsidP="00B07001">
      <w:pPr>
        <w:pStyle w:val="ListParagraph"/>
        <w:numPr>
          <w:ilvl w:val="0"/>
          <w:numId w:val="27"/>
        </w:numPr>
        <w:spacing w:line="360" w:lineRule="auto"/>
        <w:ind w:left="993" w:hanging="284"/>
        <w:jc w:val="both"/>
        <w:rPr>
          <w:rFonts w:ascii="Arial" w:hAnsi="Arial" w:cs="Arial"/>
          <w:bCs/>
          <w:sz w:val="22"/>
          <w:szCs w:val="22"/>
        </w:rPr>
      </w:pPr>
      <w:r w:rsidRPr="009C718D">
        <w:rPr>
          <w:rFonts w:ascii="Arial" w:hAnsi="Arial" w:cs="Arial"/>
          <w:b/>
          <w:bCs/>
          <w:sz w:val="22"/>
          <w:szCs w:val="22"/>
        </w:rPr>
        <w:t>Bad Debts &amp; Provision</w:t>
      </w:r>
      <w:r w:rsidRPr="00111C9A">
        <w:rPr>
          <w:rFonts w:ascii="Arial" w:hAnsi="Arial" w:cs="Arial"/>
          <w:b/>
          <w:bCs/>
          <w:sz w:val="22"/>
          <w:szCs w:val="22"/>
        </w:rPr>
        <w:t>s:</w:t>
      </w:r>
      <w:r w:rsidRPr="009C718D">
        <w:rPr>
          <w:rFonts w:ascii="Arial" w:hAnsi="Arial" w:cs="Arial"/>
          <w:bCs/>
          <w:sz w:val="22"/>
          <w:szCs w:val="22"/>
        </w:rPr>
        <w:t xml:space="preserve"> Bad Debts &amp; Provisions are estimated based on past years' trends and are projected at </w:t>
      </w:r>
      <w:r w:rsidRPr="009C718D">
        <w:rPr>
          <w:rFonts w:ascii="Arial" w:hAnsi="Arial" w:cs="Arial"/>
          <w:sz w:val="22"/>
          <w:szCs w:val="22"/>
        </w:rPr>
        <w:t>2.86% of Total Revenue</w:t>
      </w:r>
      <w:r w:rsidRPr="009C718D">
        <w:rPr>
          <w:rFonts w:ascii="Arial" w:hAnsi="Arial" w:cs="Arial"/>
          <w:bCs/>
          <w:sz w:val="22"/>
          <w:szCs w:val="22"/>
        </w:rPr>
        <w:t xml:space="preserve"> except other income for the forecasted period.</w:t>
      </w:r>
    </w:p>
    <w:p w14:paraId="1B3ADD9B" w14:textId="2476E2CF" w:rsidR="00D4324D" w:rsidRPr="00D4324D" w:rsidRDefault="00204AD9" w:rsidP="00B07001">
      <w:pPr>
        <w:pStyle w:val="ListParagraph"/>
        <w:numPr>
          <w:ilvl w:val="0"/>
          <w:numId w:val="27"/>
        </w:numPr>
        <w:spacing w:line="360" w:lineRule="auto"/>
        <w:ind w:left="993" w:hanging="284"/>
        <w:jc w:val="both"/>
        <w:rPr>
          <w:rFonts w:ascii="Arial" w:hAnsi="Arial" w:cs="Arial"/>
          <w:bCs/>
          <w:sz w:val="22"/>
          <w:szCs w:val="22"/>
        </w:rPr>
      </w:pPr>
      <w:r w:rsidRPr="001623F5">
        <w:rPr>
          <w:rFonts w:ascii="Arial" w:hAnsi="Arial" w:cs="Arial"/>
          <w:b/>
          <w:bCs/>
          <w:sz w:val="22"/>
          <w:szCs w:val="22"/>
        </w:rPr>
        <w:t>Other Expenses</w:t>
      </w:r>
      <w:r w:rsidRPr="00111C9A">
        <w:rPr>
          <w:rFonts w:ascii="Arial" w:hAnsi="Arial" w:cs="Arial"/>
          <w:b/>
          <w:sz w:val="22"/>
          <w:szCs w:val="22"/>
        </w:rPr>
        <w:t>:</w:t>
      </w:r>
      <w:r w:rsidRPr="001623F5">
        <w:rPr>
          <w:rFonts w:ascii="Arial" w:hAnsi="Arial" w:cs="Arial"/>
          <w:bCs/>
          <w:sz w:val="22"/>
          <w:szCs w:val="22"/>
        </w:rPr>
        <w:t xml:space="preserve"> </w:t>
      </w:r>
      <w:r w:rsidR="001623F5" w:rsidRPr="001623F5">
        <w:rPr>
          <w:rFonts w:ascii="Arial" w:hAnsi="Arial" w:cs="Arial"/>
          <w:bCs/>
          <w:sz w:val="22"/>
          <w:szCs w:val="22"/>
        </w:rPr>
        <w:t xml:space="preserve">Other expenses are estimated based on past years' trends and are projected at </w:t>
      </w:r>
      <w:r w:rsidR="001623F5" w:rsidRPr="001623F5">
        <w:rPr>
          <w:rFonts w:ascii="Arial" w:hAnsi="Arial" w:cs="Arial"/>
          <w:b/>
          <w:bCs/>
          <w:sz w:val="22"/>
          <w:szCs w:val="22"/>
        </w:rPr>
        <w:t>10.38% of Operating Revenue</w:t>
      </w:r>
      <w:r w:rsidR="001623F5" w:rsidRPr="001623F5">
        <w:rPr>
          <w:rFonts w:ascii="Arial" w:hAnsi="Arial" w:cs="Arial"/>
          <w:bCs/>
          <w:sz w:val="22"/>
          <w:szCs w:val="22"/>
        </w:rPr>
        <w:t xml:space="preserve"> for the forecasted period</w:t>
      </w:r>
      <w:r w:rsidR="001623F5" w:rsidRPr="00D4324D">
        <w:rPr>
          <w:rFonts w:ascii="Arial" w:hAnsi="Arial" w:cs="Arial"/>
          <w:bCs/>
          <w:sz w:val="22"/>
          <w:szCs w:val="22"/>
        </w:rPr>
        <w:t>.</w:t>
      </w:r>
      <w:r w:rsidR="00D4324D" w:rsidRPr="00D4324D">
        <w:rPr>
          <w:rFonts w:ascii="Arial" w:hAnsi="Arial" w:cs="Arial"/>
          <w:bCs/>
          <w:sz w:val="22"/>
          <w:szCs w:val="22"/>
        </w:rPr>
        <w:t xml:space="preserve"> </w:t>
      </w:r>
      <w:r w:rsidR="00D4324D" w:rsidRPr="00D4324D">
        <w:rPr>
          <w:rFonts w:ascii="Arial" w:hAnsi="Arial" w:cs="Arial"/>
          <w:bCs/>
          <w:i/>
          <w:sz w:val="20"/>
          <w:szCs w:val="22"/>
        </w:rPr>
        <w:t>(For other</w:t>
      </w:r>
      <w:r w:rsidR="00D4324D" w:rsidRPr="00D4324D">
        <w:rPr>
          <w:rFonts w:ascii="Arial" w:hAnsi="Arial" w:cs="Arial"/>
          <w:i/>
          <w:sz w:val="20"/>
          <w:szCs w:val="22"/>
        </w:rPr>
        <w:t xml:space="preserve"> expenses percentage with respect to operating revenue, we have excluded extraordinary expenses incurred during a particular year to find a more accurate estimation of the forecasted numbers.</w:t>
      </w:r>
      <w:r w:rsidR="00D4324D">
        <w:rPr>
          <w:rFonts w:ascii="Arial" w:hAnsi="Arial" w:cs="Arial"/>
          <w:i/>
          <w:sz w:val="20"/>
          <w:szCs w:val="22"/>
        </w:rPr>
        <w:t>)</w:t>
      </w:r>
    </w:p>
    <w:p w14:paraId="5652864C" w14:textId="33DC732C" w:rsidR="006748F8" w:rsidRPr="001623F5" w:rsidRDefault="006748F8" w:rsidP="00B07001">
      <w:pPr>
        <w:pStyle w:val="ListParagraph"/>
        <w:numPr>
          <w:ilvl w:val="0"/>
          <w:numId w:val="24"/>
        </w:numPr>
        <w:spacing w:before="240" w:line="360" w:lineRule="auto"/>
        <w:ind w:right="-23" w:hanging="436"/>
        <w:jc w:val="both"/>
        <w:rPr>
          <w:rFonts w:ascii="Arial" w:hAnsi="Arial" w:cs="Arial"/>
          <w:bCs/>
          <w:sz w:val="22"/>
          <w:szCs w:val="22"/>
        </w:rPr>
      </w:pPr>
      <w:r w:rsidRPr="001623F5">
        <w:rPr>
          <w:rFonts w:ascii="Arial" w:hAnsi="Arial" w:cs="Arial"/>
          <w:b/>
          <w:bCs/>
          <w:sz w:val="22"/>
          <w:szCs w:val="22"/>
        </w:rPr>
        <w:t>TAXATION:</w:t>
      </w:r>
      <w:r w:rsidRPr="001623F5">
        <w:rPr>
          <w:rFonts w:ascii="Arial" w:hAnsi="Arial" w:cs="Arial"/>
          <w:sz w:val="22"/>
          <w:szCs w:val="22"/>
        </w:rPr>
        <w:t xml:space="preserve"> As per the information shared by company/client,</w:t>
      </w:r>
      <w:r w:rsidRPr="001623F5">
        <w:rPr>
          <w:rFonts w:ascii="Arial" w:hAnsi="Arial" w:cs="Arial"/>
          <w:b/>
          <w:bCs/>
          <w:sz w:val="22"/>
          <w:szCs w:val="22"/>
        </w:rPr>
        <w:t xml:space="preserve"> </w:t>
      </w:r>
      <w:r w:rsidRPr="001623F5">
        <w:rPr>
          <w:rFonts w:ascii="Arial" w:hAnsi="Arial" w:cs="Arial"/>
          <w:sz w:val="22"/>
          <w:szCs w:val="22"/>
        </w:rPr>
        <w:t xml:space="preserve">corporate tax rate is </w:t>
      </w:r>
      <w:r w:rsidR="008F05EA" w:rsidRPr="001623F5">
        <w:rPr>
          <w:rFonts w:ascii="Arial" w:hAnsi="Arial" w:cs="Arial"/>
          <w:sz w:val="22"/>
          <w:szCs w:val="22"/>
        </w:rPr>
        <w:t>34.94</w:t>
      </w:r>
      <w:r w:rsidRPr="001623F5">
        <w:rPr>
          <w:rFonts w:ascii="Arial" w:hAnsi="Arial" w:cs="Arial"/>
          <w:sz w:val="22"/>
          <w:szCs w:val="22"/>
        </w:rPr>
        <w:t>%.</w:t>
      </w:r>
    </w:p>
    <w:p w14:paraId="36F6F843" w14:textId="40B8F59D" w:rsidR="006748F8" w:rsidRPr="00351831" w:rsidRDefault="006839F1" w:rsidP="00B07001">
      <w:pPr>
        <w:pStyle w:val="ListParagraph"/>
        <w:numPr>
          <w:ilvl w:val="0"/>
          <w:numId w:val="24"/>
        </w:numPr>
        <w:spacing w:before="240" w:line="360" w:lineRule="auto"/>
        <w:ind w:right="-23" w:hanging="436"/>
        <w:jc w:val="both"/>
        <w:rPr>
          <w:rFonts w:ascii="Arial" w:hAnsi="Arial" w:cs="Arial"/>
          <w:b/>
          <w:bCs/>
          <w:sz w:val="22"/>
          <w:szCs w:val="22"/>
        </w:rPr>
      </w:pPr>
      <w:r>
        <w:rPr>
          <w:rFonts w:ascii="Arial" w:hAnsi="Arial" w:cs="Arial"/>
          <w:b/>
          <w:bCs/>
          <w:sz w:val="22"/>
          <w:szCs w:val="22"/>
        </w:rPr>
        <w:t xml:space="preserve">DEPRECIATION AND </w:t>
      </w:r>
      <w:r w:rsidR="006748F8">
        <w:rPr>
          <w:rFonts w:ascii="Arial" w:hAnsi="Arial" w:cs="Arial"/>
          <w:b/>
          <w:bCs/>
          <w:sz w:val="22"/>
          <w:szCs w:val="22"/>
        </w:rPr>
        <w:t xml:space="preserve">AMORTIZATION: </w:t>
      </w:r>
      <w:r w:rsidR="004A7122" w:rsidRPr="004A056B">
        <w:rPr>
          <w:rFonts w:ascii="Arial" w:hAnsi="Arial" w:cs="Arial"/>
          <w:sz w:val="22"/>
          <w:szCs w:val="22"/>
          <w:lang w:val="en-IN"/>
        </w:rPr>
        <w:t xml:space="preserve">As per historical trend, we have considered </w:t>
      </w:r>
      <w:r w:rsidR="00784DF7" w:rsidRPr="004A056B">
        <w:rPr>
          <w:rFonts w:ascii="Arial" w:hAnsi="Arial" w:cs="Arial"/>
          <w:sz w:val="22"/>
          <w:szCs w:val="22"/>
          <w:lang w:val="en-IN"/>
        </w:rPr>
        <w:t>an</w:t>
      </w:r>
      <w:r w:rsidR="004A7122">
        <w:rPr>
          <w:rFonts w:ascii="Arial" w:hAnsi="Arial" w:cs="Arial"/>
          <w:sz w:val="22"/>
          <w:szCs w:val="22"/>
          <w:lang w:val="en-IN"/>
        </w:rPr>
        <w:t xml:space="preserve"> annual </w:t>
      </w:r>
      <w:r w:rsidR="004A7122" w:rsidRPr="004A056B">
        <w:rPr>
          <w:rFonts w:ascii="Arial" w:hAnsi="Arial" w:cs="Arial"/>
          <w:sz w:val="22"/>
          <w:szCs w:val="22"/>
          <w:lang w:val="en-IN"/>
        </w:rPr>
        <w:t xml:space="preserve">rate for depreciation as </w:t>
      </w:r>
      <w:r w:rsidR="008F05EA">
        <w:rPr>
          <w:rFonts w:ascii="Arial" w:hAnsi="Arial" w:cs="Arial"/>
          <w:sz w:val="22"/>
          <w:szCs w:val="22"/>
          <w:lang w:val="en-IN"/>
        </w:rPr>
        <w:t>9.31</w:t>
      </w:r>
      <w:r w:rsidR="004A7122" w:rsidRPr="004A056B">
        <w:rPr>
          <w:rFonts w:ascii="Arial" w:hAnsi="Arial" w:cs="Arial"/>
          <w:sz w:val="22"/>
          <w:szCs w:val="22"/>
          <w:lang w:val="en-IN"/>
        </w:rPr>
        <w:t>% with respect to total</w:t>
      </w:r>
      <w:r w:rsidR="004A7122">
        <w:rPr>
          <w:rFonts w:ascii="Arial" w:hAnsi="Arial" w:cs="Arial"/>
          <w:sz w:val="22"/>
          <w:szCs w:val="22"/>
          <w:lang w:val="en-IN"/>
        </w:rPr>
        <w:t xml:space="preserve"> depreciable</w:t>
      </w:r>
      <w:r w:rsidR="004A7122" w:rsidRPr="004A056B">
        <w:rPr>
          <w:rFonts w:ascii="Arial" w:hAnsi="Arial" w:cs="Arial"/>
          <w:sz w:val="22"/>
          <w:szCs w:val="22"/>
          <w:lang w:val="en-IN"/>
        </w:rPr>
        <w:t xml:space="preserve"> assets for those years, which seems to be reasonable to keep a mark-up for future market &amp; economic risks in the Project.</w:t>
      </w:r>
    </w:p>
    <w:p w14:paraId="15A2D188" w14:textId="7696391E" w:rsidR="00E71396" w:rsidRPr="00E71396" w:rsidRDefault="00351831" w:rsidP="00B07001">
      <w:pPr>
        <w:pStyle w:val="ListParagraph"/>
        <w:numPr>
          <w:ilvl w:val="0"/>
          <w:numId w:val="24"/>
        </w:numPr>
        <w:spacing w:before="240" w:line="360" w:lineRule="auto"/>
        <w:ind w:right="-23" w:hanging="436"/>
        <w:jc w:val="both"/>
        <w:rPr>
          <w:rFonts w:ascii="Arial" w:hAnsi="Arial" w:cs="Arial"/>
          <w:sz w:val="22"/>
          <w:szCs w:val="22"/>
          <w:lang w:val="en-IN"/>
        </w:rPr>
      </w:pPr>
      <w:r>
        <w:rPr>
          <w:rFonts w:ascii="Arial" w:hAnsi="Arial" w:cs="Arial"/>
          <w:b/>
          <w:bCs/>
          <w:sz w:val="22"/>
          <w:szCs w:val="22"/>
        </w:rPr>
        <w:t xml:space="preserve">CAPEX: </w:t>
      </w:r>
      <w:r w:rsidRPr="00351831">
        <w:rPr>
          <w:rFonts w:ascii="Arial" w:hAnsi="Arial" w:cs="Arial"/>
          <w:sz w:val="22"/>
          <w:szCs w:val="22"/>
        </w:rPr>
        <w:t>The projected Capital Expenditure (</w:t>
      </w:r>
      <w:proofErr w:type="spellStart"/>
      <w:r w:rsidRPr="00351831">
        <w:rPr>
          <w:rFonts w:ascii="Arial" w:hAnsi="Arial" w:cs="Arial"/>
          <w:sz w:val="22"/>
          <w:szCs w:val="22"/>
        </w:rPr>
        <w:t>CapEx</w:t>
      </w:r>
      <w:proofErr w:type="spellEnd"/>
      <w:r w:rsidRPr="00351831">
        <w:rPr>
          <w:rFonts w:ascii="Arial" w:hAnsi="Arial" w:cs="Arial"/>
          <w:sz w:val="22"/>
          <w:szCs w:val="22"/>
        </w:rPr>
        <w:t xml:space="preserve">) is </w:t>
      </w:r>
      <w:r>
        <w:rPr>
          <w:rFonts w:ascii="Arial" w:hAnsi="Arial" w:cs="Arial"/>
          <w:sz w:val="22"/>
          <w:szCs w:val="22"/>
        </w:rPr>
        <w:t xml:space="preserve">taken as </w:t>
      </w:r>
      <w:r w:rsidRPr="00351831">
        <w:rPr>
          <w:rFonts w:ascii="Arial" w:hAnsi="Arial" w:cs="Arial"/>
          <w:sz w:val="22"/>
          <w:szCs w:val="22"/>
        </w:rPr>
        <w:t xml:space="preserve">INR 60 crores for the first two years and INR 75 crores per year thereafter, based on discussions with the client/company. This allocation is essential for maintaining and expanding operational capacity. The budgeted </w:t>
      </w:r>
      <w:proofErr w:type="spellStart"/>
      <w:r w:rsidRPr="00351831">
        <w:rPr>
          <w:rFonts w:ascii="Arial" w:hAnsi="Arial" w:cs="Arial"/>
          <w:sz w:val="22"/>
          <w:szCs w:val="22"/>
        </w:rPr>
        <w:t>CapEx</w:t>
      </w:r>
      <w:proofErr w:type="spellEnd"/>
      <w:r w:rsidRPr="00351831">
        <w:rPr>
          <w:rFonts w:ascii="Arial" w:hAnsi="Arial" w:cs="Arial"/>
          <w:sz w:val="22"/>
          <w:szCs w:val="22"/>
        </w:rPr>
        <w:t xml:space="preserve"> primarily covers maintenance needs, including the replacement of battery banks and SMPS reaching the end of their lifecycle, new tenancy requirements to support capacity expansion with additional battery banks, SMPS, and B&amp;C category materials, and upgrading or installing new electricity connections to enhance infrastructure reliability.</w:t>
      </w:r>
    </w:p>
    <w:p w14:paraId="76213697" w14:textId="4A5CBC33" w:rsidR="00E71396" w:rsidRPr="00E71396" w:rsidRDefault="00E71396" w:rsidP="00B07001">
      <w:pPr>
        <w:pStyle w:val="ListParagraph"/>
        <w:numPr>
          <w:ilvl w:val="0"/>
          <w:numId w:val="24"/>
        </w:numPr>
        <w:spacing w:before="240" w:line="360" w:lineRule="auto"/>
        <w:ind w:right="-23" w:hanging="436"/>
        <w:jc w:val="both"/>
        <w:rPr>
          <w:rFonts w:ascii="Arial" w:hAnsi="Arial" w:cs="Arial"/>
          <w:sz w:val="22"/>
          <w:szCs w:val="22"/>
          <w:lang w:val="en-IN"/>
        </w:rPr>
      </w:pPr>
      <w:r w:rsidRPr="00E71396">
        <w:rPr>
          <w:rFonts w:ascii="Arial" w:hAnsi="Arial" w:cs="Arial"/>
          <w:b/>
          <w:bCs/>
          <w:sz w:val="22"/>
          <w:szCs w:val="22"/>
          <w:lang w:val="en-IN"/>
        </w:rPr>
        <w:t>CHANGE IN WORKING CAPITAL:</w:t>
      </w:r>
      <w:r w:rsidRPr="00E71396">
        <w:rPr>
          <w:rFonts w:ascii="Arial" w:hAnsi="Arial" w:cs="Arial"/>
          <w:sz w:val="22"/>
          <w:szCs w:val="22"/>
          <w:lang w:val="en-IN"/>
        </w:rPr>
        <w:t xml:space="preserve"> In the absence of relevant information to estimate the working capital, we have assumed that the working capital will remain constant during the forecasted period, hence the changes in working capital is considered as zero.</w:t>
      </w:r>
    </w:p>
    <w:p w14:paraId="254D0A4F" w14:textId="234DAE37" w:rsidR="009C718D" w:rsidRPr="009C718D" w:rsidRDefault="00351831" w:rsidP="00B07001">
      <w:pPr>
        <w:pStyle w:val="ListParagraph"/>
        <w:numPr>
          <w:ilvl w:val="0"/>
          <w:numId w:val="24"/>
        </w:numPr>
        <w:spacing w:before="240" w:line="360" w:lineRule="auto"/>
        <w:ind w:right="-23" w:hanging="436"/>
        <w:jc w:val="both"/>
        <w:rPr>
          <w:rFonts w:ascii="Arial" w:hAnsi="Arial" w:cs="Arial"/>
          <w:sz w:val="22"/>
          <w:szCs w:val="22"/>
        </w:rPr>
      </w:pPr>
      <w:r w:rsidRPr="009C718D">
        <w:rPr>
          <w:rFonts w:ascii="Arial" w:hAnsi="Arial" w:cs="Arial"/>
          <w:b/>
          <w:bCs/>
          <w:sz w:val="22"/>
          <w:szCs w:val="22"/>
        </w:rPr>
        <w:t xml:space="preserve">DISCOUNT RATE: </w:t>
      </w:r>
      <w:r w:rsidRPr="009C718D">
        <w:rPr>
          <w:rFonts w:ascii="Arial" w:hAnsi="Arial" w:cs="Arial"/>
          <w:sz w:val="22"/>
          <w:szCs w:val="22"/>
          <w:lang w:val="en-IN"/>
        </w:rPr>
        <w:t xml:space="preserve">Due to unavailability of comparable and sensitivity of company with respect to the market we cannot determine the cost of equity and debt easily, hence in this scenario we have considered the Nifty Fifty </w:t>
      </w:r>
      <w:r w:rsidR="009C718D" w:rsidRPr="009C718D">
        <w:rPr>
          <w:rFonts w:ascii="Arial" w:hAnsi="Arial" w:cs="Arial"/>
          <w:sz w:val="22"/>
          <w:szCs w:val="22"/>
          <w:lang w:val="en-IN"/>
        </w:rPr>
        <w:t>5-</w:t>
      </w:r>
      <w:r w:rsidRPr="009C718D">
        <w:rPr>
          <w:rFonts w:ascii="Arial" w:hAnsi="Arial" w:cs="Arial"/>
          <w:sz w:val="22"/>
          <w:szCs w:val="22"/>
          <w:lang w:val="en-IN"/>
        </w:rPr>
        <w:t xml:space="preserve">Year Return as a proxy for WACC (required rate of return for an unbiased investor), which is </w:t>
      </w:r>
      <w:r w:rsidR="009C718D" w:rsidRPr="009C718D">
        <w:rPr>
          <w:rFonts w:ascii="Arial" w:hAnsi="Arial" w:cs="Arial"/>
          <w:sz w:val="22"/>
          <w:szCs w:val="22"/>
          <w:lang w:val="en-IN"/>
        </w:rPr>
        <w:t>15.76</w:t>
      </w:r>
      <w:r w:rsidRPr="009C718D">
        <w:rPr>
          <w:rFonts w:ascii="Arial" w:hAnsi="Arial" w:cs="Arial"/>
          <w:sz w:val="22"/>
          <w:szCs w:val="22"/>
          <w:lang w:val="en-IN"/>
        </w:rPr>
        <w:t xml:space="preserve">%. </w:t>
      </w:r>
      <w:r w:rsidRPr="009C718D">
        <w:rPr>
          <w:rFonts w:ascii="Arial" w:hAnsi="Arial" w:cs="Arial"/>
          <w:i/>
          <w:iCs/>
          <w:sz w:val="22"/>
          <w:szCs w:val="22"/>
          <w:lang w:val="en-IN"/>
        </w:rPr>
        <w:t xml:space="preserve">(Ref: </w:t>
      </w:r>
      <w:hyperlink r:id="rId22" w:history="1">
        <w:r w:rsidR="009C718D" w:rsidRPr="009C718D">
          <w:rPr>
            <w:rStyle w:val="Hyperlink"/>
            <w:rFonts w:ascii="Arial" w:hAnsi="Arial" w:cs="Arial"/>
            <w:i/>
            <w:iCs/>
            <w:sz w:val="22"/>
            <w:szCs w:val="22"/>
            <w:lang w:val="en-IN"/>
          </w:rPr>
          <w:t>https://www.niftyindices.com/market-data/return-profile</w:t>
        </w:r>
      </w:hyperlink>
      <w:r w:rsidR="009C718D" w:rsidRPr="009C718D">
        <w:rPr>
          <w:rFonts w:ascii="Arial" w:hAnsi="Arial" w:cs="Arial"/>
          <w:i/>
          <w:iCs/>
          <w:sz w:val="22"/>
          <w:szCs w:val="22"/>
          <w:lang w:val="en-IN"/>
        </w:rPr>
        <w:t>).</w:t>
      </w:r>
    </w:p>
    <w:p w14:paraId="5023A13E" w14:textId="326D4717" w:rsidR="005B7B7A" w:rsidRPr="009C718D" w:rsidRDefault="005B7B7A" w:rsidP="00B07001">
      <w:pPr>
        <w:pStyle w:val="ListParagraph"/>
        <w:numPr>
          <w:ilvl w:val="0"/>
          <w:numId w:val="24"/>
        </w:numPr>
        <w:spacing w:before="240" w:line="360" w:lineRule="auto"/>
        <w:ind w:right="-23" w:hanging="436"/>
        <w:jc w:val="both"/>
        <w:rPr>
          <w:rFonts w:ascii="Arial" w:hAnsi="Arial" w:cs="Arial"/>
          <w:sz w:val="22"/>
          <w:szCs w:val="22"/>
        </w:rPr>
      </w:pPr>
      <w:r w:rsidRPr="009C718D">
        <w:rPr>
          <w:rFonts w:ascii="Arial" w:hAnsi="Arial" w:cs="Arial"/>
          <w:b/>
          <w:bCs/>
          <w:sz w:val="22"/>
          <w:szCs w:val="22"/>
        </w:rPr>
        <w:t xml:space="preserve">COMPANY RISK PREMIUM: </w:t>
      </w:r>
      <w:r w:rsidRPr="009C718D">
        <w:rPr>
          <w:rFonts w:ascii="Arial" w:hAnsi="Arial" w:cs="Arial"/>
          <w:sz w:val="22"/>
          <w:szCs w:val="22"/>
        </w:rPr>
        <w:t>As the company has been declared NPA</w:t>
      </w:r>
      <w:r w:rsidR="00A90C13" w:rsidRPr="009C718D">
        <w:rPr>
          <w:rFonts w:ascii="Arial" w:hAnsi="Arial" w:cs="Arial"/>
          <w:sz w:val="22"/>
          <w:szCs w:val="22"/>
        </w:rPr>
        <w:t>, which restricts the company (</w:t>
      </w:r>
      <w:r w:rsidR="008F05EA" w:rsidRPr="009C718D">
        <w:rPr>
          <w:rFonts w:ascii="Arial" w:hAnsi="Arial" w:cs="Arial"/>
          <w:sz w:val="22"/>
          <w:szCs w:val="22"/>
        </w:rPr>
        <w:t>GTL Infra</w:t>
      </w:r>
      <w:r w:rsidR="00A90C13" w:rsidRPr="009C718D">
        <w:rPr>
          <w:rFonts w:ascii="Arial" w:hAnsi="Arial" w:cs="Arial"/>
          <w:sz w:val="22"/>
          <w:szCs w:val="22"/>
        </w:rPr>
        <w:t>)</w:t>
      </w:r>
      <w:r w:rsidRPr="009C718D">
        <w:rPr>
          <w:rFonts w:ascii="Arial" w:hAnsi="Arial" w:cs="Arial"/>
          <w:sz w:val="22"/>
          <w:szCs w:val="22"/>
        </w:rPr>
        <w:t xml:space="preserve"> </w:t>
      </w:r>
      <w:r w:rsidR="00A90C13" w:rsidRPr="009C718D">
        <w:rPr>
          <w:rFonts w:ascii="Arial" w:hAnsi="Arial" w:cs="Arial"/>
          <w:sz w:val="22"/>
          <w:szCs w:val="22"/>
        </w:rPr>
        <w:t>to expand its operations as per the information shared by the company. The historical performance of the company is also under stress as per the audited historical financials</w:t>
      </w:r>
      <w:r w:rsidRPr="009C718D">
        <w:rPr>
          <w:rFonts w:ascii="Arial" w:hAnsi="Arial" w:cs="Arial"/>
          <w:sz w:val="22"/>
          <w:szCs w:val="22"/>
        </w:rPr>
        <w:t>, which makes this company a risk</w:t>
      </w:r>
      <w:r w:rsidR="005B69A9" w:rsidRPr="009C718D">
        <w:rPr>
          <w:rFonts w:ascii="Arial" w:hAnsi="Arial" w:cs="Arial"/>
          <w:sz w:val="22"/>
          <w:szCs w:val="22"/>
        </w:rPr>
        <w:t>y</w:t>
      </w:r>
      <w:r w:rsidRPr="009C718D">
        <w:rPr>
          <w:rFonts w:ascii="Arial" w:hAnsi="Arial" w:cs="Arial"/>
          <w:sz w:val="22"/>
          <w:szCs w:val="22"/>
        </w:rPr>
        <w:t xml:space="preserve"> prospect for any prospective investor. Due to these reasons, we have assumed a company-wide risk premium of </w:t>
      </w:r>
      <w:r w:rsidR="008F05EA" w:rsidRPr="009C718D">
        <w:rPr>
          <w:rFonts w:ascii="Arial" w:hAnsi="Arial" w:cs="Arial"/>
          <w:sz w:val="22"/>
          <w:szCs w:val="22"/>
        </w:rPr>
        <w:t>2</w:t>
      </w:r>
      <w:r w:rsidRPr="009C718D">
        <w:rPr>
          <w:rFonts w:ascii="Arial" w:hAnsi="Arial" w:cs="Arial"/>
          <w:sz w:val="22"/>
          <w:szCs w:val="22"/>
        </w:rPr>
        <w:t>%</w:t>
      </w:r>
      <w:r w:rsidR="00A90C13" w:rsidRPr="009C718D">
        <w:rPr>
          <w:rFonts w:ascii="Arial" w:hAnsi="Arial" w:cs="Arial"/>
          <w:sz w:val="22"/>
          <w:szCs w:val="22"/>
        </w:rPr>
        <w:t>, which covers all the associated expected risks.</w:t>
      </w:r>
    </w:p>
    <w:p w14:paraId="16FFA5B3" w14:textId="0CF7A031" w:rsidR="002E6330" w:rsidRPr="007427F1" w:rsidRDefault="002E6330" w:rsidP="00B07001">
      <w:pPr>
        <w:pStyle w:val="ListParagraph"/>
        <w:numPr>
          <w:ilvl w:val="0"/>
          <w:numId w:val="24"/>
        </w:numPr>
        <w:spacing w:before="240" w:line="360" w:lineRule="auto"/>
        <w:ind w:right="-23" w:hanging="436"/>
        <w:jc w:val="both"/>
        <w:rPr>
          <w:rFonts w:ascii="Arial" w:hAnsi="Arial" w:cs="Arial"/>
          <w:b/>
          <w:sz w:val="22"/>
          <w:szCs w:val="22"/>
        </w:rPr>
      </w:pPr>
      <w:r w:rsidRPr="007427F1">
        <w:rPr>
          <w:rFonts w:ascii="Arial" w:hAnsi="Arial" w:cs="Arial"/>
          <w:b/>
          <w:bCs/>
          <w:sz w:val="22"/>
          <w:szCs w:val="22"/>
        </w:rPr>
        <w:t>TERMINAL VALUE:</w:t>
      </w:r>
      <w:r w:rsidRPr="007427F1">
        <w:rPr>
          <w:rFonts w:ascii="Arial" w:hAnsi="Arial" w:cs="Arial"/>
          <w:b/>
          <w:sz w:val="22"/>
          <w:szCs w:val="22"/>
        </w:rPr>
        <w:t xml:space="preserve"> </w:t>
      </w:r>
      <w:r w:rsidR="00F63063" w:rsidRPr="007427F1">
        <w:rPr>
          <w:rFonts w:ascii="Arial" w:hAnsi="Arial" w:cs="Arial"/>
          <w:bCs/>
          <w:sz w:val="22"/>
          <w:szCs w:val="22"/>
        </w:rPr>
        <w:t xml:space="preserve">Terminal value (TV) is used to estimate the value of a project beyond the forecast period. It is the present value of the sum of all future cash flows to the project or company and assumes the </w:t>
      </w:r>
      <w:r w:rsidR="007427F1" w:rsidRPr="007427F1">
        <w:rPr>
          <w:rFonts w:ascii="Arial" w:hAnsi="Arial" w:cs="Arial"/>
          <w:bCs/>
          <w:sz w:val="22"/>
          <w:szCs w:val="22"/>
        </w:rPr>
        <w:t xml:space="preserve">free </w:t>
      </w:r>
      <w:r w:rsidR="00F63063" w:rsidRPr="007427F1">
        <w:rPr>
          <w:rFonts w:ascii="Arial" w:hAnsi="Arial" w:cs="Arial"/>
          <w:bCs/>
          <w:sz w:val="22"/>
          <w:szCs w:val="22"/>
        </w:rPr>
        <w:t xml:space="preserve">cash </w:t>
      </w:r>
      <w:r w:rsidR="007427F1" w:rsidRPr="007427F1">
        <w:rPr>
          <w:rFonts w:ascii="Arial" w:hAnsi="Arial" w:cs="Arial"/>
          <w:bCs/>
          <w:sz w:val="22"/>
          <w:szCs w:val="22"/>
        </w:rPr>
        <w:t xml:space="preserve">flow </w:t>
      </w:r>
      <w:r w:rsidR="00F63063" w:rsidRPr="007427F1">
        <w:rPr>
          <w:rFonts w:ascii="Arial" w:hAnsi="Arial" w:cs="Arial"/>
          <w:bCs/>
          <w:sz w:val="22"/>
          <w:szCs w:val="22"/>
        </w:rPr>
        <w:t xml:space="preserve">will grow at a constant rate of </w:t>
      </w:r>
      <w:r w:rsidR="008F05EA">
        <w:rPr>
          <w:rFonts w:ascii="Arial" w:hAnsi="Arial" w:cs="Arial"/>
          <w:bCs/>
          <w:sz w:val="22"/>
          <w:szCs w:val="22"/>
        </w:rPr>
        <w:t>1</w:t>
      </w:r>
      <w:r w:rsidR="00F63063" w:rsidRPr="007427F1">
        <w:rPr>
          <w:rFonts w:ascii="Arial" w:hAnsi="Arial" w:cs="Arial"/>
          <w:bCs/>
          <w:sz w:val="22"/>
          <w:szCs w:val="22"/>
        </w:rPr>
        <w:t>% in this case. The formula for calculating the terminal value is as follows:</w:t>
      </w:r>
    </w:p>
    <w:p w14:paraId="637273C7" w14:textId="05329695" w:rsidR="002E6330" w:rsidRPr="007427F1" w:rsidRDefault="002E6330" w:rsidP="007B6B6F">
      <w:pPr>
        <w:spacing w:line="360" w:lineRule="auto"/>
        <w:ind w:left="2694" w:right="-23"/>
        <w:rPr>
          <w:rFonts w:ascii="Arial" w:hAnsi="Arial" w:cs="Arial"/>
          <w:b/>
          <w:sz w:val="22"/>
          <w:szCs w:val="22"/>
        </w:rPr>
      </w:pPr>
      <w:r w:rsidRPr="007427F1">
        <w:rPr>
          <w:rFonts w:ascii="Arial" w:hAnsi="Arial" w:cs="Arial"/>
          <w:b/>
          <w:noProof/>
          <w:sz w:val="22"/>
          <w:szCs w:val="22"/>
          <w:lang w:val="en-IN" w:eastAsia="en-IN"/>
        </w:rPr>
        <w:drawing>
          <wp:inline distT="0" distB="0" distL="0" distR="0" wp14:anchorId="37079F1D" wp14:editId="6E2F829A">
            <wp:extent cx="2998470" cy="790575"/>
            <wp:effectExtent l="19050" t="19050" r="1143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BEBA8EAE-BF5A-486C-A8C5-ECC9F3942E4B}">
                          <a14:imgProps xmlns:a14="http://schemas.microsoft.com/office/drawing/2010/main">
                            <a14:imgLayer r:embed="rId24">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071113" cy="809728"/>
                    </a:xfrm>
                    <a:prstGeom prst="rect">
                      <a:avLst/>
                    </a:prstGeom>
                    <a:ln>
                      <a:solidFill>
                        <a:schemeClr val="tx1"/>
                      </a:solidFill>
                    </a:ln>
                  </pic:spPr>
                </pic:pic>
              </a:graphicData>
            </a:graphic>
          </wp:inline>
        </w:drawing>
      </w:r>
    </w:p>
    <w:p w14:paraId="00C775F3" w14:textId="35A9C37F" w:rsidR="009B4D02" w:rsidRPr="009B4D02" w:rsidRDefault="009B4D02" w:rsidP="009B4D02">
      <w:pPr>
        <w:spacing w:line="360" w:lineRule="auto"/>
        <w:ind w:left="709" w:right="-23"/>
        <w:jc w:val="both"/>
        <w:rPr>
          <w:rFonts w:ascii="Arial" w:hAnsi="Arial" w:cs="Arial"/>
          <w:bCs/>
          <w:sz w:val="22"/>
          <w:szCs w:val="22"/>
        </w:rPr>
      </w:pPr>
      <w:r w:rsidRPr="007427F1">
        <w:rPr>
          <w:rFonts w:ascii="Arial" w:hAnsi="Arial" w:cs="Arial"/>
          <w:bCs/>
          <w:sz w:val="22"/>
          <w:szCs w:val="22"/>
        </w:rPr>
        <w:t xml:space="preserve">To calculate the terminal value, we have used the financial data of the last projected year, i.e., FY </w:t>
      </w:r>
      <w:r w:rsidR="008F05EA">
        <w:rPr>
          <w:rFonts w:ascii="Arial" w:hAnsi="Arial" w:cs="Arial"/>
          <w:bCs/>
          <w:sz w:val="22"/>
          <w:szCs w:val="22"/>
        </w:rPr>
        <w:t>2031-32</w:t>
      </w:r>
      <w:r w:rsidRPr="007427F1">
        <w:rPr>
          <w:rFonts w:ascii="Arial" w:hAnsi="Arial" w:cs="Arial"/>
          <w:bCs/>
          <w:sz w:val="22"/>
          <w:szCs w:val="22"/>
        </w:rPr>
        <w:t xml:space="preserve"> and multiplied the </w:t>
      </w:r>
      <w:r w:rsidR="005B7B7A">
        <w:rPr>
          <w:rFonts w:ascii="Arial" w:hAnsi="Arial" w:cs="Arial"/>
          <w:bCs/>
          <w:sz w:val="22"/>
          <w:szCs w:val="22"/>
        </w:rPr>
        <w:t xml:space="preserve">FCFF </w:t>
      </w:r>
      <w:r w:rsidRPr="007427F1">
        <w:rPr>
          <w:rFonts w:ascii="Arial" w:hAnsi="Arial" w:cs="Arial"/>
          <w:bCs/>
          <w:sz w:val="22"/>
          <w:szCs w:val="22"/>
        </w:rPr>
        <w:t xml:space="preserve">of FY </w:t>
      </w:r>
      <w:r w:rsidR="008F05EA">
        <w:rPr>
          <w:rFonts w:ascii="Arial" w:hAnsi="Arial" w:cs="Arial"/>
          <w:bCs/>
          <w:sz w:val="22"/>
          <w:szCs w:val="22"/>
        </w:rPr>
        <w:t>2031-32</w:t>
      </w:r>
      <w:r w:rsidRPr="007427F1">
        <w:rPr>
          <w:rFonts w:ascii="Arial" w:hAnsi="Arial" w:cs="Arial"/>
          <w:bCs/>
          <w:sz w:val="22"/>
          <w:szCs w:val="22"/>
        </w:rPr>
        <w:t xml:space="preserve"> with (1 + Perpetual Growth Rate of </w:t>
      </w:r>
      <w:r w:rsidR="008F05EA">
        <w:rPr>
          <w:rFonts w:ascii="Arial" w:hAnsi="Arial" w:cs="Arial"/>
          <w:bCs/>
          <w:sz w:val="22"/>
          <w:szCs w:val="22"/>
        </w:rPr>
        <w:t>1</w:t>
      </w:r>
      <w:r w:rsidRPr="007427F1">
        <w:rPr>
          <w:rFonts w:ascii="Arial" w:hAnsi="Arial" w:cs="Arial"/>
          <w:bCs/>
          <w:sz w:val="22"/>
          <w:szCs w:val="22"/>
        </w:rPr>
        <w:t xml:space="preserve">%) and then divide </w:t>
      </w:r>
      <w:r w:rsidR="007427F1" w:rsidRPr="007427F1">
        <w:rPr>
          <w:rFonts w:ascii="Arial" w:hAnsi="Arial" w:cs="Arial"/>
          <w:bCs/>
          <w:sz w:val="22"/>
          <w:szCs w:val="22"/>
        </w:rPr>
        <w:t>the Free</w:t>
      </w:r>
      <w:r w:rsidRPr="007427F1">
        <w:rPr>
          <w:rFonts w:ascii="Arial" w:hAnsi="Arial" w:cs="Arial"/>
          <w:bCs/>
          <w:sz w:val="22"/>
          <w:szCs w:val="22"/>
        </w:rPr>
        <w:t xml:space="preserve"> Cash Flow of the </w:t>
      </w:r>
      <w:r w:rsidR="007427F1" w:rsidRPr="007427F1">
        <w:rPr>
          <w:rFonts w:ascii="Arial" w:hAnsi="Arial" w:cs="Arial"/>
          <w:bCs/>
          <w:sz w:val="22"/>
          <w:szCs w:val="22"/>
        </w:rPr>
        <w:t>terminal</w:t>
      </w:r>
      <w:r w:rsidRPr="007427F1">
        <w:rPr>
          <w:rFonts w:ascii="Arial" w:hAnsi="Arial" w:cs="Arial"/>
          <w:bCs/>
          <w:sz w:val="22"/>
          <w:szCs w:val="22"/>
        </w:rPr>
        <w:t xml:space="preserve"> period with the difference of required rate of return (WACC) and Perpetual Growth Rate</w:t>
      </w:r>
      <w:r w:rsidR="007427F1" w:rsidRPr="007427F1">
        <w:rPr>
          <w:rFonts w:ascii="Arial" w:hAnsi="Arial" w:cs="Arial"/>
          <w:bCs/>
          <w:sz w:val="22"/>
          <w:szCs w:val="22"/>
        </w:rPr>
        <w:t xml:space="preserve"> (g) i.e., (WACC - g)</w:t>
      </w:r>
      <w:r w:rsidRPr="007427F1">
        <w:rPr>
          <w:rFonts w:ascii="Arial" w:hAnsi="Arial" w:cs="Arial"/>
          <w:bCs/>
          <w:sz w:val="22"/>
          <w:szCs w:val="22"/>
        </w:rPr>
        <w:t>.</w:t>
      </w:r>
    </w:p>
    <w:p w14:paraId="08D5705C" w14:textId="0877ADBA" w:rsidR="00F20A7D" w:rsidRDefault="00F871C8" w:rsidP="004D0818">
      <w:pPr>
        <w:pStyle w:val="ListParagraph"/>
        <w:spacing w:before="240" w:after="0" w:line="360" w:lineRule="auto"/>
        <w:ind w:right="-23"/>
        <w:jc w:val="both"/>
        <w:rPr>
          <w:rFonts w:ascii="Arial" w:hAnsi="Arial" w:cs="Arial"/>
          <w:b/>
          <w:sz w:val="22"/>
          <w:szCs w:val="22"/>
        </w:rPr>
      </w:pPr>
      <w:r w:rsidRPr="008257C9">
        <w:rPr>
          <w:rFonts w:ascii="Arial" w:hAnsi="Arial" w:cs="Arial"/>
          <w:b/>
          <w:sz w:val="22"/>
          <w:szCs w:val="22"/>
        </w:rPr>
        <w:t xml:space="preserve">Hence, the calculated Fair Market Value/Enterprise Value of M/s </w:t>
      </w:r>
      <w:r w:rsidR="008F05EA">
        <w:rPr>
          <w:rFonts w:ascii="Arial" w:hAnsi="Arial" w:cs="Arial"/>
          <w:b/>
          <w:sz w:val="22"/>
          <w:szCs w:val="22"/>
        </w:rPr>
        <w:t>GTL Infrastructure</w:t>
      </w:r>
      <w:r w:rsidR="00A90C13">
        <w:rPr>
          <w:rFonts w:ascii="Arial" w:hAnsi="Arial" w:cs="Arial"/>
          <w:b/>
          <w:sz w:val="22"/>
          <w:szCs w:val="22"/>
        </w:rPr>
        <w:t xml:space="preserve"> Limited</w:t>
      </w:r>
      <w:r w:rsidRPr="008257C9">
        <w:rPr>
          <w:rFonts w:ascii="Arial" w:hAnsi="Arial" w:cs="Arial"/>
          <w:b/>
          <w:sz w:val="22"/>
          <w:szCs w:val="22"/>
        </w:rPr>
        <w:t xml:space="preserve"> is INR </w:t>
      </w:r>
      <w:r w:rsidR="008F05EA">
        <w:rPr>
          <w:rFonts w:ascii="Arial" w:hAnsi="Arial" w:cs="Arial"/>
          <w:b/>
          <w:sz w:val="22"/>
          <w:szCs w:val="22"/>
        </w:rPr>
        <w:t>1,</w:t>
      </w:r>
      <w:r w:rsidR="00DE719E">
        <w:rPr>
          <w:rFonts w:ascii="Arial" w:hAnsi="Arial" w:cs="Arial"/>
          <w:b/>
          <w:sz w:val="22"/>
          <w:szCs w:val="22"/>
        </w:rPr>
        <w:t>20</w:t>
      </w:r>
      <w:r w:rsidR="003E0015">
        <w:rPr>
          <w:rFonts w:ascii="Arial" w:hAnsi="Arial" w:cs="Arial"/>
          <w:b/>
          <w:sz w:val="22"/>
          <w:szCs w:val="22"/>
        </w:rPr>
        <w:t>7.</w:t>
      </w:r>
      <w:r w:rsidR="00DE719E">
        <w:rPr>
          <w:rFonts w:ascii="Arial" w:hAnsi="Arial" w:cs="Arial"/>
          <w:b/>
          <w:sz w:val="22"/>
          <w:szCs w:val="22"/>
        </w:rPr>
        <w:t>35</w:t>
      </w:r>
      <w:r w:rsidRPr="008257C9">
        <w:rPr>
          <w:rFonts w:ascii="Arial" w:hAnsi="Arial" w:cs="Arial"/>
          <w:b/>
          <w:sz w:val="22"/>
          <w:szCs w:val="22"/>
        </w:rPr>
        <w:t xml:space="preserve"> </w:t>
      </w:r>
      <w:r w:rsidR="008F05EA">
        <w:rPr>
          <w:rFonts w:ascii="Arial" w:hAnsi="Arial" w:cs="Arial"/>
          <w:b/>
          <w:sz w:val="22"/>
          <w:szCs w:val="22"/>
        </w:rPr>
        <w:t>Crore</w:t>
      </w:r>
      <w:r w:rsidR="005B69A9">
        <w:rPr>
          <w:rFonts w:ascii="Arial" w:hAnsi="Arial" w:cs="Arial"/>
          <w:b/>
          <w:sz w:val="22"/>
          <w:szCs w:val="22"/>
        </w:rPr>
        <w:t>s</w:t>
      </w:r>
      <w:r w:rsidRPr="008257C9">
        <w:rPr>
          <w:rFonts w:ascii="Arial" w:hAnsi="Arial" w:cs="Arial"/>
          <w:b/>
          <w:sz w:val="22"/>
          <w:szCs w:val="22"/>
        </w:rPr>
        <w:t>, subject to the current micro &amp; macro-economic assumptions, market, industry trends and inputs used during the forecasted period, as well as the</w:t>
      </w:r>
      <w:r w:rsidR="004A056B">
        <w:rPr>
          <w:rFonts w:ascii="Arial" w:hAnsi="Arial" w:cs="Arial"/>
          <w:b/>
          <w:sz w:val="22"/>
          <w:szCs w:val="22"/>
        </w:rPr>
        <w:t xml:space="preserve"> </w:t>
      </w:r>
      <w:r w:rsidR="004A056B" w:rsidRPr="004A056B">
        <w:rPr>
          <w:rFonts w:ascii="Arial" w:hAnsi="Arial" w:cs="Arial"/>
          <w:b/>
          <w:sz w:val="22"/>
          <w:szCs w:val="22"/>
        </w:rPr>
        <w:t>growth rate and</w:t>
      </w:r>
      <w:r w:rsidRPr="008257C9">
        <w:rPr>
          <w:rFonts w:ascii="Arial" w:hAnsi="Arial" w:cs="Arial"/>
          <w:b/>
          <w:sz w:val="22"/>
          <w:szCs w:val="22"/>
        </w:rPr>
        <w:t xml:space="preserve"> WACC used to calculate the EV.</w:t>
      </w:r>
    </w:p>
    <w:p w14:paraId="5BBC02C7" w14:textId="77777777" w:rsidR="00951BB1" w:rsidRDefault="00951BB1">
      <w:pPr>
        <w:rPr>
          <w:rFonts w:ascii="Arial" w:hAnsi="Arial" w:cs="Arial"/>
          <w:sz w:val="22"/>
        </w:rPr>
      </w:pPr>
      <w:r>
        <w:rPr>
          <w:rFonts w:ascii="Arial" w:hAnsi="Arial" w:cs="Arial"/>
          <w:sz w:val="22"/>
        </w:rPr>
        <w:br w:type="page"/>
      </w:r>
    </w:p>
    <w:tbl>
      <w:tblPr>
        <w:tblStyle w:val="TableGrid"/>
        <w:tblW w:w="5167" w:type="pct"/>
        <w:tblInd w:w="-289" w:type="dxa"/>
        <w:tblCellMar>
          <w:top w:w="28" w:type="dxa"/>
          <w:bottom w:w="28" w:type="dxa"/>
        </w:tblCellMar>
        <w:tblLook w:val="04A0" w:firstRow="1" w:lastRow="0" w:firstColumn="1" w:lastColumn="0" w:noHBand="0" w:noVBand="1"/>
      </w:tblPr>
      <w:tblGrid>
        <w:gridCol w:w="2402"/>
        <w:gridCol w:w="7379"/>
      </w:tblGrid>
      <w:tr w:rsidR="007A43B8" w:rsidRPr="00882124" w14:paraId="649303AA" w14:textId="77777777" w:rsidTr="004B1CA8">
        <w:trPr>
          <w:trHeight w:val="3365"/>
        </w:trPr>
        <w:tc>
          <w:tcPr>
            <w:tcW w:w="1228" w:type="pct"/>
            <w:vAlign w:val="center"/>
          </w:tcPr>
          <w:p w14:paraId="5703453F" w14:textId="77777777" w:rsidR="007A43B8" w:rsidRPr="00A83007" w:rsidRDefault="007A43B8" w:rsidP="004C1C3E">
            <w:pPr>
              <w:spacing w:line="360" w:lineRule="auto"/>
              <w:rPr>
                <w:rFonts w:ascii="Arial" w:hAnsi="Arial" w:cs="Arial"/>
                <w:b/>
                <w:sz w:val="22"/>
                <w:szCs w:val="22"/>
              </w:rPr>
            </w:pPr>
            <w:r w:rsidRPr="00A83007">
              <w:rPr>
                <w:rFonts w:ascii="Arial" w:hAnsi="Arial" w:cs="Arial"/>
                <w:b/>
                <w:sz w:val="22"/>
                <w:szCs w:val="22"/>
              </w:rPr>
              <w:t>Declaration</w:t>
            </w:r>
          </w:p>
        </w:tc>
        <w:tc>
          <w:tcPr>
            <w:tcW w:w="3772" w:type="pct"/>
          </w:tcPr>
          <w:p w14:paraId="3384567B" w14:textId="77777777" w:rsidR="007A43B8" w:rsidRPr="00476DEF" w:rsidRDefault="007A43B8" w:rsidP="00B07001">
            <w:pPr>
              <w:pStyle w:val="ListParagraph"/>
              <w:numPr>
                <w:ilvl w:val="0"/>
                <w:numId w:val="28"/>
              </w:numPr>
              <w:spacing w:line="360" w:lineRule="auto"/>
              <w:ind w:left="355" w:right="16" w:hanging="142"/>
              <w:contextualSpacing/>
              <w:jc w:val="both"/>
              <w:rPr>
                <w:rFonts w:ascii="Arial" w:hAnsi="Arial" w:cs="Arial"/>
                <w:i/>
                <w:sz w:val="22"/>
                <w:szCs w:val="22"/>
              </w:rPr>
            </w:pPr>
            <w:r w:rsidRPr="00476DEF">
              <w:rPr>
                <w:rFonts w:ascii="Arial" w:hAnsi="Arial" w:cs="Arial"/>
                <w:i/>
                <w:sz w:val="22"/>
                <w:szCs w:val="22"/>
              </w:rPr>
              <w:t>The undersigned does not have any direct/indirect interest in the Project Company.</w:t>
            </w:r>
          </w:p>
          <w:p w14:paraId="76F6894B" w14:textId="77777777" w:rsidR="007A43B8" w:rsidRPr="00476DEF" w:rsidRDefault="007A43B8" w:rsidP="00B07001">
            <w:pPr>
              <w:pStyle w:val="ListParagraph"/>
              <w:numPr>
                <w:ilvl w:val="0"/>
                <w:numId w:val="28"/>
              </w:numPr>
              <w:spacing w:before="240" w:line="360" w:lineRule="auto"/>
              <w:ind w:left="355" w:right="16" w:hanging="142"/>
              <w:contextualSpacing/>
              <w:jc w:val="both"/>
              <w:rPr>
                <w:rFonts w:ascii="Arial" w:hAnsi="Arial" w:cs="Arial"/>
                <w:i/>
                <w:sz w:val="22"/>
                <w:szCs w:val="22"/>
              </w:rPr>
            </w:pPr>
            <w:r w:rsidRPr="00476DEF">
              <w:rPr>
                <w:rFonts w:ascii="Arial" w:hAnsi="Arial" w:cs="Arial"/>
                <w:i/>
                <w:sz w:val="22"/>
                <w:szCs w:val="22"/>
              </w:rPr>
              <w:t>The information furnished herein is true and correct to the best of our knowledge.</w:t>
            </w:r>
          </w:p>
          <w:p w14:paraId="6AFDEF90" w14:textId="5CE2C5D3" w:rsidR="007A43B8" w:rsidRPr="007A43B8" w:rsidRDefault="007A43B8" w:rsidP="00B07001">
            <w:pPr>
              <w:pStyle w:val="ListParagraph"/>
              <w:numPr>
                <w:ilvl w:val="0"/>
                <w:numId w:val="28"/>
              </w:numPr>
              <w:spacing w:line="360" w:lineRule="auto"/>
              <w:ind w:left="355" w:right="16" w:hanging="142"/>
              <w:contextualSpacing/>
              <w:jc w:val="both"/>
              <w:rPr>
                <w:rFonts w:ascii="Arial" w:hAnsi="Arial" w:cs="Arial"/>
                <w:b/>
                <w:i/>
                <w:sz w:val="22"/>
                <w:szCs w:val="22"/>
              </w:rPr>
            </w:pPr>
            <w:r w:rsidRPr="00476DEF">
              <w:rPr>
                <w:rFonts w:ascii="Arial" w:hAnsi="Arial" w:cs="Arial"/>
                <w:i/>
                <w:sz w:val="22"/>
                <w:szCs w:val="22"/>
              </w:rPr>
              <w:t xml:space="preserve">This valuation work is carried out by our Financial &amp; Market Research Analysis team on the request from </w:t>
            </w:r>
            <w:r w:rsidRPr="007A43B8">
              <w:rPr>
                <w:rFonts w:ascii="Arial" w:hAnsi="Arial" w:cs="Arial"/>
                <w:b/>
                <w:i/>
                <w:sz w:val="22"/>
                <w:szCs w:val="22"/>
                <w:lang w:val="en-IN"/>
              </w:rPr>
              <w:t>Edelweiss Asset Reconstruction Company Limited, Edelweiss House, 1st Floor, Off C</w:t>
            </w:r>
            <w:r>
              <w:rPr>
                <w:rFonts w:ascii="Arial" w:hAnsi="Arial" w:cs="Arial"/>
                <w:b/>
                <w:i/>
                <w:sz w:val="22"/>
                <w:szCs w:val="22"/>
                <w:lang w:val="en-IN"/>
              </w:rPr>
              <w:t>ST</w:t>
            </w:r>
            <w:r w:rsidRPr="007A43B8">
              <w:rPr>
                <w:rFonts w:ascii="Arial" w:hAnsi="Arial" w:cs="Arial"/>
                <w:b/>
                <w:i/>
                <w:sz w:val="22"/>
                <w:szCs w:val="22"/>
                <w:lang w:val="en-IN"/>
              </w:rPr>
              <w:t xml:space="preserve"> Road </w:t>
            </w:r>
            <w:proofErr w:type="spellStart"/>
            <w:r w:rsidRPr="007A43B8">
              <w:rPr>
                <w:rFonts w:ascii="Arial" w:hAnsi="Arial" w:cs="Arial"/>
                <w:b/>
                <w:i/>
                <w:sz w:val="22"/>
                <w:szCs w:val="22"/>
                <w:lang w:val="en-IN"/>
              </w:rPr>
              <w:t>Kalina</w:t>
            </w:r>
            <w:proofErr w:type="spellEnd"/>
            <w:r w:rsidRPr="007A43B8">
              <w:rPr>
                <w:rFonts w:ascii="Arial" w:hAnsi="Arial" w:cs="Arial"/>
                <w:b/>
                <w:i/>
                <w:sz w:val="22"/>
                <w:szCs w:val="22"/>
                <w:lang w:val="en-IN"/>
              </w:rPr>
              <w:t>, Mumbai - 400098</w:t>
            </w:r>
          </w:p>
          <w:p w14:paraId="2ADC681E" w14:textId="77777777" w:rsidR="007A43B8" w:rsidRPr="00882124" w:rsidRDefault="007A43B8" w:rsidP="00B07001">
            <w:pPr>
              <w:pStyle w:val="ListParagraph"/>
              <w:numPr>
                <w:ilvl w:val="0"/>
                <w:numId w:val="28"/>
              </w:numPr>
              <w:spacing w:before="240" w:line="360" w:lineRule="auto"/>
              <w:ind w:left="355" w:right="16" w:hanging="142"/>
              <w:contextualSpacing/>
              <w:jc w:val="both"/>
              <w:rPr>
                <w:rFonts w:ascii="Arial" w:hAnsi="Arial" w:cs="Arial"/>
                <w:sz w:val="22"/>
                <w:szCs w:val="22"/>
              </w:rPr>
            </w:pPr>
            <w:r w:rsidRPr="00476DEF">
              <w:rPr>
                <w:rFonts w:ascii="Arial" w:hAnsi="Arial" w:cs="Arial"/>
                <w:i/>
                <w:sz w:val="22"/>
                <w:szCs w:val="22"/>
              </w:rPr>
              <w:t>We have submitted Valuation report directly to the Bank.</w:t>
            </w:r>
          </w:p>
        </w:tc>
      </w:tr>
      <w:tr w:rsidR="007A43B8" w:rsidRPr="00882124" w14:paraId="16BDF8B2" w14:textId="77777777" w:rsidTr="004B1CA8">
        <w:trPr>
          <w:trHeight w:val="18"/>
        </w:trPr>
        <w:tc>
          <w:tcPr>
            <w:tcW w:w="1228" w:type="pct"/>
            <w:vAlign w:val="center"/>
          </w:tcPr>
          <w:p w14:paraId="77007682" w14:textId="77777777" w:rsidR="007A43B8" w:rsidRPr="00882124" w:rsidRDefault="007A43B8" w:rsidP="004C1C3E">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772" w:type="pct"/>
            <w:vAlign w:val="center"/>
          </w:tcPr>
          <w:p w14:paraId="67CF4CB0" w14:textId="6EB45D30" w:rsidR="007A43B8" w:rsidRPr="00B70BD6" w:rsidRDefault="00B70BD6" w:rsidP="0008176D">
            <w:pPr>
              <w:spacing w:line="360" w:lineRule="auto"/>
              <w:rPr>
                <w:rFonts w:ascii="Arial" w:hAnsi="Arial" w:cs="Arial"/>
                <w:sz w:val="22"/>
                <w:szCs w:val="22"/>
              </w:rPr>
            </w:pPr>
            <w:r w:rsidRPr="00B70BD6">
              <w:rPr>
                <w:rFonts w:ascii="Arial" w:hAnsi="Arial" w:cs="Arial"/>
                <w:sz w:val="22"/>
                <w:szCs w:val="22"/>
              </w:rPr>
              <w:t>4</w:t>
            </w:r>
            <w:r w:rsidR="0008176D">
              <w:rPr>
                <w:rFonts w:ascii="Arial" w:hAnsi="Arial" w:cs="Arial"/>
                <w:sz w:val="22"/>
                <w:szCs w:val="22"/>
              </w:rPr>
              <w:t>1</w:t>
            </w:r>
          </w:p>
        </w:tc>
      </w:tr>
      <w:tr w:rsidR="007A43B8" w:rsidRPr="00882124" w14:paraId="1ED4DEFA" w14:textId="77777777" w:rsidTr="004B1CA8">
        <w:trPr>
          <w:trHeight w:val="18"/>
        </w:trPr>
        <w:tc>
          <w:tcPr>
            <w:tcW w:w="1228" w:type="pct"/>
            <w:vAlign w:val="center"/>
          </w:tcPr>
          <w:p w14:paraId="10FA88B4" w14:textId="77777777" w:rsidR="007A43B8" w:rsidRPr="00882124" w:rsidRDefault="007A43B8" w:rsidP="004C1C3E">
            <w:pPr>
              <w:spacing w:line="360" w:lineRule="auto"/>
              <w:rPr>
                <w:rFonts w:ascii="Arial" w:hAnsi="Arial" w:cs="Arial"/>
                <w:b/>
                <w:sz w:val="22"/>
                <w:szCs w:val="22"/>
              </w:rPr>
            </w:pPr>
            <w:r w:rsidRPr="00882124">
              <w:rPr>
                <w:rFonts w:ascii="Arial" w:hAnsi="Arial" w:cs="Arial"/>
                <w:b/>
                <w:sz w:val="22"/>
                <w:szCs w:val="22"/>
              </w:rPr>
              <w:t>Enclosed Documents</w:t>
            </w:r>
          </w:p>
        </w:tc>
        <w:tc>
          <w:tcPr>
            <w:tcW w:w="3772" w:type="pct"/>
            <w:vAlign w:val="center"/>
          </w:tcPr>
          <w:p w14:paraId="765B122A" w14:textId="6761DE74" w:rsidR="007A43B8" w:rsidRPr="00B70BD6" w:rsidRDefault="007A43B8" w:rsidP="0008176D">
            <w:pPr>
              <w:spacing w:line="360" w:lineRule="auto"/>
              <w:rPr>
                <w:rFonts w:ascii="Arial" w:hAnsi="Arial" w:cs="Arial"/>
                <w:sz w:val="22"/>
                <w:szCs w:val="22"/>
              </w:rPr>
            </w:pPr>
            <w:r w:rsidRPr="00B70BD6">
              <w:rPr>
                <w:rFonts w:ascii="Arial" w:hAnsi="Arial" w:cs="Arial"/>
                <w:sz w:val="22"/>
                <w:szCs w:val="22"/>
              </w:rPr>
              <w:t>Disclaimer &amp; Remarks 3</w:t>
            </w:r>
            <w:r w:rsidR="0008176D">
              <w:rPr>
                <w:rFonts w:ascii="Arial" w:hAnsi="Arial" w:cs="Arial"/>
                <w:sz w:val="22"/>
                <w:szCs w:val="22"/>
              </w:rPr>
              <w:t>6</w:t>
            </w:r>
            <w:r w:rsidRPr="00B70BD6">
              <w:rPr>
                <w:rFonts w:ascii="Arial" w:hAnsi="Arial" w:cs="Arial"/>
                <w:sz w:val="22"/>
                <w:szCs w:val="22"/>
              </w:rPr>
              <w:t>-</w:t>
            </w:r>
            <w:r w:rsidR="00B70BD6" w:rsidRPr="00B70BD6">
              <w:rPr>
                <w:rFonts w:ascii="Arial" w:hAnsi="Arial" w:cs="Arial"/>
                <w:sz w:val="22"/>
                <w:szCs w:val="22"/>
              </w:rPr>
              <w:t>4</w:t>
            </w:r>
            <w:r w:rsidR="0008176D">
              <w:rPr>
                <w:rFonts w:ascii="Arial" w:hAnsi="Arial" w:cs="Arial"/>
                <w:sz w:val="22"/>
                <w:szCs w:val="22"/>
              </w:rPr>
              <w:t>1</w:t>
            </w:r>
          </w:p>
        </w:tc>
      </w:tr>
      <w:tr w:rsidR="007A43B8" w:rsidRPr="00882124" w14:paraId="2EC43470" w14:textId="77777777" w:rsidTr="004B1CA8">
        <w:trPr>
          <w:trHeight w:val="18"/>
        </w:trPr>
        <w:tc>
          <w:tcPr>
            <w:tcW w:w="1228" w:type="pct"/>
            <w:vAlign w:val="center"/>
          </w:tcPr>
          <w:p w14:paraId="677AF143" w14:textId="77777777" w:rsidR="007A43B8" w:rsidRPr="00882124" w:rsidRDefault="007A43B8" w:rsidP="004C1C3E">
            <w:pPr>
              <w:spacing w:line="360" w:lineRule="auto"/>
              <w:rPr>
                <w:rFonts w:ascii="Arial" w:hAnsi="Arial" w:cs="Arial"/>
                <w:b/>
                <w:sz w:val="22"/>
                <w:szCs w:val="22"/>
              </w:rPr>
            </w:pPr>
            <w:r w:rsidRPr="00882124">
              <w:rPr>
                <w:rFonts w:ascii="Arial" w:hAnsi="Arial" w:cs="Arial"/>
                <w:b/>
                <w:sz w:val="22"/>
                <w:szCs w:val="22"/>
              </w:rPr>
              <w:t>Place</w:t>
            </w:r>
          </w:p>
        </w:tc>
        <w:tc>
          <w:tcPr>
            <w:tcW w:w="3772" w:type="pct"/>
            <w:vAlign w:val="center"/>
          </w:tcPr>
          <w:p w14:paraId="72868C60" w14:textId="77777777" w:rsidR="007A43B8" w:rsidRPr="00B70BD6" w:rsidRDefault="007A43B8" w:rsidP="004C1C3E">
            <w:pPr>
              <w:spacing w:line="360" w:lineRule="auto"/>
              <w:rPr>
                <w:rFonts w:ascii="Arial" w:hAnsi="Arial" w:cs="Arial"/>
                <w:sz w:val="22"/>
                <w:szCs w:val="22"/>
              </w:rPr>
            </w:pPr>
            <w:r w:rsidRPr="00B70BD6">
              <w:rPr>
                <w:rFonts w:ascii="Arial" w:hAnsi="Arial" w:cs="Arial"/>
                <w:sz w:val="22"/>
                <w:szCs w:val="22"/>
              </w:rPr>
              <w:t>Noida</w:t>
            </w:r>
          </w:p>
        </w:tc>
      </w:tr>
      <w:tr w:rsidR="007A43B8" w:rsidRPr="00882124" w14:paraId="18B80417" w14:textId="77777777" w:rsidTr="004B1CA8">
        <w:trPr>
          <w:trHeight w:val="18"/>
        </w:trPr>
        <w:tc>
          <w:tcPr>
            <w:tcW w:w="1228" w:type="pct"/>
            <w:vAlign w:val="center"/>
          </w:tcPr>
          <w:p w14:paraId="381C8661" w14:textId="77777777" w:rsidR="007A43B8" w:rsidRPr="00882124" w:rsidRDefault="007A43B8" w:rsidP="004C1C3E">
            <w:pPr>
              <w:spacing w:line="360" w:lineRule="auto"/>
              <w:rPr>
                <w:rFonts w:ascii="Arial" w:hAnsi="Arial" w:cs="Arial"/>
                <w:b/>
                <w:sz w:val="22"/>
                <w:szCs w:val="22"/>
              </w:rPr>
            </w:pPr>
            <w:r w:rsidRPr="00882124">
              <w:rPr>
                <w:rFonts w:ascii="Arial" w:hAnsi="Arial" w:cs="Arial"/>
                <w:b/>
                <w:sz w:val="22"/>
                <w:szCs w:val="22"/>
              </w:rPr>
              <w:t>Date</w:t>
            </w:r>
          </w:p>
        </w:tc>
        <w:tc>
          <w:tcPr>
            <w:tcW w:w="3772" w:type="pct"/>
            <w:vAlign w:val="center"/>
          </w:tcPr>
          <w:p w14:paraId="395BFAF9" w14:textId="760361BF" w:rsidR="007A43B8" w:rsidRPr="00E545D1" w:rsidRDefault="007A43B8" w:rsidP="004C1C3E">
            <w:pPr>
              <w:spacing w:line="360" w:lineRule="auto"/>
              <w:rPr>
                <w:rFonts w:ascii="Arial" w:hAnsi="Arial" w:cs="Arial"/>
                <w:sz w:val="22"/>
                <w:szCs w:val="22"/>
              </w:rPr>
            </w:pPr>
            <w:r>
              <w:rPr>
                <w:rFonts w:ascii="Arial" w:hAnsi="Arial" w:cs="Arial"/>
                <w:sz w:val="22"/>
                <w:szCs w:val="22"/>
              </w:rPr>
              <w:t>8</w:t>
            </w:r>
            <w:r w:rsidRPr="00E545D1">
              <w:rPr>
                <w:rFonts w:ascii="Arial" w:hAnsi="Arial" w:cs="Arial"/>
                <w:sz w:val="22"/>
                <w:szCs w:val="22"/>
                <w:vertAlign w:val="superscript"/>
              </w:rPr>
              <w:t>th</w:t>
            </w:r>
            <w:r w:rsidRPr="00E545D1">
              <w:rPr>
                <w:rFonts w:ascii="Arial" w:hAnsi="Arial" w:cs="Arial"/>
                <w:sz w:val="22"/>
                <w:szCs w:val="22"/>
              </w:rPr>
              <w:t xml:space="preserve"> </w:t>
            </w:r>
            <w:r>
              <w:rPr>
                <w:rFonts w:ascii="Arial" w:hAnsi="Arial" w:cs="Arial"/>
                <w:sz w:val="22"/>
                <w:szCs w:val="22"/>
              </w:rPr>
              <w:t>February</w:t>
            </w:r>
            <w:r w:rsidRPr="00E545D1">
              <w:rPr>
                <w:rFonts w:ascii="Arial" w:hAnsi="Arial" w:cs="Arial"/>
                <w:sz w:val="22"/>
                <w:szCs w:val="22"/>
              </w:rPr>
              <w:t xml:space="preserve"> 202</w:t>
            </w:r>
            <w:r>
              <w:rPr>
                <w:rFonts w:ascii="Arial" w:hAnsi="Arial" w:cs="Arial"/>
                <w:sz w:val="22"/>
                <w:szCs w:val="22"/>
              </w:rPr>
              <w:t>5</w:t>
            </w:r>
          </w:p>
        </w:tc>
      </w:tr>
    </w:tbl>
    <w:p w14:paraId="6681B3D4" w14:textId="77777777" w:rsidR="007A43B8" w:rsidRDefault="007A43B8" w:rsidP="007A43B8"/>
    <w:tbl>
      <w:tblPr>
        <w:tblStyle w:val="TableGrid"/>
        <w:tblW w:w="9781" w:type="dxa"/>
        <w:tblInd w:w="-289" w:type="dxa"/>
        <w:tblLayout w:type="fixed"/>
        <w:tblCellMar>
          <w:top w:w="28" w:type="dxa"/>
          <w:bottom w:w="28" w:type="dxa"/>
        </w:tblCellMar>
        <w:tblLook w:val="04A0" w:firstRow="1" w:lastRow="0" w:firstColumn="1" w:lastColumn="0" w:noHBand="0" w:noVBand="1"/>
      </w:tblPr>
      <w:tblGrid>
        <w:gridCol w:w="5104"/>
        <w:gridCol w:w="4677"/>
      </w:tblGrid>
      <w:tr w:rsidR="007A43B8" w:rsidRPr="0083576B" w14:paraId="55E35B1F" w14:textId="77777777" w:rsidTr="004B1CA8">
        <w:trPr>
          <w:trHeight w:val="616"/>
        </w:trPr>
        <w:tc>
          <w:tcPr>
            <w:tcW w:w="9781" w:type="dxa"/>
            <w:gridSpan w:val="2"/>
            <w:shd w:val="clear" w:color="auto" w:fill="002060"/>
          </w:tcPr>
          <w:p w14:paraId="18DCC52D" w14:textId="77777777" w:rsidR="007A43B8" w:rsidRPr="00876A4D" w:rsidRDefault="007A43B8" w:rsidP="004C1C3E">
            <w:pPr>
              <w:spacing w:line="360" w:lineRule="auto"/>
              <w:ind w:left="45"/>
              <w:jc w:val="center"/>
              <w:rPr>
                <w:rFonts w:ascii="Arial" w:hAnsi="Arial" w:cs="Arial"/>
                <w:sz w:val="22"/>
              </w:rPr>
            </w:pPr>
            <w:r w:rsidRPr="00876A4D">
              <w:rPr>
                <w:rFonts w:ascii="Arial" w:hAnsi="Arial" w:cs="Arial"/>
                <w:b/>
                <w:sz w:val="22"/>
              </w:rPr>
              <w:t>FOR ON BEHALF OF</w:t>
            </w:r>
          </w:p>
          <w:p w14:paraId="68851E2C" w14:textId="77777777" w:rsidR="007A43B8" w:rsidRPr="00876A4D" w:rsidRDefault="007A43B8" w:rsidP="004C1C3E">
            <w:pPr>
              <w:spacing w:line="360" w:lineRule="auto"/>
              <w:ind w:left="45"/>
              <w:jc w:val="center"/>
              <w:rPr>
                <w:rFonts w:ascii="Arial" w:hAnsi="Arial" w:cs="Arial"/>
                <w:b/>
                <w:sz w:val="22"/>
              </w:rPr>
            </w:pPr>
            <w:r w:rsidRPr="00876A4D">
              <w:rPr>
                <w:rFonts w:ascii="Arial" w:hAnsi="Arial" w:cs="Arial"/>
                <w:b/>
                <w:sz w:val="22"/>
              </w:rPr>
              <w:t>M/S. R.K. ASSOCIATES VALUER &amp; TECHNO ENGINEERING CONSULTANTS PVT. LTD.</w:t>
            </w:r>
          </w:p>
        </w:tc>
      </w:tr>
      <w:tr w:rsidR="007A43B8" w:rsidRPr="0083576B" w14:paraId="784193A4" w14:textId="77777777" w:rsidTr="004B1CA8">
        <w:trPr>
          <w:trHeight w:val="18"/>
        </w:trPr>
        <w:tc>
          <w:tcPr>
            <w:tcW w:w="5104" w:type="dxa"/>
            <w:shd w:val="clear" w:color="auto" w:fill="DEEAF6" w:themeFill="accent1" w:themeFillTint="33"/>
            <w:vAlign w:val="center"/>
          </w:tcPr>
          <w:p w14:paraId="0E2B85A3" w14:textId="77777777" w:rsidR="007A43B8" w:rsidRPr="00876A4D" w:rsidRDefault="007A43B8" w:rsidP="004C1C3E">
            <w:pPr>
              <w:spacing w:line="360" w:lineRule="auto"/>
              <w:ind w:left="45" w:right="-108"/>
              <w:jc w:val="center"/>
              <w:rPr>
                <w:rFonts w:ascii="Arial" w:hAnsi="Arial" w:cs="Arial"/>
                <w:b/>
                <w:sz w:val="22"/>
              </w:rPr>
            </w:pPr>
            <w:r w:rsidRPr="00876A4D">
              <w:rPr>
                <w:rFonts w:ascii="Arial" w:hAnsi="Arial" w:cs="Arial"/>
                <w:b/>
                <w:sz w:val="22"/>
              </w:rPr>
              <w:t>PREPARED BY</w:t>
            </w:r>
          </w:p>
        </w:tc>
        <w:tc>
          <w:tcPr>
            <w:tcW w:w="4677" w:type="dxa"/>
            <w:shd w:val="clear" w:color="auto" w:fill="DEEAF6" w:themeFill="accent1" w:themeFillTint="33"/>
            <w:vAlign w:val="center"/>
          </w:tcPr>
          <w:p w14:paraId="36B27BBB" w14:textId="77777777" w:rsidR="007A43B8" w:rsidRPr="00876A4D" w:rsidRDefault="007A43B8" w:rsidP="004C1C3E">
            <w:pPr>
              <w:spacing w:line="360" w:lineRule="auto"/>
              <w:ind w:left="-104" w:right="-108"/>
              <w:jc w:val="center"/>
              <w:rPr>
                <w:rFonts w:ascii="Arial" w:hAnsi="Arial" w:cs="Arial"/>
                <w:sz w:val="22"/>
              </w:rPr>
            </w:pPr>
            <w:r w:rsidRPr="00876A4D">
              <w:rPr>
                <w:rFonts w:ascii="Arial" w:hAnsi="Arial" w:cs="Arial"/>
                <w:b/>
                <w:sz w:val="22"/>
              </w:rPr>
              <w:t>REVIEWED BY</w:t>
            </w:r>
          </w:p>
        </w:tc>
      </w:tr>
      <w:tr w:rsidR="007A43B8" w:rsidRPr="0083576B" w14:paraId="3294F285" w14:textId="77777777" w:rsidTr="004B1CA8">
        <w:trPr>
          <w:trHeight w:val="520"/>
        </w:trPr>
        <w:tc>
          <w:tcPr>
            <w:tcW w:w="5104" w:type="dxa"/>
            <w:vAlign w:val="center"/>
          </w:tcPr>
          <w:p w14:paraId="06C9EB33" w14:textId="77777777" w:rsidR="007A43B8" w:rsidRPr="00B45A18" w:rsidRDefault="007A43B8" w:rsidP="004C1C3E">
            <w:pPr>
              <w:spacing w:line="360" w:lineRule="auto"/>
              <w:ind w:left="-104" w:right="-108"/>
              <w:jc w:val="center"/>
              <w:rPr>
                <w:rFonts w:ascii="Arial" w:hAnsi="Arial" w:cs="Arial"/>
                <w:b/>
                <w:sz w:val="22"/>
              </w:rPr>
            </w:pPr>
            <w:r w:rsidRPr="00876A4D">
              <w:rPr>
                <w:rFonts w:ascii="Arial" w:hAnsi="Arial" w:cs="Arial"/>
                <w:b/>
                <w:sz w:val="22"/>
              </w:rPr>
              <w:t xml:space="preserve">Mr. </w:t>
            </w:r>
            <w:proofErr w:type="spellStart"/>
            <w:r w:rsidRPr="00876A4D">
              <w:rPr>
                <w:rFonts w:ascii="Arial" w:hAnsi="Arial" w:cs="Arial"/>
                <w:b/>
                <w:sz w:val="22"/>
              </w:rPr>
              <w:t>Rachit</w:t>
            </w:r>
            <w:proofErr w:type="spellEnd"/>
            <w:r w:rsidRPr="00876A4D">
              <w:rPr>
                <w:rFonts w:ascii="Arial" w:hAnsi="Arial" w:cs="Arial"/>
                <w:b/>
                <w:sz w:val="22"/>
              </w:rPr>
              <w:t xml:space="preserve"> Gupta</w:t>
            </w:r>
          </w:p>
        </w:tc>
        <w:tc>
          <w:tcPr>
            <w:tcW w:w="4677" w:type="dxa"/>
            <w:vAlign w:val="center"/>
          </w:tcPr>
          <w:p w14:paraId="0B50B74E" w14:textId="77777777" w:rsidR="007A43B8" w:rsidRPr="00876A4D" w:rsidRDefault="007A43B8" w:rsidP="004C1C3E">
            <w:pPr>
              <w:spacing w:line="360" w:lineRule="auto"/>
              <w:ind w:left="-82" w:right="-108"/>
              <w:jc w:val="center"/>
              <w:rPr>
                <w:rFonts w:ascii="Arial" w:hAnsi="Arial" w:cs="Arial"/>
                <w:b/>
                <w:sz w:val="22"/>
              </w:rPr>
            </w:pPr>
            <w:r w:rsidRPr="00876A4D">
              <w:rPr>
                <w:rFonts w:ascii="Arial" w:hAnsi="Arial" w:cs="Arial"/>
                <w:b/>
                <w:sz w:val="22"/>
              </w:rPr>
              <w:t>Mr. Gaurav Kumar</w:t>
            </w:r>
          </w:p>
        </w:tc>
      </w:tr>
      <w:tr w:rsidR="007A43B8" w:rsidRPr="0083576B" w14:paraId="69FE7AFD" w14:textId="77777777" w:rsidTr="004B1CA8">
        <w:trPr>
          <w:trHeight w:val="818"/>
        </w:trPr>
        <w:tc>
          <w:tcPr>
            <w:tcW w:w="5104" w:type="dxa"/>
          </w:tcPr>
          <w:p w14:paraId="1728A139" w14:textId="77777777" w:rsidR="007A43B8" w:rsidRPr="0083576B" w:rsidRDefault="007A43B8" w:rsidP="004C1C3E">
            <w:pPr>
              <w:spacing w:before="240" w:line="360" w:lineRule="auto"/>
              <w:ind w:left="45" w:right="-108"/>
              <w:jc w:val="center"/>
              <w:rPr>
                <w:rFonts w:ascii="Arial" w:hAnsi="Arial" w:cs="Arial"/>
                <w:b/>
              </w:rPr>
            </w:pPr>
          </w:p>
        </w:tc>
        <w:tc>
          <w:tcPr>
            <w:tcW w:w="4677" w:type="dxa"/>
            <w:vAlign w:val="center"/>
          </w:tcPr>
          <w:p w14:paraId="0CBDD76F" w14:textId="77777777" w:rsidR="007A43B8" w:rsidRPr="0083576B" w:rsidRDefault="007A43B8" w:rsidP="004C1C3E">
            <w:pPr>
              <w:spacing w:before="240" w:line="360" w:lineRule="auto"/>
              <w:ind w:left="45" w:right="-108"/>
              <w:jc w:val="center"/>
              <w:rPr>
                <w:rFonts w:ascii="Arial" w:hAnsi="Arial" w:cs="Arial"/>
                <w:b/>
              </w:rPr>
            </w:pPr>
          </w:p>
        </w:tc>
      </w:tr>
    </w:tbl>
    <w:p w14:paraId="4D510B63" w14:textId="345D23B3" w:rsidR="007A43B8" w:rsidRDefault="007A43B8">
      <w:pPr>
        <w:rPr>
          <w:rFonts w:ascii="Arial" w:hAnsi="Arial" w:cs="Arial"/>
          <w:sz w:val="20"/>
          <w:szCs w:val="17"/>
          <w:highlight w:val="yellow"/>
        </w:rPr>
      </w:pPr>
      <w:r>
        <w:rPr>
          <w:rFonts w:ascii="Arial" w:hAnsi="Arial" w:cs="Arial"/>
          <w:sz w:val="20"/>
          <w:szCs w:val="17"/>
          <w:highlight w:val="yellow"/>
        </w:rPr>
        <w:br w:type="page"/>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CF78E7" w:rsidRPr="003B6472" w14:paraId="42253E26" w14:textId="77777777" w:rsidTr="004B1CA8">
        <w:trPr>
          <w:trHeight w:val="558"/>
        </w:trPr>
        <w:tc>
          <w:tcPr>
            <w:tcW w:w="1534" w:type="dxa"/>
            <w:shd w:val="clear" w:color="auto" w:fill="002060"/>
            <w:vAlign w:val="center"/>
          </w:tcPr>
          <w:p w14:paraId="4981C513" w14:textId="03253BC0" w:rsidR="00CF78E7" w:rsidRPr="003B6472" w:rsidRDefault="00CF78E7"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t xml:space="preserve">PART </w:t>
            </w:r>
            <w:r w:rsidR="006412FD">
              <w:rPr>
                <w:rFonts w:ascii="Arial" w:eastAsia="Arial" w:hAnsi="Arial" w:cs="Arial"/>
                <w:b/>
                <w:color w:val="FFFFFF"/>
                <w:sz w:val="22"/>
                <w:szCs w:val="22"/>
              </w:rPr>
              <w:t>G</w:t>
            </w:r>
          </w:p>
        </w:tc>
        <w:tc>
          <w:tcPr>
            <w:tcW w:w="8248" w:type="dxa"/>
            <w:shd w:val="clear" w:color="auto" w:fill="DEEAF6" w:themeFill="accent1" w:themeFillTint="33"/>
            <w:vAlign w:val="center"/>
          </w:tcPr>
          <w:p w14:paraId="12723343" w14:textId="77777777" w:rsidR="00CF78E7" w:rsidRPr="003B6472" w:rsidRDefault="00CF78E7" w:rsidP="0067033C">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14:paraId="29CE031C" w14:textId="77777777" w:rsidR="00CF78E7" w:rsidRDefault="00CF78E7" w:rsidP="00CF78E7">
      <w:pPr>
        <w:tabs>
          <w:tab w:val="left" w:pos="360"/>
        </w:tabs>
        <w:spacing w:after="0" w:line="360" w:lineRule="auto"/>
        <w:ind w:right="16"/>
        <w:jc w:val="both"/>
        <w:rPr>
          <w:rFonts w:ascii="Arial" w:eastAsia="Arial" w:hAnsi="Arial" w:cs="Arial"/>
          <w:b/>
          <w:i/>
          <w:sz w:val="22"/>
          <w:szCs w:val="22"/>
        </w:rPr>
      </w:pPr>
    </w:p>
    <w:p w14:paraId="5F5A11B3" w14:textId="77777777" w:rsidR="00CF78E7" w:rsidRPr="000A4F69" w:rsidRDefault="00CF78E7" w:rsidP="00127D16">
      <w:pPr>
        <w:tabs>
          <w:tab w:val="left" w:pos="360"/>
        </w:tabs>
        <w:spacing w:line="360" w:lineRule="auto"/>
        <w:ind w:left="-284" w:right="-23"/>
        <w:jc w:val="both"/>
        <w:rPr>
          <w:rFonts w:ascii="Arial" w:eastAsia="Arial" w:hAnsi="Arial" w:cs="Arial"/>
          <w:b/>
          <w:i/>
          <w:sz w:val="22"/>
          <w:szCs w:val="22"/>
        </w:rPr>
      </w:pPr>
      <w:r w:rsidRPr="000A4F69">
        <w:rPr>
          <w:rFonts w:ascii="Arial" w:eastAsia="Arial" w:hAnsi="Arial" w:cs="Arial"/>
          <w:b/>
          <w:i/>
          <w:sz w:val="22"/>
          <w:szCs w:val="22"/>
        </w:rPr>
        <w:t>Definitions:</w:t>
      </w:r>
    </w:p>
    <w:p w14:paraId="5BEB71A8" w14:textId="77777777" w:rsidR="00C05424" w:rsidRDefault="00CF78E7" w:rsidP="00B07001">
      <w:pPr>
        <w:numPr>
          <w:ilvl w:val="0"/>
          <w:numId w:val="13"/>
        </w:numPr>
        <w:pBdr>
          <w:top w:val="nil"/>
          <w:left w:val="nil"/>
          <w:bottom w:val="nil"/>
          <w:right w:val="nil"/>
          <w:between w:val="nil"/>
        </w:pBdr>
        <w:spacing w:line="360" w:lineRule="auto"/>
        <w:ind w:left="142" w:right="-2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6C26B47C" w14:textId="00230E62" w:rsidR="00CF78E7" w:rsidRPr="00C05424" w:rsidRDefault="00CF78E7" w:rsidP="00C05424">
      <w:pPr>
        <w:pBdr>
          <w:top w:val="nil"/>
          <w:left w:val="nil"/>
          <w:bottom w:val="nil"/>
          <w:right w:val="nil"/>
          <w:between w:val="nil"/>
        </w:pBdr>
        <w:spacing w:line="360" w:lineRule="auto"/>
        <w:ind w:left="142" w:right="-23"/>
        <w:jc w:val="both"/>
        <w:rPr>
          <w:rFonts w:ascii="Arial" w:eastAsia="Arial" w:hAnsi="Arial" w:cs="Arial"/>
          <w:i/>
          <w:sz w:val="22"/>
          <w:szCs w:val="22"/>
        </w:rPr>
      </w:pPr>
      <w:r w:rsidRPr="00C05424">
        <w:rPr>
          <w:rFonts w:ascii="Arial" w:eastAsia="Arial" w:hAnsi="Arial" w:cs="Arial"/>
          <w:i/>
          <w:sz w:val="22"/>
          <w:szCs w:val="22"/>
        </w:rPr>
        <w:t>EV is computed using the following formula: EV = (Market Capitalization + Market Value of Debt   – Cash and Equivalents).</w:t>
      </w:r>
    </w:p>
    <w:p w14:paraId="7F766C44" w14:textId="77777777" w:rsidR="00C05424" w:rsidRDefault="00CF78E7" w:rsidP="00B07001">
      <w:pPr>
        <w:numPr>
          <w:ilvl w:val="0"/>
          <w:numId w:val="13"/>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w:t>
      </w:r>
      <w:proofErr w:type="spellStart"/>
      <w:r w:rsidRPr="000A4F69">
        <w:rPr>
          <w:rFonts w:ascii="Arial" w:eastAsia="Arial" w:hAnsi="Arial" w:cs="Arial"/>
          <w:i/>
          <w:color w:val="000000"/>
          <w:sz w:val="22"/>
          <w:szCs w:val="22"/>
        </w:rPr>
        <w:t>Valuer</w:t>
      </w:r>
      <w:proofErr w:type="spellEnd"/>
      <w:r w:rsidRPr="000A4F69">
        <w:rPr>
          <w:rFonts w:ascii="Arial" w:eastAsia="Arial" w:hAnsi="Arial" w:cs="Arial"/>
          <w:i/>
          <w:color w:val="000000"/>
          <w:sz w:val="22"/>
          <w:szCs w:val="22"/>
        </w:rPr>
        <w:t xml:space="preserve">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6BBEC2FB" w14:textId="5C8F45D2" w:rsidR="00CF78E7" w:rsidRPr="00C05424" w:rsidRDefault="00CF78E7" w:rsidP="00C05424">
      <w:pPr>
        <w:pBdr>
          <w:top w:val="nil"/>
          <w:left w:val="nil"/>
          <w:bottom w:val="nil"/>
          <w:right w:val="nil"/>
          <w:between w:val="nil"/>
        </w:pBdr>
        <w:spacing w:line="360" w:lineRule="auto"/>
        <w:ind w:left="142" w:right="-23"/>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104B1345" w14:textId="77777777" w:rsidR="00CF78E7" w:rsidRPr="000A4F69" w:rsidRDefault="00CF78E7" w:rsidP="00B07001">
      <w:pPr>
        <w:numPr>
          <w:ilvl w:val="0"/>
          <w:numId w:val="13"/>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2B2EE9C0" w14:textId="77777777" w:rsidR="00CF78E7" w:rsidRPr="000A4F69" w:rsidRDefault="00CF78E7" w:rsidP="00B07001">
      <w:pPr>
        <w:numPr>
          <w:ilvl w:val="0"/>
          <w:numId w:val="13"/>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41CA409E" w14:textId="77777777" w:rsidR="00CF78E7" w:rsidRPr="000A4F69" w:rsidRDefault="00CF78E7" w:rsidP="00B07001">
      <w:pPr>
        <w:numPr>
          <w:ilvl w:val="0"/>
          <w:numId w:val="13"/>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071DCD63" w14:textId="77777777" w:rsidR="00CF78E7" w:rsidRPr="000A4F69" w:rsidRDefault="00CF78E7" w:rsidP="00B07001">
      <w:pPr>
        <w:numPr>
          <w:ilvl w:val="0"/>
          <w:numId w:val="13"/>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1D5CF63B" w14:textId="77777777" w:rsidR="00CF78E7" w:rsidRPr="003B565A" w:rsidRDefault="00CF78E7" w:rsidP="00B07001">
      <w:pPr>
        <w:pStyle w:val="ListParagraph"/>
        <w:numPr>
          <w:ilvl w:val="0"/>
          <w:numId w:val="14"/>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125EEFCE" w14:textId="77777777" w:rsidR="00CF78E7" w:rsidRPr="003B565A" w:rsidRDefault="00CF78E7" w:rsidP="00B07001">
      <w:pPr>
        <w:pStyle w:val="ListParagraph"/>
        <w:numPr>
          <w:ilvl w:val="0"/>
          <w:numId w:val="14"/>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5F22786B" w14:textId="77777777" w:rsidR="00CF78E7" w:rsidRPr="003B565A" w:rsidRDefault="00CF78E7" w:rsidP="00B07001">
      <w:pPr>
        <w:pStyle w:val="ListParagraph"/>
        <w:numPr>
          <w:ilvl w:val="0"/>
          <w:numId w:val="14"/>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48727EC2" w14:textId="77777777" w:rsidR="00CF78E7" w:rsidRPr="003B565A" w:rsidRDefault="00CF78E7" w:rsidP="00B07001">
      <w:pPr>
        <w:pStyle w:val="ListParagraph"/>
        <w:numPr>
          <w:ilvl w:val="0"/>
          <w:numId w:val="14"/>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6B75A2CE" w14:textId="77777777" w:rsidR="00CF78E7" w:rsidRPr="00013C9E" w:rsidRDefault="00CF78E7" w:rsidP="00B07001">
      <w:pPr>
        <w:pStyle w:val="ListParagraph"/>
        <w:numPr>
          <w:ilvl w:val="1"/>
          <w:numId w:val="9"/>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6412FD" w:rsidRPr="003B6472" w14:paraId="62B65EC7" w14:textId="77777777" w:rsidTr="00F60498">
        <w:trPr>
          <w:trHeight w:val="558"/>
        </w:trPr>
        <w:tc>
          <w:tcPr>
            <w:tcW w:w="1534" w:type="dxa"/>
            <w:shd w:val="clear" w:color="auto" w:fill="002060"/>
            <w:vAlign w:val="center"/>
          </w:tcPr>
          <w:p w14:paraId="2F40775C" w14:textId="1D426F97" w:rsidR="006412FD" w:rsidRPr="003B6472" w:rsidRDefault="006412FD"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t>PART H</w:t>
            </w:r>
          </w:p>
        </w:tc>
        <w:tc>
          <w:tcPr>
            <w:tcW w:w="8248" w:type="dxa"/>
            <w:shd w:val="clear" w:color="auto" w:fill="DEEAF6" w:themeFill="accent1" w:themeFillTint="33"/>
            <w:vAlign w:val="center"/>
          </w:tcPr>
          <w:p w14:paraId="572FE022" w14:textId="57107B38" w:rsidR="006412FD" w:rsidRPr="003B6472" w:rsidRDefault="006412FD" w:rsidP="0067033C">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5301BE56" w14:textId="77777777" w:rsidR="00CF78E7" w:rsidRPr="00F65E4E" w:rsidRDefault="00CF78E7" w:rsidP="00CF78E7">
      <w:pPr>
        <w:spacing w:after="0" w:line="360" w:lineRule="auto"/>
        <w:ind w:right="-23"/>
        <w:jc w:val="both"/>
        <w:rPr>
          <w:rFonts w:ascii="Arial" w:eastAsia="Arial" w:hAnsi="Arial" w:cs="Arial"/>
          <w:sz w:val="20"/>
          <w:szCs w:val="20"/>
        </w:rPr>
      </w:pPr>
    </w:p>
    <w:p w14:paraId="04EFBCA4"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7C24996B"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231EA6C4"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9F081A5"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AAA8BFB"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0BC8EB63"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35FAE837"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75AB691C"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4BEC3CED"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0EA1D59"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7074C395"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4A802CAE"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23EEB4D"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2D5A584"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493B89CD"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0C2256F1"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1C6E0A62"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491193C"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0D81DF27"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A5A922A"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0FA63B8A"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7746CE48"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7264A65A"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A4EB0D3"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7E2584E"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1629762"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5E56456B"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2EB20A44"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7F4097DC" w14:textId="77777777" w:rsidR="00CF78E7"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6C0EC5DC"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0DC97B57"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58D7A2C"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1F949AFD"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2E2E01">
        <w:rPr>
          <w:rFonts w:ascii="Arial" w:eastAsia="Arial" w:hAnsi="Arial" w:cs="Arial"/>
          <w:b/>
          <w:sz w:val="22"/>
          <w:szCs w:val="22"/>
          <w:u w:val="single"/>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30AADCF"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BBAA621"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2E2E01">
        <w:rPr>
          <w:rFonts w:ascii="Arial" w:eastAsia="Arial" w:hAnsi="Arial" w:cs="Arial"/>
          <w:b/>
          <w:sz w:val="22"/>
          <w:szCs w:val="22"/>
          <w:u w:val="single"/>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72842836"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530792EE" w14:textId="77777777" w:rsidR="00CF78E7" w:rsidRPr="002E2E01"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5E4B" w14:textId="7D29804E" w:rsidR="009D2B05" w:rsidRPr="006412FD" w:rsidRDefault="00CF78E7" w:rsidP="00B07001">
      <w:pPr>
        <w:numPr>
          <w:ilvl w:val="3"/>
          <w:numId w:val="12"/>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sectPr w:rsidR="009D2B05" w:rsidRPr="006412FD" w:rsidSect="004B1CA8">
      <w:pgSz w:w="11906" w:h="16838"/>
      <w:pgMar w:top="1440" w:right="991" w:bottom="1440" w:left="1440"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87910" w14:textId="77777777" w:rsidR="00D479EB" w:rsidRDefault="00D479EB" w:rsidP="0008705A">
      <w:pPr>
        <w:spacing w:after="0" w:line="240" w:lineRule="auto"/>
      </w:pPr>
      <w:r>
        <w:separator/>
      </w:r>
    </w:p>
  </w:endnote>
  <w:endnote w:type="continuationSeparator" w:id="0">
    <w:p w14:paraId="4E65A789" w14:textId="77777777" w:rsidR="00D479EB" w:rsidRDefault="00D479EB"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CA53" w14:textId="77777777" w:rsidR="00D479EB" w:rsidRDefault="00D47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B9330" w14:textId="77777777" w:rsidR="00D479EB" w:rsidRDefault="00D479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0337E" w14:textId="77777777" w:rsidR="00D479EB" w:rsidRDefault="00D479EB" w:rsidP="001C6174">
    <w:pPr>
      <w:spacing w:after="0"/>
    </w:pPr>
    <w:r w:rsidRPr="00E6097E">
      <w:rPr>
        <w:rFonts w:ascii="Arial" w:hAnsi="Arial" w:cs="Arial"/>
        <w:noProof/>
        <w:color w:val="002060"/>
        <w:sz w:val="22"/>
        <w:lang w:val="en-IN" w:eastAsia="en-IN"/>
      </w:rPr>
      <mc:AlternateContent>
        <mc:Choice Requires="wps">
          <w:drawing>
            <wp:anchor distT="0" distB="0" distL="114300" distR="114300" simplePos="0" relativeHeight="251652608" behindDoc="0" locked="0" layoutInCell="1" allowOverlap="1" wp14:anchorId="313FC50C" wp14:editId="5DA2F64D">
              <wp:simplePos x="0" y="0"/>
              <wp:positionH relativeFrom="column">
                <wp:posOffset>-76201</wp:posOffset>
              </wp:positionH>
              <wp:positionV relativeFrom="paragraph">
                <wp:posOffset>109220</wp:posOffset>
              </wp:positionV>
              <wp:extent cx="6067425" cy="9525"/>
              <wp:effectExtent l="19050" t="19050" r="28575" b="28575"/>
              <wp:wrapNone/>
              <wp:docPr id="20" name="Straight Connector 20"/>
              <wp:cNvGraphicFramePr/>
              <a:graphic xmlns:a="http://schemas.openxmlformats.org/drawingml/2006/main">
                <a:graphicData uri="http://schemas.microsoft.com/office/word/2010/wordprocessingShape">
                  <wps:wsp>
                    <wps:cNvCnPr/>
                    <wps:spPr>
                      <a:xfrm flipV="1">
                        <a:off x="0" y="0"/>
                        <a:ext cx="60674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A26890" id="Straight Connector 20"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6pt" to="47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" strokecolor="#5b9bd5 [3204]" strokeweight="2.25pt">
              <v:stroke joinstyle="miter"/>
            </v:line>
          </w:pict>
        </mc:Fallback>
      </mc:AlternateContent>
    </w:r>
  </w:p>
  <w:p w14:paraId="5A645472" w14:textId="0E7F8D44" w:rsidR="00D479EB" w:rsidRDefault="00D44AC2" w:rsidP="00791AC8">
    <w:pPr>
      <w:pStyle w:val="Footer"/>
      <w:tabs>
        <w:tab w:val="clear" w:pos="8640"/>
        <w:tab w:val="right" w:pos="9356"/>
      </w:tabs>
      <w:ind w:right="-448"/>
      <w:rPr>
        <w:rFonts w:ascii="Arial" w:hAnsi="Arial" w:cs="Arial"/>
        <w:color w:val="002060"/>
        <w:sz w:val="22"/>
      </w:rPr>
    </w:pPr>
    <w:sdt>
      <w:sdtPr>
        <w:rPr>
          <w:rFonts w:ascii="Arial" w:hAnsi="Arial" w:cs="Arial"/>
          <w:sz w:val="22"/>
        </w:rPr>
        <w:id w:val="1807822042"/>
        <w:docPartObj>
          <w:docPartGallery w:val="Page Numbers (Top of Page)"/>
          <w:docPartUnique/>
        </w:docPartObj>
      </w:sdtPr>
      <w:sdtEndPr>
        <w:rPr>
          <w:color w:val="002060"/>
          <w:highlight w:val="yellow"/>
        </w:rPr>
      </w:sdtEndPr>
      <w:sdtContent>
        <w:r w:rsidR="00D479EB" w:rsidRPr="006E372C">
          <w:rPr>
            <w:rFonts w:ascii="Arial" w:hAnsi="Arial" w:cs="Arial"/>
            <w:b/>
            <w:sz w:val="22"/>
          </w:rPr>
          <w:t xml:space="preserve">FILE NO.: </w:t>
        </w:r>
        <w:r w:rsidR="00D479EB" w:rsidRPr="001E4301">
          <w:rPr>
            <w:rFonts w:ascii="Arial" w:hAnsi="Arial" w:cs="Arial"/>
            <w:b/>
          </w:rPr>
          <w:t>VIS</w:t>
        </w:r>
        <w:r w:rsidR="00D479EB">
          <w:rPr>
            <w:rFonts w:ascii="Arial" w:hAnsi="Arial" w:cs="Arial"/>
            <w:b/>
          </w:rPr>
          <w:t xml:space="preserve"> </w:t>
        </w:r>
        <w:r w:rsidR="00D479EB" w:rsidRPr="001E4301">
          <w:rPr>
            <w:rFonts w:ascii="Arial" w:hAnsi="Arial" w:cs="Arial"/>
            <w:b/>
          </w:rPr>
          <w:t>(202</w:t>
        </w:r>
        <w:r w:rsidR="00D479EB">
          <w:rPr>
            <w:rFonts w:ascii="Arial" w:hAnsi="Arial" w:cs="Arial"/>
            <w:b/>
          </w:rPr>
          <w:t>4</w:t>
        </w:r>
        <w:r w:rsidR="00D479EB" w:rsidRPr="001E4301">
          <w:rPr>
            <w:rFonts w:ascii="Arial" w:hAnsi="Arial" w:cs="Arial"/>
            <w:b/>
          </w:rPr>
          <w:t>-2</w:t>
        </w:r>
        <w:r w:rsidR="00D479EB">
          <w:rPr>
            <w:rFonts w:ascii="Arial" w:hAnsi="Arial" w:cs="Arial"/>
            <w:b/>
          </w:rPr>
          <w:t>5</w:t>
        </w:r>
        <w:r w:rsidR="00D479EB" w:rsidRPr="001E4301">
          <w:rPr>
            <w:rFonts w:ascii="Arial" w:hAnsi="Arial" w:cs="Arial"/>
            <w:b/>
          </w:rPr>
          <w:t>)-PL</w:t>
        </w:r>
        <w:r w:rsidR="00D479EB">
          <w:rPr>
            <w:rFonts w:ascii="Arial" w:hAnsi="Arial" w:cs="Arial"/>
            <w:b/>
          </w:rPr>
          <w:t>683-614</w:t>
        </w:r>
        <w:r w:rsidR="00D479EB" w:rsidRPr="001E4301">
          <w:rPr>
            <w:rFonts w:ascii="Arial" w:hAnsi="Arial" w:cs="Arial"/>
            <w:b/>
          </w:rPr>
          <w:t>-</w:t>
        </w:r>
        <w:r w:rsidR="00D479EB">
          <w:rPr>
            <w:rFonts w:ascii="Arial" w:hAnsi="Arial" w:cs="Arial"/>
            <w:b/>
          </w:rPr>
          <w:t>85</w:t>
        </w:r>
        <w:r w:rsidR="00D479EB" w:rsidRPr="001E4301">
          <w:rPr>
            <w:rFonts w:ascii="Arial" w:hAnsi="Arial" w:cs="Arial"/>
            <w:b/>
          </w:rPr>
          <w:t>3</w:t>
        </w:r>
        <w:r w:rsidR="00D479EB">
          <w:rPr>
            <w:rFonts w:ascii="Arial" w:hAnsi="Arial" w:cs="Arial"/>
            <w:b/>
          </w:rPr>
          <w:tab/>
        </w:r>
        <w:r w:rsidR="00D479EB" w:rsidRPr="00C17DBF">
          <w:rPr>
            <w:rFonts w:ascii="Arial" w:hAnsi="Arial" w:cs="Arial"/>
            <w:b/>
          </w:rPr>
          <w:t xml:space="preserve"> </w:t>
        </w:r>
        <w:r w:rsidR="00D479EB">
          <w:rPr>
            <w:rFonts w:ascii="Arial" w:hAnsi="Arial" w:cs="Arial"/>
            <w:b/>
          </w:rPr>
          <w:tab/>
        </w:r>
        <w:r w:rsidR="00D479EB" w:rsidRPr="00C17DBF">
          <w:rPr>
            <w:rFonts w:ascii="Arial" w:hAnsi="Arial" w:cs="Arial"/>
            <w:b/>
          </w:rPr>
          <w:t>Page</w:t>
        </w:r>
        <w:r w:rsidR="00D479EB" w:rsidRPr="00C17DBF">
          <w:rPr>
            <w:rFonts w:ascii="Arial" w:hAnsi="Arial" w:cs="Arial"/>
            <w:color w:val="002060"/>
            <w:sz w:val="22"/>
          </w:rPr>
          <w:t xml:space="preserve"> </w:t>
        </w:r>
        <w:r w:rsidR="00D479EB" w:rsidRPr="00C17DBF">
          <w:rPr>
            <w:rFonts w:ascii="Arial" w:hAnsi="Arial" w:cs="Arial"/>
            <w:b/>
            <w:bCs/>
            <w:sz w:val="22"/>
          </w:rPr>
          <w:fldChar w:fldCharType="begin"/>
        </w:r>
        <w:r w:rsidR="00D479EB" w:rsidRPr="00C17DBF">
          <w:rPr>
            <w:rFonts w:ascii="Arial" w:hAnsi="Arial" w:cs="Arial"/>
            <w:b/>
            <w:bCs/>
            <w:sz w:val="22"/>
          </w:rPr>
          <w:instrText xml:space="preserve"> PAGE </w:instrText>
        </w:r>
        <w:r w:rsidR="00D479EB" w:rsidRPr="00C17DBF">
          <w:rPr>
            <w:rFonts w:ascii="Arial" w:hAnsi="Arial" w:cs="Arial"/>
            <w:b/>
            <w:bCs/>
            <w:sz w:val="22"/>
          </w:rPr>
          <w:fldChar w:fldCharType="separate"/>
        </w:r>
        <w:r>
          <w:rPr>
            <w:rFonts w:ascii="Arial" w:hAnsi="Arial" w:cs="Arial"/>
            <w:b/>
            <w:bCs/>
            <w:noProof/>
            <w:sz w:val="22"/>
          </w:rPr>
          <w:t>35</w:t>
        </w:r>
        <w:r w:rsidR="00D479EB" w:rsidRPr="00C17DBF">
          <w:rPr>
            <w:rFonts w:ascii="Arial" w:hAnsi="Arial" w:cs="Arial"/>
            <w:b/>
            <w:bCs/>
            <w:sz w:val="22"/>
          </w:rPr>
          <w:fldChar w:fldCharType="end"/>
        </w:r>
        <w:r w:rsidR="00D479EB" w:rsidRPr="00C17DBF">
          <w:rPr>
            <w:rFonts w:ascii="Arial" w:hAnsi="Arial" w:cs="Arial"/>
            <w:sz w:val="22"/>
          </w:rPr>
          <w:t xml:space="preserve"> </w:t>
        </w:r>
        <w:r w:rsidR="00D479EB" w:rsidRPr="00C17DBF">
          <w:rPr>
            <w:rFonts w:ascii="Arial" w:hAnsi="Arial" w:cs="Arial"/>
            <w:b/>
            <w:sz w:val="22"/>
          </w:rPr>
          <w:t>of</w:t>
        </w:r>
        <w:r w:rsidR="00D479EB" w:rsidRPr="00C17DBF">
          <w:rPr>
            <w:rFonts w:ascii="Arial" w:hAnsi="Arial" w:cs="Arial"/>
            <w:sz w:val="22"/>
          </w:rPr>
          <w:t xml:space="preserve"> </w:t>
        </w:r>
        <w:r w:rsidR="00D479EB" w:rsidRPr="00C17DBF">
          <w:rPr>
            <w:rFonts w:ascii="Arial" w:hAnsi="Arial" w:cs="Arial"/>
            <w:b/>
            <w:bCs/>
            <w:sz w:val="22"/>
          </w:rPr>
          <w:t>4</w:t>
        </w:r>
        <w:r w:rsidR="0008176D">
          <w:rPr>
            <w:rFonts w:ascii="Arial" w:hAnsi="Arial" w:cs="Arial"/>
            <w:b/>
            <w:bCs/>
            <w:sz w:val="22"/>
          </w:rPr>
          <w:t>1</w:t>
        </w:r>
      </w:sdtContent>
    </w:sdt>
  </w:p>
  <w:p w14:paraId="5B81C7C6" w14:textId="77777777" w:rsidR="00D479EB" w:rsidRPr="003B2976" w:rsidRDefault="00D479EB"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 xml:space="preserve">Valuation Terms of Service &amp; </w:t>
    </w:r>
    <w:proofErr w:type="spellStart"/>
    <w:r w:rsidRPr="003B2976">
      <w:rPr>
        <w:rFonts w:asciiTheme="majorHAnsi" w:hAnsiTheme="majorHAnsi"/>
        <w:b/>
        <w:color w:val="5B9BD5" w:themeColor="accent1"/>
        <w:sz w:val="16"/>
      </w:rPr>
      <w:t>Valuer’s</w:t>
    </w:r>
    <w:proofErr w:type="spellEnd"/>
    <w:r w:rsidRPr="003B2976">
      <w:rPr>
        <w:rFonts w:asciiTheme="majorHAnsi" w:hAnsiTheme="majorHAnsi"/>
        <w:b/>
        <w:color w:val="5B9BD5" w:themeColor="accent1"/>
        <w:sz w:val="16"/>
      </w:rPr>
      <w:t xml:space="preserve"> Important Remarks are available </w:t>
    </w:r>
  </w:p>
  <w:p w14:paraId="3B2A3FB3" w14:textId="2C8BEB48" w:rsidR="00D479EB" w:rsidRPr="003B2976" w:rsidRDefault="00D479EB"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proofErr w:type="gramStart"/>
    <w:r w:rsidRPr="003B2976">
      <w:rPr>
        <w:rFonts w:asciiTheme="majorHAnsi" w:hAnsiTheme="majorHAnsi"/>
        <w:b/>
        <w:color w:val="5B9BD5" w:themeColor="accent1"/>
        <w:sz w:val="16"/>
      </w:rPr>
      <w:t>at</w:t>
    </w:r>
    <w:proofErr w:type="gramEnd"/>
    <w:r w:rsidRPr="003B2976">
      <w:rPr>
        <w:rFonts w:asciiTheme="majorHAnsi" w:hAnsiTheme="majorHAnsi"/>
        <w:b/>
        <w:color w:val="5B9BD5" w:themeColor="accent1"/>
        <w:sz w:val="16"/>
      </w:rPr>
      <w:t xml:space="preserve"> www.rkassociates.org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3520" w14:textId="77777777" w:rsidR="00D479EB" w:rsidRDefault="00D479EB" w:rsidP="00E11206"/>
  <w:p w14:paraId="4286C0ED" w14:textId="77777777" w:rsidR="00D479EB" w:rsidRPr="00FA178B" w:rsidRDefault="00D479EB"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F11AD" w14:textId="77777777" w:rsidR="00D479EB" w:rsidRDefault="00D479EB" w:rsidP="0008705A">
      <w:pPr>
        <w:spacing w:after="0" w:line="240" w:lineRule="auto"/>
      </w:pPr>
      <w:r>
        <w:separator/>
      </w:r>
    </w:p>
  </w:footnote>
  <w:footnote w:type="continuationSeparator" w:id="0">
    <w:p w14:paraId="45AAF903" w14:textId="77777777" w:rsidR="00D479EB" w:rsidRDefault="00D479EB"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F0D8" w14:textId="5E64561C" w:rsidR="00D479EB" w:rsidRDefault="00D44AC2">
    <w:pPr>
      <w:pStyle w:val="Header"/>
    </w:pPr>
    <w:r>
      <w:rPr>
        <w:noProof/>
      </w:rPr>
      <w:pict w14:anchorId="4A486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11407" o:spid="_x0000_s1026" type="#_x0000_t75" style="position:absolute;margin-left:0;margin-top:0;width:473.7pt;height:151.6pt;z-index:-251655680;mso-position-horizontal:center;mso-position-horizontal-relative:margin;mso-position-vertical:center;mso-position-vertical-relative:margin" o:allowincell="f">
          <v:imagedata r:id="rId1" o:title="FINAL RK ASSOCIATE VALUERS NEW LOGO FOR FILES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E2E6" w14:textId="41E02D8C" w:rsidR="00D479EB" w:rsidRDefault="00D479EB" w:rsidP="00896A5D">
    <w:pPr>
      <w:pStyle w:val="Header"/>
      <w:tabs>
        <w:tab w:val="clear" w:pos="4320"/>
        <w:tab w:val="clear" w:pos="8640"/>
        <w:tab w:val="right" w:pos="9214"/>
      </w:tabs>
      <w:spacing w:after="0"/>
      <w:ind w:right="544"/>
      <w:jc w:val="center"/>
      <w:rPr>
        <w:b/>
        <w:bCs/>
        <w:color w:val="323E4F"/>
        <w:sz w:val="28"/>
        <w:szCs w:val="28"/>
      </w:rPr>
    </w:pPr>
    <w:r>
      <w:rPr>
        <w:rFonts w:asciiTheme="minorHAnsi" w:hAnsiTheme="minorHAnsi" w:cstheme="minorHAnsi"/>
        <w:b/>
        <w:bCs/>
        <w:noProof/>
        <w:color w:val="5B9BD5" w:themeColor="accent1"/>
        <w:sz w:val="22"/>
        <w:lang w:val="en-IN" w:eastAsia="en-IN"/>
      </w:rPr>
      <w:drawing>
        <wp:anchor distT="0" distB="0" distL="114300" distR="114300" simplePos="0" relativeHeight="251653632" behindDoc="1" locked="0" layoutInCell="1" allowOverlap="1" wp14:anchorId="10706928" wp14:editId="23E0BEC8">
          <wp:simplePos x="0" y="0"/>
          <wp:positionH relativeFrom="column">
            <wp:posOffset>4617085</wp:posOffset>
          </wp:positionH>
          <wp:positionV relativeFrom="paragraph">
            <wp:posOffset>-44450</wp:posOffset>
          </wp:positionV>
          <wp:extent cx="1714500" cy="609600"/>
          <wp:effectExtent l="0" t="0" r="0" b="0"/>
          <wp:wrapTight wrapText="bothSides">
            <wp:wrapPolygon edited="0">
              <wp:start x="0" y="0"/>
              <wp:lineTo x="0" y="20925"/>
              <wp:lineTo x="21360" y="20925"/>
              <wp:lineTo x="21360" y="0"/>
              <wp:lineTo x="0" y="0"/>
            </wp:wrapPolygon>
          </wp:wrapTight>
          <wp:docPr id="241443831" name="Picture 24144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24707" name="Picture 1734824707"/>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Pr>
        <w:noProof/>
        <w:lang w:val="en-IN" w:eastAsia="en-IN"/>
      </w:rPr>
      <w:drawing>
        <wp:anchor distT="0" distB="0" distL="114300" distR="114300" simplePos="0" relativeHeight="251666944" behindDoc="1" locked="0" layoutInCell="1" allowOverlap="1" wp14:anchorId="7D25C0E0" wp14:editId="6658D36A">
          <wp:simplePos x="0" y="0"/>
          <wp:positionH relativeFrom="column">
            <wp:posOffset>-447675</wp:posOffset>
          </wp:positionH>
          <wp:positionV relativeFrom="paragraph">
            <wp:posOffset>-140335</wp:posOffset>
          </wp:positionV>
          <wp:extent cx="1276350" cy="775970"/>
          <wp:effectExtent l="0" t="0" r="0" b="5080"/>
          <wp:wrapTight wrapText="bothSides">
            <wp:wrapPolygon edited="0">
              <wp:start x="0" y="0"/>
              <wp:lineTo x="0" y="21211"/>
              <wp:lineTo x="21278" y="21211"/>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AC2">
      <w:rPr>
        <w:rFonts w:asciiTheme="minorHAnsi" w:hAnsiTheme="minorHAnsi" w:cstheme="minorHAnsi"/>
        <w:b/>
        <w:bCs/>
        <w:noProof/>
        <w:color w:val="5B9BD5" w:themeColor="accent1"/>
        <w:sz w:val="22"/>
      </w:rPr>
      <w:pict w14:anchorId="59A2F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11408" o:spid="_x0000_s1027" type="#_x0000_t75" style="position:absolute;left:0;text-align:left;margin-left:0;margin-top:0;width:473.7pt;height:151.6pt;z-index:-251654656;mso-position-horizontal:center;mso-position-horizontal-relative:margin;mso-position-vertical:center;mso-position-vertical-relative:margin" o:allowincell="f">
          <v:imagedata r:id="rId3" o:title="FINAL RK ASSOCIATE VALUERS NEW LOGO FOR FILES (1)" gain="19661f" blacklevel="22938f"/>
          <w10:wrap anchorx="margin" anchory="margin"/>
        </v:shape>
      </w:pict>
    </w:r>
    <w:r>
      <w:rPr>
        <w:b/>
        <w:bCs/>
        <w:color w:val="323E4F"/>
        <w:sz w:val="28"/>
        <w:szCs w:val="28"/>
      </w:rPr>
      <w:t>ENTERPRISE VALUATION REPORT</w:t>
    </w:r>
  </w:p>
  <w:p w14:paraId="36C4CE11" w14:textId="30E3DF3F" w:rsidR="00D479EB" w:rsidRPr="00B80526" w:rsidRDefault="00D479EB" w:rsidP="00896A5D">
    <w:pPr>
      <w:ind w:left="-142" w:right="403"/>
      <w:jc w:val="center"/>
      <w:outlineLvl w:val="0"/>
      <w:rPr>
        <w:rFonts w:asciiTheme="minorHAnsi" w:hAnsiTheme="minorHAnsi" w:cstheme="minorHAnsi"/>
        <w:b/>
        <w:bCs/>
        <w:color w:val="5B9BD5" w:themeColor="accent1"/>
        <w:sz w:val="28"/>
        <w:szCs w:val="32"/>
      </w:rPr>
    </w:pPr>
    <w:r w:rsidRPr="00B80526">
      <w:rPr>
        <w:rFonts w:asciiTheme="minorHAnsi" w:hAnsiTheme="minorHAnsi" w:cstheme="minorHAnsi"/>
        <w:b/>
        <w:bCs/>
        <w:color w:val="5B9BD5" w:themeColor="accent1"/>
        <w:szCs w:val="28"/>
      </w:rPr>
      <w:t xml:space="preserve">M/S </w:t>
    </w:r>
    <w:r w:rsidRPr="00B80526">
      <w:rPr>
        <w:rFonts w:asciiTheme="minorHAnsi" w:hAnsiTheme="minorHAnsi" w:cstheme="minorHAnsi"/>
        <w:b/>
        <w:bCs/>
        <w:color w:val="5B9BD5" w:themeColor="accent1"/>
        <w:szCs w:val="28"/>
        <w:lang w:val="en-IN"/>
      </w:rPr>
      <w:t>GTL INFRASTRUCTURE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9B3380"/>
    <w:multiLevelType w:val="hybridMultilevel"/>
    <w:tmpl w:val="DFA08EB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0F0E50EC"/>
    <w:multiLevelType w:val="multilevel"/>
    <w:tmpl w:val="5FD8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A7B05"/>
    <w:multiLevelType w:val="multilevel"/>
    <w:tmpl w:val="6EAA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A35EB"/>
    <w:multiLevelType w:val="hybridMultilevel"/>
    <w:tmpl w:val="595EFC5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052EC4"/>
    <w:multiLevelType w:val="multilevel"/>
    <w:tmpl w:val="B9F2ED0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73E74"/>
    <w:multiLevelType w:val="multilevel"/>
    <w:tmpl w:val="191EF302"/>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0"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D55738"/>
    <w:multiLevelType w:val="hybridMultilevel"/>
    <w:tmpl w:val="09FA1F7E"/>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4"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46294694"/>
    <w:multiLevelType w:val="hybridMultilevel"/>
    <w:tmpl w:val="9CDE9D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0289C"/>
    <w:multiLevelType w:val="hybridMultilevel"/>
    <w:tmpl w:val="DB865762"/>
    <w:lvl w:ilvl="0" w:tplc="40090001">
      <w:start w:val="1"/>
      <w:numFmt w:val="bullet"/>
      <w:lvlText w:val=""/>
      <w:lvlJc w:val="left"/>
      <w:pPr>
        <w:ind w:left="1350" w:hanging="360"/>
      </w:pPr>
      <w:rPr>
        <w:rFonts w:ascii="Symbol" w:hAnsi="Symbol" w:hint="default"/>
        <w:b w:val="0"/>
        <w:bCs w:val="0"/>
        <w:i w:val="0"/>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20"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1" w15:restartNumberingAfterBreak="0">
    <w:nsid w:val="59195CA6"/>
    <w:multiLevelType w:val="hybridMultilevel"/>
    <w:tmpl w:val="91DAE7F6"/>
    <w:lvl w:ilvl="0" w:tplc="8662D19E">
      <w:start w:val="1"/>
      <w:numFmt w:val="lowerLetter"/>
      <w:lvlText w:val="%1)"/>
      <w:lvlJc w:val="left"/>
      <w:pPr>
        <w:ind w:left="1440" w:hanging="360"/>
      </w:pPr>
      <w:rPr>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6075451F"/>
    <w:multiLevelType w:val="hybridMultilevel"/>
    <w:tmpl w:val="5AD29844"/>
    <w:lvl w:ilvl="0" w:tplc="05A25FB0">
      <w:start w:val="1"/>
      <w:numFmt w:val="decimal"/>
      <w:lvlText w:val="%1."/>
      <w:lvlJc w:val="left"/>
      <w:pPr>
        <w:ind w:left="720" w:hanging="360"/>
      </w:pPr>
      <w:rPr>
        <w:rFonts w:ascii="Arial" w:hAnsi="Arial" w:cs="Arial" w:hint="default"/>
        <w:b/>
        <w:bCs w:val="0"/>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23A1EED"/>
    <w:multiLevelType w:val="multilevel"/>
    <w:tmpl w:val="61E86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6" w15:restartNumberingAfterBreak="0">
    <w:nsid w:val="65EC4CF4"/>
    <w:multiLevelType w:val="hybridMultilevel"/>
    <w:tmpl w:val="16A8728C"/>
    <w:lvl w:ilvl="0" w:tplc="D79E6858">
      <w:start w:val="1"/>
      <w:numFmt w:val="decimal"/>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E5213"/>
    <w:multiLevelType w:val="hybridMultilevel"/>
    <w:tmpl w:val="B60EE58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9" w15:restartNumberingAfterBreak="0">
    <w:nsid w:val="6F0D0878"/>
    <w:multiLevelType w:val="hybridMultilevel"/>
    <w:tmpl w:val="3F588B78"/>
    <w:lvl w:ilvl="0" w:tplc="EB884772">
      <w:start w:val="1"/>
      <w:numFmt w:val="upperLetter"/>
      <w:lvlText w:val="%1."/>
      <w:lvlJc w:val="left"/>
      <w:pPr>
        <w:ind w:left="720" w:hanging="360"/>
      </w:pPr>
      <w:rPr>
        <w:rFonts w:ascii="Arial"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4035E2D"/>
    <w:multiLevelType w:val="hybridMultilevel"/>
    <w:tmpl w:val="1D4AEE10"/>
    <w:lvl w:ilvl="0" w:tplc="5F268FF2">
      <w:start w:val="1"/>
      <w:numFmt w:val="decimal"/>
      <w:lvlText w:val="%1."/>
      <w:lvlJc w:val="left"/>
      <w:pPr>
        <w:ind w:left="1287" w:hanging="360"/>
      </w:pPr>
      <w:rPr>
        <w:b/>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2"/>
  </w:num>
  <w:num w:numId="11">
    <w:abstractNumId w:val="26"/>
  </w:num>
  <w:num w:numId="12">
    <w:abstractNumId w:val="9"/>
  </w:num>
  <w:num w:numId="13">
    <w:abstractNumId w:val="15"/>
  </w:num>
  <w:num w:numId="14">
    <w:abstractNumId w:val="1"/>
  </w:num>
  <w:num w:numId="15">
    <w:abstractNumId w:val="24"/>
  </w:num>
  <w:num w:numId="16">
    <w:abstractNumId w:val="30"/>
  </w:num>
  <w:num w:numId="17">
    <w:abstractNumId w:val="5"/>
  </w:num>
  <w:num w:numId="18">
    <w:abstractNumId w:val="2"/>
  </w:num>
  <w:num w:numId="19">
    <w:abstractNumId w:val="18"/>
  </w:num>
  <w:num w:numId="20">
    <w:abstractNumId w:val="11"/>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21"/>
  </w:num>
  <w:num w:numId="24">
    <w:abstractNumId w:val="29"/>
  </w:num>
  <w:num w:numId="25">
    <w:abstractNumId w:val="17"/>
  </w:num>
  <w:num w:numId="26">
    <w:abstractNumId w:val="28"/>
  </w:num>
  <w:num w:numId="27">
    <w:abstractNumId w:val="19"/>
  </w:num>
  <w:num w:numId="28">
    <w:abstractNumId w:val="0"/>
  </w:num>
  <w:num w:numId="29">
    <w:abstractNumId w:val="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5"/>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2BDC"/>
    <w:rsid w:val="00011B46"/>
    <w:rsid w:val="000121C3"/>
    <w:rsid w:val="0001306E"/>
    <w:rsid w:val="0001312F"/>
    <w:rsid w:val="00014557"/>
    <w:rsid w:val="00016633"/>
    <w:rsid w:val="00017A22"/>
    <w:rsid w:val="00017E10"/>
    <w:rsid w:val="000206F8"/>
    <w:rsid w:val="00021C7C"/>
    <w:rsid w:val="00023307"/>
    <w:rsid w:val="00024860"/>
    <w:rsid w:val="00025D26"/>
    <w:rsid w:val="000270C2"/>
    <w:rsid w:val="00031517"/>
    <w:rsid w:val="00035A12"/>
    <w:rsid w:val="00037301"/>
    <w:rsid w:val="00040D41"/>
    <w:rsid w:val="000423CA"/>
    <w:rsid w:val="00046BB4"/>
    <w:rsid w:val="00047820"/>
    <w:rsid w:val="000505EA"/>
    <w:rsid w:val="000537DF"/>
    <w:rsid w:val="00056E6F"/>
    <w:rsid w:val="00064382"/>
    <w:rsid w:val="00064C72"/>
    <w:rsid w:val="00065269"/>
    <w:rsid w:val="00067143"/>
    <w:rsid w:val="000714BC"/>
    <w:rsid w:val="00071909"/>
    <w:rsid w:val="00072CF0"/>
    <w:rsid w:val="00073F52"/>
    <w:rsid w:val="00074B9C"/>
    <w:rsid w:val="000767C3"/>
    <w:rsid w:val="0008176D"/>
    <w:rsid w:val="0008256D"/>
    <w:rsid w:val="00082EA2"/>
    <w:rsid w:val="00085D4D"/>
    <w:rsid w:val="00086E42"/>
    <w:rsid w:val="0008705A"/>
    <w:rsid w:val="00091345"/>
    <w:rsid w:val="000937F1"/>
    <w:rsid w:val="00094AD7"/>
    <w:rsid w:val="00096342"/>
    <w:rsid w:val="000A3482"/>
    <w:rsid w:val="000A49BF"/>
    <w:rsid w:val="000A568F"/>
    <w:rsid w:val="000A606F"/>
    <w:rsid w:val="000A7C4B"/>
    <w:rsid w:val="000B5542"/>
    <w:rsid w:val="000B70D0"/>
    <w:rsid w:val="000C4835"/>
    <w:rsid w:val="000C6DCA"/>
    <w:rsid w:val="000C7C4D"/>
    <w:rsid w:val="000C7DDB"/>
    <w:rsid w:val="000D09AC"/>
    <w:rsid w:val="000D132A"/>
    <w:rsid w:val="000D2FA7"/>
    <w:rsid w:val="000D4C01"/>
    <w:rsid w:val="000D522A"/>
    <w:rsid w:val="000E09D0"/>
    <w:rsid w:val="000E0E36"/>
    <w:rsid w:val="000E3253"/>
    <w:rsid w:val="000F1D46"/>
    <w:rsid w:val="000F429F"/>
    <w:rsid w:val="001119BB"/>
    <w:rsid w:val="00111C9A"/>
    <w:rsid w:val="0011648D"/>
    <w:rsid w:val="0011789F"/>
    <w:rsid w:val="00117947"/>
    <w:rsid w:val="00121EA5"/>
    <w:rsid w:val="0012257E"/>
    <w:rsid w:val="00127568"/>
    <w:rsid w:val="00127D16"/>
    <w:rsid w:val="00130278"/>
    <w:rsid w:val="001318DF"/>
    <w:rsid w:val="00131EA6"/>
    <w:rsid w:val="00131F48"/>
    <w:rsid w:val="00133AD0"/>
    <w:rsid w:val="00133EE7"/>
    <w:rsid w:val="0014047B"/>
    <w:rsid w:val="00144D96"/>
    <w:rsid w:val="00153C63"/>
    <w:rsid w:val="001547DB"/>
    <w:rsid w:val="001558DF"/>
    <w:rsid w:val="00155D16"/>
    <w:rsid w:val="0015603A"/>
    <w:rsid w:val="001623F5"/>
    <w:rsid w:val="00165BEE"/>
    <w:rsid w:val="00166C43"/>
    <w:rsid w:val="00167D86"/>
    <w:rsid w:val="00170605"/>
    <w:rsid w:val="0017125D"/>
    <w:rsid w:val="0017198C"/>
    <w:rsid w:val="001722BA"/>
    <w:rsid w:val="00172AD7"/>
    <w:rsid w:val="00175A7F"/>
    <w:rsid w:val="00182DE2"/>
    <w:rsid w:val="001831A3"/>
    <w:rsid w:val="001918B2"/>
    <w:rsid w:val="00196175"/>
    <w:rsid w:val="001962BA"/>
    <w:rsid w:val="00196C88"/>
    <w:rsid w:val="001A0D9E"/>
    <w:rsid w:val="001A199C"/>
    <w:rsid w:val="001A31BE"/>
    <w:rsid w:val="001A54F2"/>
    <w:rsid w:val="001B1F25"/>
    <w:rsid w:val="001B5D5F"/>
    <w:rsid w:val="001B7937"/>
    <w:rsid w:val="001C2449"/>
    <w:rsid w:val="001C2C97"/>
    <w:rsid w:val="001C311F"/>
    <w:rsid w:val="001C6174"/>
    <w:rsid w:val="001D231F"/>
    <w:rsid w:val="001D273A"/>
    <w:rsid w:val="001D42F3"/>
    <w:rsid w:val="001D775C"/>
    <w:rsid w:val="001E3C34"/>
    <w:rsid w:val="001E3FA1"/>
    <w:rsid w:val="001E4301"/>
    <w:rsid w:val="001E48ED"/>
    <w:rsid w:val="001F07D1"/>
    <w:rsid w:val="001F0F3E"/>
    <w:rsid w:val="001F1620"/>
    <w:rsid w:val="001F2092"/>
    <w:rsid w:val="001F29A0"/>
    <w:rsid w:val="001F6F45"/>
    <w:rsid w:val="001F789D"/>
    <w:rsid w:val="00204AD9"/>
    <w:rsid w:val="00206507"/>
    <w:rsid w:val="00211014"/>
    <w:rsid w:val="002127D5"/>
    <w:rsid w:val="00214EE6"/>
    <w:rsid w:val="00215D2C"/>
    <w:rsid w:val="00215E56"/>
    <w:rsid w:val="00227EA7"/>
    <w:rsid w:val="00227FB1"/>
    <w:rsid w:val="00231047"/>
    <w:rsid w:val="00236AAA"/>
    <w:rsid w:val="00236D5D"/>
    <w:rsid w:val="00240C74"/>
    <w:rsid w:val="002410EC"/>
    <w:rsid w:val="002476B3"/>
    <w:rsid w:val="00256B1C"/>
    <w:rsid w:val="00257E21"/>
    <w:rsid w:val="002615D1"/>
    <w:rsid w:val="00266EB3"/>
    <w:rsid w:val="00272F4B"/>
    <w:rsid w:val="00273F0B"/>
    <w:rsid w:val="00280EB2"/>
    <w:rsid w:val="00284A01"/>
    <w:rsid w:val="002866AE"/>
    <w:rsid w:val="0028702C"/>
    <w:rsid w:val="00292253"/>
    <w:rsid w:val="00293813"/>
    <w:rsid w:val="00294051"/>
    <w:rsid w:val="00294466"/>
    <w:rsid w:val="002A017B"/>
    <w:rsid w:val="002A2972"/>
    <w:rsid w:val="002A57F3"/>
    <w:rsid w:val="002A59EF"/>
    <w:rsid w:val="002A5FBB"/>
    <w:rsid w:val="002B3D64"/>
    <w:rsid w:val="002B5F18"/>
    <w:rsid w:val="002B71AC"/>
    <w:rsid w:val="002C281F"/>
    <w:rsid w:val="002C2F4F"/>
    <w:rsid w:val="002C7230"/>
    <w:rsid w:val="002D1DCA"/>
    <w:rsid w:val="002D2421"/>
    <w:rsid w:val="002D50E1"/>
    <w:rsid w:val="002D50FF"/>
    <w:rsid w:val="002D6607"/>
    <w:rsid w:val="002D6B20"/>
    <w:rsid w:val="002D75DD"/>
    <w:rsid w:val="002D78E4"/>
    <w:rsid w:val="002E108D"/>
    <w:rsid w:val="002E3977"/>
    <w:rsid w:val="002E3FE7"/>
    <w:rsid w:val="002E6330"/>
    <w:rsid w:val="002E6CE9"/>
    <w:rsid w:val="002F043C"/>
    <w:rsid w:val="002F08DE"/>
    <w:rsid w:val="002F2B44"/>
    <w:rsid w:val="002F5739"/>
    <w:rsid w:val="002F6C53"/>
    <w:rsid w:val="0030118F"/>
    <w:rsid w:val="003019A5"/>
    <w:rsid w:val="00303EBE"/>
    <w:rsid w:val="00307264"/>
    <w:rsid w:val="003103E5"/>
    <w:rsid w:val="00310827"/>
    <w:rsid w:val="003164D8"/>
    <w:rsid w:val="003224A5"/>
    <w:rsid w:val="00324A0F"/>
    <w:rsid w:val="00324C76"/>
    <w:rsid w:val="003253AF"/>
    <w:rsid w:val="00325BF3"/>
    <w:rsid w:val="00326FC5"/>
    <w:rsid w:val="003275A8"/>
    <w:rsid w:val="0033123E"/>
    <w:rsid w:val="003346D0"/>
    <w:rsid w:val="00337039"/>
    <w:rsid w:val="00341200"/>
    <w:rsid w:val="00343705"/>
    <w:rsid w:val="00345D47"/>
    <w:rsid w:val="00351831"/>
    <w:rsid w:val="00352051"/>
    <w:rsid w:val="003525CC"/>
    <w:rsid w:val="0035360D"/>
    <w:rsid w:val="00354C63"/>
    <w:rsid w:val="00356065"/>
    <w:rsid w:val="00357EB0"/>
    <w:rsid w:val="003621C9"/>
    <w:rsid w:val="00371222"/>
    <w:rsid w:val="003730DC"/>
    <w:rsid w:val="00375608"/>
    <w:rsid w:val="00382745"/>
    <w:rsid w:val="003854CE"/>
    <w:rsid w:val="00385A5E"/>
    <w:rsid w:val="00385DA1"/>
    <w:rsid w:val="0039670B"/>
    <w:rsid w:val="0039694A"/>
    <w:rsid w:val="003B00F6"/>
    <w:rsid w:val="003B2976"/>
    <w:rsid w:val="003B6C3C"/>
    <w:rsid w:val="003D057C"/>
    <w:rsid w:val="003D08D8"/>
    <w:rsid w:val="003D1022"/>
    <w:rsid w:val="003D47C7"/>
    <w:rsid w:val="003D7470"/>
    <w:rsid w:val="003D79F7"/>
    <w:rsid w:val="003E0015"/>
    <w:rsid w:val="003E0737"/>
    <w:rsid w:val="003E0C6A"/>
    <w:rsid w:val="003E1741"/>
    <w:rsid w:val="003E6070"/>
    <w:rsid w:val="003F2631"/>
    <w:rsid w:val="003F38C9"/>
    <w:rsid w:val="003F56A9"/>
    <w:rsid w:val="0041248F"/>
    <w:rsid w:val="00414970"/>
    <w:rsid w:val="004149CC"/>
    <w:rsid w:val="00421CAE"/>
    <w:rsid w:val="00422150"/>
    <w:rsid w:val="00423A30"/>
    <w:rsid w:val="00427A83"/>
    <w:rsid w:val="00430973"/>
    <w:rsid w:val="004338D0"/>
    <w:rsid w:val="00433F20"/>
    <w:rsid w:val="00436865"/>
    <w:rsid w:val="00436C0C"/>
    <w:rsid w:val="00441515"/>
    <w:rsid w:val="00441E57"/>
    <w:rsid w:val="00443BE2"/>
    <w:rsid w:val="0044405B"/>
    <w:rsid w:val="0044552B"/>
    <w:rsid w:val="00445EE1"/>
    <w:rsid w:val="004477CB"/>
    <w:rsid w:val="00450055"/>
    <w:rsid w:val="004529A4"/>
    <w:rsid w:val="00457260"/>
    <w:rsid w:val="00457677"/>
    <w:rsid w:val="004610DE"/>
    <w:rsid w:val="00462890"/>
    <w:rsid w:val="00465D6E"/>
    <w:rsid w:val="00466695"/>
    <w:rsid w:val="00467421"/>
    <w:rsid w:val="00471D9F"/>
    <w:rsid w:val="00475B30"/>
    <w:rsid w:val="00476CBA"/>
    <w:rsid w:val="004777BD"/>
    <w:rsid w:val="004902D0"/>
    <w:rsid w:val="00493142"/>
    <w:rsid w:val="00494F1E"/>
    <w:rsid w:val="00496100"/>
    <w:rsid w:val="00497667"/>
    <w:rsid w:val="004A056B"/>
    <w:rsid w:val="004A297B"/>
    <w:rsid w:val="004A3A15"/>
    <w:rsid w:val="004A3D6F"/>
    <w:rsid w:val="004A4BAF"/>
    <w:rsid w:val="004A7122"/>
    <w:rsid w:val="004B09F8"/>
    <w:rsid w:val="004B1CA8"/>
    <w:rsid w:val="004B1CE5"/>
    <w:rsid w:val="004B41BC"/>
    <w:rsid w:val="004B5B00"/>
    <w:rsid w:val="004B6AC4"/>
    <w:rsid w:val="004C12E2"/>
    <w:rsid w:val="004C1C3E"/>
    <w:rsid w:val="004C5218"/>
    <w:rsid w:val="004C577F"/>
    <w:rsid w:val="004C5E48"/>
    <w:rsid w:val="004C6C87"/>
    <w:rsid w:val="004D0818"/>
    <w:rsid w:val="004D1F65"/>
    <w:rsid w:val="004D37A3"/>
    <w:rsid w:val="004D3A11"/>
    <w:rsid w:val="004E1D2D"/>
    <w:rsid w:val="004E3514"/>
    <w:rsid w:val="004F2225"/>
    <w:rsid w:val="004F44A2"/>
    <w:rsid w:val="004F5162"/>
    <w:rsid w:val="004F69CA"/>
    <w:rsid w:val="004F6D27"/>
    <w:rsid w:val="004F7609"/>
    <w:rsid w:val="0050675C"/>
    <w:rsid w:val="00506FCA"/>
    <w:rsid w:val="00510B86"/>
    <w:rsid w:val="005133EB"/>
    <w:rsid w:val="00516101"/>
    <w:rsid w:val="005206F6"/>
    <w:rsid w:val="0052160F"/>
    <w:rsid w:val="005218AC"/>
    <w:rsid w:val="0052268F"/>
    <w:rsid w:val="00526720"/>
    <w:rsid w:val="005273E5"/>
    <w:rsid w:val="00530E97"/>
    <w:rsid w:val="00531C6A"/>
    <w:rsid w:val="00536848"/>
    <w:rsid w:val="005374EE"/>
    <w:rsid w:val="005379B4"/>
    <w:rsid w:val="005379F1"/>
    <w:rsid w:val="0054075C"/>
    <w:rsid w:val="00541218"/>
    <w:rsid w:val="005430BF"/>
    <w:rsid w:val="0054404E"/>
    <w:rsid w:val="005444D2"/>
    <w:rsid w:val="00544D69"/>
    <w:rsid w:val="00547776"/>
    <w:rsid w:val="0055190B"/>
    <w:rsid w:val="005533D7"/>
    <w:rsid w:val="005602ED"/>
    <w:rsid w:val="00561B04"/>
    <w:rsid w:val="00565CF6"/>
    <w:rsid w:val="00566600"/>
    <w:rsid w:val="00567E63"/>
    <w:rsid w:val="005709A1"/>
    <w:rsid w:val="00571C7C"/>
    <w:rsid w:val="00586F47"/>
    <w:rsid w:val="005A0C93"/>
    <w:rsid w:val="005A17BE"/>
    <w:rsid w:val="005A383B"/>
    <w:rsid w:val="005A7A3D"/>
    <w:rsid w:val="005A7B64"/>
    <w:rsid w:val="005B299A"/>
    <w:rsid w:val="005B29B8"/>
    <w:rsid w:val="005B2DF4"/>
    <w:rsid w:val="005B394B"/>
    <w:rsid w:val="005B6911"/>
    <w:rsid w:val="005B69A9"/>
    <w:rsid w:val="005B7B7A"/>
    <w:rsid w:val="005C6FC8"/>
    <w:rsid w:val="005D22A9"/>
    <w:rsid w:val="005D3BD2"/>
    <w:rsid w:val="005E1E4E"/>
    <w:rsid w:val="005E46F0"/>
    <w:rsid w:val="005E4CBA"/>
    <w:rsid w:val="005E705B"/>
    <w:rsid w:val="005F0329"/>
    <w:rsid w:val="005F0E5D"/>
    <w:rsid w:val="005F3F74"/>
    <w:rsid w:val="005F51C1"/>
    <w:rsid w:val="005F5482"/>
    <w:rsid w:val="00600E0E"/>
    <w:rsid w:val="006018DB"/>
    <w:rsid w:val="006024CB"/>
    <w:rsid w:val="00603359"/>
    <w:rsid w:val="0060739C"/>
    <w:rsid w:val="00610BB4"/>
    <w:rsid w:val="00612077"/>
    <w:rsid w:val="00612CEC"/>
    <w:rsid w:val="00614C85"/>
    <w:rsid w:val="00621E9B"/>
    <w:rsid w:val="006239BC"/>
    <w:rsid w:val="00623DF4"/>
    <w:rsid w:val="006268A7"/>
    <w:rsid w:val="00627755"/>
    <w:rsid w:val="00630971"/>
    <w:rsid w:val="006318D7"/>
    <w:rsid w:val="006330DF"/>
    <w:rsid w:val="0064028E"/>
    <w:rsid w:val="006412FD"/>
    <w:rsid w:val="00642C30"/>
    <w:rsid w:val="00644343"/>
    <w:rsid w:val="0064614C"/>
    <w:rsid w:val="00655E10"/>
    <w:rsid w:val="006649D2"/>
    <w:rsid w:val="0066656D"/>
    <w:rsid w:val="00667233"/>
    <w:rsid w:val="0067033C"/>
    <w:rsid w:val="00674164"/>
    <w:rsid w:val="006748F8"/>
    <w:rsid w:val="00674927"/>
    <w:rsid w:val="00680897"/>
    <w:rsid w:val="006811C0"/>
    <w:rsid w:val="006839F1"/>
    <w:rsid w:val="00694C30"/>
    <w:rsid w:val="00694E39"/>
    <w:rsid w:val="00696066"/>
    <w:rsid w:val="006A06B3"/>
    <w:rsid w:val="006A0EB3"/>
    <w:rsid w:val="006A17AA"/>
    <w:rsid w:val="006A29FD"/>
    <w:rsid w:val="006A4F2B"/>
    <w:rsid w:val="006A6B21"/>
    <w:rsid w:val="006B14CD"/>
    <w:rsid w:val="006B2CB8"/>
    <w:rsid w:val="006B32F1"/>
    <w:rsid w:val="006B5958"/>
    <w:rsid w:val="006C2643"/>
    <w:rsid w:val="006C45BF"/>
    <w:rsid w:val="006C54D7"/>
    <w:rsid w:val="006C5741"/>
    <w:rsid w:val="006C6D57"/>
    <w:rsid w:val="006C72F0"/>
    <w:rsid w:val="006D259A"/>
    <w:rsid w:val="006D2696"/>
    <w:rsid w:val="006E0CEE"/>
    <w:rsid w:val="006E189F"/>
    <w:rsid w:val="006E232E"/>
    <w:rsid w:val="006E372C"/>
    <w:rsid w:val="006E7E3E"/>
    <w:rsid w:val="006F1365"/>
    <w:rsid w:val="006F55F5"/>
    <w:rsid w:val="006F56C4"/>
    <w:rsid w:val="006F69D3"/>
    <w:rsid w:val="00702E37"/>
    <w:rsid w:val="00704FC3"/>
    <w:rsid w:val="00705B0C"/>
    <w:rsid w:val="00706F60"/>
    <w:rsid w:val="00710636"/>
    <w:rsid w:val="007108CC"/>
    <w:rsid w:val="00710B99"/>
    <w:rsid w:val="007126CD"/>
    <w:rsid w:val="0071467B"/>
    <w:rsid w:val="00723DCD"/>
    <w:rsid w:val="007254FE"/>
    <w:rsid w:val="00734E09"/>
    <w:rsid w:val="0073633F"/>
    <w:rsid w:val="007427F1"/>
    <w:rsid w:val="00743376"/>
    <w:rsid w:val="00747B31"/>
    <w:rsid w:val="00747FA2"/>
    <w:rsid w:val="00751B50"/>
    <w:rsid w:val="00751C6D"/>
    <w:rsid w:val="00757C92"/>
    <w:rsid w:val="007608C1"/>
    <w:rsid w:val="00763A3E"/>
    <w:rsid w:val="00763E34"/>
    <w:rsid w:val="00771D02"/>
    <w:rsid w:val="00780ABC"/>
    <w:rsid w:val="0078174E"/>
    <w:rsid w:val="00782165"/>
    <w:rsid w:val="00784690"/>
    <w:rsid w:val="00784DF7"/>
    <w:rsid w:val="007852A6"/>
    <w:rsid w:val="00790DAF"/>
    <w:rsid w:val="00791448"/>
    <w:rsid w:val="00791AC8"/>
    <w:rsid w:val="007943B7"/>
    <w:rsid w:val="0079596E"/>
    <w:rsid w:val="007A2C7A"/>
    <w:rsid w:val="007A3712"/>
    <w:rsid w:val="007A43B8"/>
    <w:rsid w:val="007A445E"/>
    <w:rsid w:val="007A56DD"/>
    <w:rsid w:val="007B2BC3"/>
    <w:rsid w:val="007B49D4"/>
    <w:rsid w:val="007B6B6F"/>
    <w:rsid w:val="007C397A"/>
    <w:rsid w:val="007C4F0D"/>
    <w:rsid w:val="007C5198"/>
    <w:rsid w:val="007D5A70"/>
    <w:rsid w:val="007D6460"/>
    <w:rsid w:val="007E014F"/>
    <w:rsid w:val="007E556B"/>
    <w:rsid w:val="007F0A6B"/>
    <w:rsid w:val="007F4165"/>
    <w:rsid w:val="007F4216"/>
    <w:rsid w:val="007F48CC"/>
    <w:rsid w:val="007F4F02"/>
    <w:rsid w:val="007F519D"/>
    <w:rsid w:val="007F751F"/>
    <w:rsid w:val="007F78A5"/>
    <w:rsid w:val="00800092"/>
    <w:rsid w:val="00806981"/>
    <w:rsid w:val="008119A7"/>
    <w:rsid w:val="008158F6"/>
    <w:rsid w:val="00821305"/>
    <w:rsid w:val="008213CF"/>
    <w:rsid w:val="00826884"/>
    <w:rsid w:val="00826EDC"/>
    <w:rsid w:val="00831EEF"/>
    <w:rsid w:val="00832E93"/>
    <w:rsid w:val="008342A7"/>
    <w:rsid w:val="008351BA"/>
    <w:rsid w:val="0083631B"/>
    <w:rsid w:val="00836D22"/>
    <w:rsid w:val="00851108"/>
    <w:rsid w:val="00852385"/>
    <w:rsid w:val="0085415D"/>
    <w:rsid w:val="00864802"/>
    <w:rsid w:val="00865B69"/>
    <w:rsid w:val="0086686D"/>
    <w:rsid w:val="0087294A"/>
    <w:rsid w:val="00872CAE"/>
    <w:rsid w:val="008732CB"/>
    <w:rsid w:val="008738B6"/>
    <w:rsid w:val="00884DF8"/>
    <w:rsid w:val="0088573E"/>
    <w:rsid w:val="008876E1"/>
    <w:rsid w:val="008878B9"/>
    <w:rsid w:val="0088798B"/>
    <w:rsid w:val="008936B5"/>
    <w:rsid w:val="00894F25"/>
    <w:rsid w:val="00896433"/>
    <w:rsid w:val="00896A5D"/>
    <w:rsid w:val="008A7483"/>
    <w:rsid w:val="008B0CF5"/>
    <w:rsid w:val="008B0FF5"/>
    <w:rsid w:val="008B10A3"/>
    <w:rsid w:val="008B4AC7"/>
    <w:rsid w:val="008B6CBE"/>
    <w:rsid w:val="008B6E42"/>
    <w:rsid w:val="008B71D2"/>
    <w:rsid w:val="008B728C"/>
    <w:rsid w:val="008C2066"/>
    <w:rsid w:val="008C725A"/>
    <w:rsid w:val="008C7C45"/>
    <w:rsid w:val="008D0809"/>
    <w:rsid w:val="008D19AA"/>
    <w:rsid w:val="008D22E4"/>
    <w:rsid w:val="008D271E"/>
    <w:rsid w:val="008D2829"/>
    <w:rsid w:val="008D4BAE"/>
    <w:rsid w:val="008D6CFE"/>
    <w:rsid w:val="008E1BCD"/>
    <w:rsid w:val="008E28EB"/>
    <w:rsid w:val="008E2C3D"/>
    <w:rsid w:val="008F05EA"/>
    <w:rsid w:val="008F1380"/>
    <w:rsid w:val="008F14E2"/>
    <w:rsid w:val="008F3100"/>
    <w:rsid w:val="008F7772"/>
    <w:rsid w:val="00901C48"/>
    <w:rsid w:val="00910DB6"/>
    <w:rsid w:val="00911831"/>
    <w:rsid w:val="00911BA4"/>
    <w:rsid w:val="009131D5"/>
    <w:rsid w:val="0091718E"/>
    <w:rsid w:val="00917924"/>
    <w:rsid w:val="0092069A"/>
    <w:rsid w:val="00921D89"/>
    <w:rsid w:val="0092566B"/>
    <w:rsid w:val="00934CF4"/>
    <w:rsid w:val="00935B81"/>
    <w:rsid w:val="00940345"/>
    <w:rsid w:val="00944DAD"/>
    <w:rsid w:val="009467C3"/>
    <w:rsid w:val="00951BB1"/>
    <w:rsid w:val="0095219C"/>
    <w:rsid w:val="00952B88"/>
    <w:rsid w:val="00953B80"/>
    <w:rsid w:val="0095612A"/>
    <w:rsid w:val="00962EFF"/>
    <w:rsid w:val="009655AB"/>
    <w:rsid w:val="00967974"/>
    <w:rsid w:val="00970A56"/>
    <w:rsid w:val="00970EF7"/>
    <w:rsid w:val="0098039F"/>
    <w:rsid w:val="00981D5E"/>
    <w:rsid w:val="009824A9"/>
    <w:rsid w:val="00982F67"/>
    <w:rsid w:val="00984B5A"/>
    <w:rsid w:val="00994CC2"/>
    <w:rsid w:val="00995939"/>
    <w:rsid w:val="00996E29"/>
    <w:rsid w:val="009A0131"/>
    <w:rsid w:val="009A1E3C"/>
    <w:rsid w:val="009A48EC"/>
    <w:rsid w:val="009A52BF"/>
    <w:rsid w:val="009A7697"/>
    <w:rsid w:val="009B11B1"/>
    <w:rsid w:val="009B4D02"/>
    <w:rsid w:val="009B66E9"/>
    <w:rsid w:val="009C4C28"/>
    <w:rsid w:val="009C4D09"/>
    <w:rsid w:val="009C718D"/>
    <w:rsid w:val="009D06A4"/>
    <w:rsid w:val="009D1050"/>
    <w:rsid w:val="009D2985"/>
    <w:rsid w:val="009D2B05"/>
    <w:rsid w:val="009D3C96"/>
    <w:rsid w:val="009E1297"/>
    <w:rsid w:val="009E1419"/>
    <w:rsid w:val="009E26B2"/>
    <w:rsid w:val="009E31FE"/>
    <w:rsid w:val="009E5D95"/>
    <w:rsid w:val="009E66D3"/>
    <w:rsid w:val="009E7DBA"/>
    <w:rsid w:val="00A075FD"/>
    <w:rsid w:val="00A11134"/>
    <w:rsid w:val="00A12D54"/>
    <w:rsid w:val="00A158FF"/>
    <w:rsid w:val="00A226D6"/>
    <w:rsid w:val="00A25A98"/>
    <w:rsid w:val="00A25BAC"/>
    <w:rsid w:val="00A26FCA"/>
    <w:rsid w:val="00A27577"/>
    <w:rsid w:val="00A307BC"/>
    <w:rsid w:val="00A36BF8"/>
    <w:rsid w:val="00A421DD"/>
    <w:rsid w:val="00A44F0E"/>
    <w:rsid w:val="00A46EFF"/>
    <w:rsid w:val="00A46F50"/>
    <w:rsid w:val="00A47A3D"/>
    <w:rsid w:val="00A50013"/>
    <w:rsid w:val="00A50B3D"/>
    <w:rsid w:val="00A5218D"/>
    <w:rsid w:val="00A54807"/>
    <w:rsid w:val="00A54C83"/>
    <w:rsid w:val="00A628F1"/>
    <w:rsid w:val="00A63C06"/>
    <w:rsid w:val="00A72202"/>
    <w:rsid w:val="00A74187"/>
    <w:rsid w:val="00A743B1"/>
    <w:rsid w:val="00A75D8C"/>
    <w:rsid w:val="00A80042"/>
    <w:rsid w:val="00A82E93"/>
    <w:rsid w:val="00A83288"/>
    <w:rsid w:val="00A8417C"/>
    <w:rsid w:val="00A84DA0"/>
    <w:rsid w:val="00A87799"/>
    <w:rsid w:val="00A90948"/>
    <w:rsid w:val="00A90C13"/>
    <w:rsid w:val="00A936D6"/>
    <w:rsid w:val="00A93A9D"/>
    <w:rsid w:val="00AA7461"/>
    <w:rsid w:val="00AB102C"/>
    <w:rsid w:val="00AB159D"/>
    <w:rsid w:val="00AB3D28"/>
    <w:rsid w:val="00AC53AC"/>
    <w:rsid w:val="00AC54E9"/>
    <w:rsid w:val="00AD0407"/>
    <w:rsid w:val="00AD0545"/>
    <w:rsid w:val="00AD5104"/>
    <w:rsid w:val="00AD676D"/>
    <w:rsid w:val="00AD6FC3"/>
    <w:rsid w:val="00AE0C66"/>
    <w:rsid w:val="00AE0C69"/>
    <w:rsid w:val="00AE317A"/>
    <w:rsid w:val="00AE5547"/>
    <w:rsid w:val="00AF250E"/>
    <w:rsid w:val="00AF2F35"/>
    <w:rsid w:val="00AF40E5"/>
    <w:rsid w:val="00AF6342"/>
    <w:rsid w:val="00AF68CD"/>
    <w:rsid w:val="00B009C5"/>
    <w:rsid w:val="00B07001"/>
    <w:rsid w:val="00B071A7"/>
    <w:rsid w:val="00B10BCF"/>
    <w:rsid w:val="00B10C9C"/>
    <w:rsid w:val="00B140EE"/>
    <w:rsid w:val="00B142BC"/>
    <w:rsid w:val="00B14DD7"/>
    <w:rsid w:val="00B24954"/>
    <w:rsid w:val="00B2612F"/>
    <w:rsid w:val="00B3033F"/>
    <w:rsid w:val="00B30377"/>
    <w:rsid w:val="00B30AA8"/>
    <w:rsid w:val="00B31326"/>
    <w:rsid w:val="00B31EC0"/>
    <w:rsid w:val="00B33D6F"/>
    <w:rsid w:val="00B349F9"/>
    <w:rsid w:val="00B34AAB"/>
    <w:rsid w:val="00B35F77"/>
    <w:rsid w:val="00B374B0"/>
    <w:rsid w:val="00B37A51"/>
    <w:rsid w:val="00B37DFA"/>
    <w:rsid w:val="00B42878"/>
    <w:rsid w:val="00B4370E"/>
    <w:rsid w:val="00B43B6F"/>
    <w:rsid w:val="00B467DA"/>
    <w:rsid w:val="00B46DEE"/>
    <w:rsid w:val="00B51D5D"/>
    <w:rsid w:val="00B53209"/>
    <w:rsid w:val="00B53740"/>
    <w:rsid w:val="00B54569"/>
    <w:rsid w:val="00B54D28"/>
    <w:rsid w:val="00B6020D"/>
    <w:rsid w:val="00B63424"/>
    <w:rsid w:val="00B70BD6"/>
    <w:rsid w:val="00B74E30"/>
    <w:rsid w:val="00B75793"/>
    <w:rsid w:val="00B759CC"/>
    <w:rsid w:val="00B76542"/>
    <w:rsid w:val="00B77454"/>
    <w:rsid w:val="00B80526"/>
    <w:rsid w:val="00B80828"/>
    <w:rsid w:val="00B811E4"/>
    <w:rsid w:val="00B83454"/>
    <w:rsid w:val="00B856B4"/>
    <w:rsid w:val="00B8704E"/>
    <w:rsid w:val="00B91217"/>
    <w:rsid w:val="00B914A4"/>
    <w:rsid w:val="00B93BB9"/>
    <w:rsid w:val="00BA031D"/>
    <w:rsid w:val="00BA393E"/>
    <w:rsid w:val="00BA3E00"/>
    <w:rsid w:val="00BA5D42"/>
    <w:rsid w:val="00BA761B"/>
    <w:rsid w:val="00BB2802"/>
    <w:rsid w:val="00BC0922"/>
    <w:rsid w:val="00BC2DF9"/>
    <w:rsid w:val="00BC649C"/>
    <w:rsid w:val="00BC699A"/>
    <w:rsid w:val="00BC7135"/>
    <w:rsid w:val="00BC727E"/>
    <w:rsid w:val="00BD4469"/>
    <w:rsid w:val="00BE1FB9"/>
    <w:rsid w:val="00BE29C9"/>
    <w:rsid w:val="00BE4A08"/>
    <w:rsid w:val="00BF4438"/>
    <w:rsid w:val="00BF4663"/>
    <w:rsid w:val="00BF56E4"/>
    <w:rsid w:val="00BF7F01"/>
    <w:rsid w:val="00C03EC4"/>
    <w:rsid w:val="00C04A79"/>
    <w:rsid w:val="00C05424"/>
    <w:rsid w:val="00C10C5B"/>
    <w:rsid w:val="00C131A9"/>
    <w:rsid w:val="00C14BB7"/>
    <w:rsid w:val="00C14E3C"/>
    <w:rsid w:val="00C17DBF"/>
    <w:rsid w:val="00C22D39"/>
    <w:rsid w:val="00C24E57"/>
    <w:rsid w:val="00C25267"/>
    <w:rsid w:val="00C31202"/>
    <w:rsid w:val="00C334FD"/>
    <w:rsid w:val="00C33A5A"/>
    <w:rsid w:val="00C34656"/>
    <w:rsid w:val="00C41A71"/>
    <w:rsid w:val="00C41F77"/>
    <w:rsid w:val="00C45917"/>
    <w:rsid w:val="00C459ED"/>
    <w:rsid w:val="00C5152D"/>
    <w:rsid w:val="00C51852"/>
    <w:rsid w:val="00C545CC"/>
    <w:rsid w:val="00C568C6"/>
    <w:rsid w:val="00C57BEE"/>
    <w:rsid w:val="00C611A3"/>
    <w:rsid w:val="00C632A6"/>
    <w:rsid w:val="00C6361A"/>
    <w:rsid w:val="00C6369F"/>
    <w:rsid w:val="00C77DEF"/>
    <w:rsid w:val="00C82495"/>
    <w:rsid w:val="00C87C28"/>
    <w:rsid w:val="00C92988"/>
    <w:rsid w:val="00C92D40"/>
    <w:rsid w:val="00C971BE"/>
    <w:rsid w:val="00CA20F4"/>
    <w:rsid w:val="00CA3651"/>
    <w:rsid w:val="00CB2876"/>
    <w:rsid w:val="00CC3DBD"/>
    <w:rsid w:val="00CC4F09"/>
    <w:rsid w:val="00CE2599"/>
    <w:rsid w:val="00CE423C"/>
    <w:rsid w:val="00CE55DB"/>
    <w:rsid w:val="00CE6007"/>
    <w:rsid w:val="00CF0255"/>
    <w:rsid w:val="00CF0428"/>
    <w:rsid w:val="00CF46EE"/>
    <w:rsid w:val="00CF5330"/>
    <w:rsid w:val="00CF78E7"/>
    <w:rsid w:val="00D009F6"/>
    <w:rsid w:val="00D03027"/>
    <w:rsid w:val="00D0374D"/>
    <w:rsid w:val="00D04B00"/>
    <w:rsid w:val="00D05251"/>
    <w:rsid w:val="00D05A8A"/>
    <w:rsid w:val="00D07ADE"/>
    <w:rsid w:val="00D111FE"/>
    <w:rsid w:val="00D11FAD"/>
    <w:rsid w:val="00D144D0"/>
    <w:rsid w:val="00D17046"/>
    <w:rsid w:val="00D17A69"/>
    <w:rsid w:val="00D23016"/>
    <w:rsid w:val="00D267F8"/>
    <w:rsid w:val="00D26E80"/>
    <w:rsid w:val="00D279E0"/>
    <w:rsid w:val="00D3105C"/>
    <w:rsid w:val="00D312DA"/>
    <w:rsid w:val="00D31475"/>
    <w:rsid w:val="00D31EFD"/>
    <w:rsid w:val="00D32956"/>
    <w:rsid w:val="00D33C10"/>
    <w:rsid w:val="00D33DCE"/>
    <w:rsid w:val="00D35EFF"/>
    <w:rsid w:val="00D37249"/>
    <w:rsid w:val="00D37553"/>
    <w:rsid w:val="00D375F4"/>
    <w:rsid w:val="00D40809"/>
    <w:rsid w:val="00D41272"/>
    <w:rsid w:val="00D414F4"/>
    <w:rsid w:val="00D41650"/>
    <w:rsid w:val="00D4324D"/>
    <w:rsid w:val="00D44AC2"/>
    <w:rsid w:val="00D45A78"/>
    <w:rsid w:val="00D45EAD"/>
    <w:rsid w:val="00D479EB"/>
    <w:rsid w:val="00D50A2B"/>
    <w:rsid w:val="00D50AE2"/>
    <w:rsid w:val="00D514D0"/>
    <w:rsid w:val="00D5219E"/>
    <w:rsid w:val="00D5238A"/>
    <w:rsid w:val="00D579B3"/>
    <w:rsid w:val="00D6007C"/>
    <w:rsid w:val="00D612A9"/>
    <w:rsid w:val="00D64EA5"/>
    <w:rsid w:val="00D657B0"/>
    <w:rsid w:val="00D6783D"/>
    <w:rsid w:val="00D71776"/>
    <w:rsid w:val="00D7215F"/>
    <w:rsid w:val="00D730EB"/>
    <w:rsid w:val="00D74280"/>
    <w:rsid w:val="00D76C35"/>
    <w:rsid w:val="00D84B6A"/>
    <w:rsid w:val="00D85A0D"/>
    <w:rsid w:val="00D911A0"/>
    <w:rsid w:val="00DA6B0F"/>
    <w:rsid w:val="00DA7EC3"/>
    <w:rsid w:val="00DB2971"/>
    <w:rsid w:val="00DB30A0"/>
    <w:rsid w:val="00DB3EA3"/>
    <w:rsid w:val="00DB6911"/>
    <w:rsid w:val="00DB7262"/>
    <w:rsid w:val="00DC7580"/>
    <w:rsid w:val="00DD5F42"/>
    <w:rsid w:val="00DD6F79"/>
    <w:rsid w:val="00DD7FD2"/>
    <w:rsid w:val="00DE719E"/>
    <w:rsid w:val="00DF04C4"/>
    <w:rsid w:val="00DF1904"/>
    <w:rsid w:val="00DF1C11"/>
    <w:rsid w:val="00DF65F0"/>
    <w:rsid w:val="00DF6EB5"/>
    <w:rsid w:val="00E03548"/>
    <w:rsid w:val="00E03D99"/>
    <w:rsid w:val="00E0521D"/>
    <w:rsid w:val="00E05EF1"/>
    <w:rsid w:val="00E068F4"/>
    <w:rsid w:val="00E07E55"/>
    <w:rsid w:val="00E07F0F"/>
    <w:rsid w:val="00E11206"/>
    <w:rsid w:val="00E13EC6"/>
    <w:rsid w:val="00E14086"/>
    <w:rsid w:val="00E15AF0"/>
    <w:rsid w:val="00E20D13"/>
    <w:rsid w:val="00E24CF9"/>
    <w:rsid w:val="00E2562A"/>
    <w:rsid w:val="00E26EAB"/>
    <w:rsid w:val="00E42FAB"/>
    <w:rsid w:val="00E43902"/>
    <w:rsid w:val="00E44ABB"/>
    <w:rsid w:val="00E4592A"/>
    <w:rsid w:val="00E46767"/>
    <w:rsid w:val="00E508B3"/>
    <w:rsid w:val="00E60795"/>
    <w:rsid w:val="00E6097E"/>
    <w:rsid w:val="00E64C89"/>
    <w:rsid w:val="00E66625"/>
    <w:rsid w:val="00E67D1C"/>
    <w:rsid w:val="00E67E97"/>
    <w:rsid w:val="00E71396"/>
    <w:rsid w:val="00E74B6C"/>
    <w:rsid w:val="00E76045"/>
    <w:rsid w:val="00E96FA0"/>
    <w:rsid w:val="00EA036A"/>
    <w:rsid w:val="00EA280D"/>
    <w:rsid w:val="00EA3F09"/>
    <w:rsid w:val="00EA4216"/>
    <w:rsid w:val="00EA5DE4"/>
    <w:rsid w:val="00EB4972"/>
    <w:rsid w:val="00EB6EA9"/>
    <w:rsid w:val="00EC0B59"/>
    <w:rsid w:val="00EC2BAC"/>
    <w:rsid w:val="00EC5D03"/>
    <w:rsid w:val="00ED0521"/>
    <w:rsid w:val="00ED1922"/>
    <w:rsid w:val="00ED4DA7"/>
    <w:rsid w:val="00ED7887"/>
    <w:rsid w:val="00EE0314"/>
    <w:rsid w:val="00EE0A01"/>
    <w:rsid w:val="00EE3B96"/>
    <w:rsid w:val="00EE4DE9"/>
    <w:rsid w:val="00EE7BC6"/>
    <w:rsid w:val="00EF4ACA"/>
    <w:rsid w:val="00EF4B8E"/>
    <w:rsid w:val="00EF642D"/>
    <w:rsid w:val="00F00807"/>
    <w:rsid w:val="00F009EE"/>
    <w:rsid w:val="00F017A7"/>
    <w:rsid w:val="00F02B62"/>
    <w:rsid w:val="00F04006"/>
    <w:rsid w:val="00F04068"/>
    <w:rsid w:val="00F0429D"/>
    <w:rsid w:val="00F046D1"/>
    <w:rsid w:val="00F04BA0"/>
    <w:rsid w:val="00F10B2A"/>
    <w:rsid w:val="00F11098"/>
    <w:rsid w:val="00F162E6"/>
    <w:rsid w:val="00F17C6F"/>
    <w:rsid w:val="00F2089C"/>
    <w:rsid w:val="00F20A7D"/>
    <w:rsid w:val="00F30691"/>
    <w:rsid w:val="00F313C2"/>
    <w:rsid w:val="00F33A7F"/>
    <w:rsid w:val="00F35CFF"/>
    <w:rsid w:val="00F364B8"/>
    <w:rsid w:val="00F4228D"/>
    <w:rsid w:val="00F430C8"/>
    <w:rsid w:val="00F50539"/>
    <w:rsid w:val="00F52B8E"/>
    <w:rsid w:val="00F53220"/>
    <w:rsid w:val="00F5778E"/>
    <w:rsid w:val="00F57A3B"/>
    <w:rsid w:val="00F60498"/>
    <w:rsid w:val="00F63063"/>
    <w:rsid w:val="00F70886"/>
    <w:rsid w:val="00F7193A"/>
    <w:rsid w:val="00F72935"/>
    <w:rsid w:val="00F72D68"/>
    <w:rsid w:val="00F75928"/>
    <w:rsid w:val="00F8076E"/>
    <w:rsid w:val="00F81460"/>
    <w:rsid w:val="00F8291E"/>
    <w:rsid w:val="00F85DBD"/>
    <w:rsid w:val="00F8639E"/>
    <w:rsid w:val="00F86AC9"/>
    <w:rsid w:val="00F871C8"/>
    <w:rsid w:val="00F879CC"/>
    <w:rsid w:val="00F87A90"/>
    <w:rsid w:val="00F90400"/>
    <w:rsid w:val="00F93CB4"/>
    <w:rsid w:val="00FA0BA3"/>
    <w:rsid w:val="00FA245D"/>
    <w:rsid w:val="00FA2919"/>
    <w:rsid w:val="00FA2989"/>
    <w:rsid w:val="00FA2BF7"/>
    <w:rsid w:val="00FA2E2A"/>
    <w:rsid w:val="00FA4F14"/>
    <w:rsid w:val="00FA5B7B"/>
    <w:rsid w:val="00FA77EE"/>
    <w:rsid w:val="00FB1E98"/>
    <w:rsid w:val="00FB77E1"/>
    <w:rsid w:val="00FC3770"/>
    <w:rsid w:val="00FC54BE"/>
    <w:rsid w:val="00FC713F"/>
    <w:rsid w:val="00FC71FB"/>
    <w:rsid w:val="00FD0625"/>
    <w:rsid w:val="00FD2032"/>
    <w:rsid w:val="00FD3B28"/>
    <w:rsid w:val="00FD4762"/>
    <w:rsid w:val="00FE06B2"/>
    <w:rsid w:val="00FE1A60"/>
    <w:rsid w:val="00FE2FD7"/>
    <w:rsid w:val="00FE37E8"/>
    <w:rsid w:val="00FE507D"/>
    <w:rsid w:val="00FE63AE"/>
    <w:rsid w:val="00FF0764"/>
    <w:rsid w:val="00FF1654"/>
    <w:rsid w:val="00FF2F19"/>
    <w:rsid w:val="00FF6C9D"/>
    <w:rsid w:val="00FF7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CE71"/>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AC4"/>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1A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9"/>
    <w:rsid w:val="00791AC8"/>
    <w:rPr>
      <w:rFonts w:asciiTheme="majorHAnsi" w:eastAsiaTheme="majorEastAsia" w:hAnsiTheme="majorHAnsi" w:cstheme="majorBidi"/>
      <w:color w:val="2E74B5" w:themeColor="accent1" w:themeShade="BF"/>
      <w:sz w:val="32"/>
      <w:szCs w:val="32"/>
      <w:lang w:val="en-US"/>
    </w:rPr>
  </w:style>
  <w:style w:type="table" w:styleId="GridTable2">
    <w:name w:val="Grid Table 2"/>
    <w:basedOn w:val="TableNormal"/>
    <w:uiPriority w:val="47"/>
    <w:rsid w:val="00056E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E13EC6"/>
    <w:rPr>
      <w:color w:val="605E5C"/>
      <w:shd w:val="clear" w:color="auto" w:fill="E1DFDD"/>
    </w:rPr>
  </w:style>
  <w:style w:type="character" w:customStyle="1" w:styleId="UnresolvedMention">
    <w:name w:val="Unresolved Mention"/>
    <w:basedOn w:val="DefaultParagraphFont"/>
    <w:uiPriority w:val="99"/>
    <w:semiHidden/>
    <w:unhideWhenUsed/>
    <w:rsid w:val="00D40809"/>
    <w:rPr>
      <w:color w:val="605E5C"/>
      <w:shd w:val="clear" w:color="auto" w:fill="E1DFDD"/>
    </w:rPr>
  </w:style>
  <w:style w:type="character" w:styleId="LineNumber">
    <w:name w:val="line number"/>
    <w:basedOn w:val="DefaultParagraphFont"/>
    <w:uiPriority w:val="99"/>
    <w:semiHidden/>
    <w:unhideWhenUsed/>
    <w:rsid w:val="00F7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14115707">
      <w:bodyDiv w:val="1"/>
      <w:marLeft w:val="0"/>
      <w:marRight w:val="0"/>
      <w:marTop w:val="0"/>
      <w:marBottom w:val="0"/>
      <w:divBdr>
        <w:top w:val="none" w:sz="0" w:space="0" w:color="auto"/>
        <w:left w:val="none" w:sz="0" w:space="0" w:color="auto"/>
        <w:bottom w:val="none" w:sz="0" w:space="0" w:color="auto"/>
        <w:right w:val="none" w:sz="0" w:space="0" w:color="auto"/>
      </w:divBdr>
    </w:div>
    <w:div w:id="1523081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49109948">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08594575">
      <w:bodyDiv w:val="1"/>
      <w:marLeft w:val="0"/>
      <w:marRight w:val="0"/>
      <w:marTop w:val="0"/>
      <w:marBottom w:val="0"/>
      <w:divBdr>
        <w:top w:val="none" w:sz="0" w:space="0" w:color="auto"/>
        <w:left w:val="none" w:sz="0" w:space="0" w:color="auto"/>
        <w:bottom w:val="none" w:sz="0" w:space="0" w:color="auto"/>
        <w:right w:val="none" w:sz="0" w:space="0" w:color="auto"/>
      </w:divBdr>
    </w:div>
    <w:div w:id="112945513">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30101046">
      <w:bodyDiv w:val="1"/>
      <w:marLeft w:val="0"/>
      <w:marRight w:val="0"/>
      <w:marTop w:val="0"/>
      <w:marBottom w:val="0"/>
      <w:divBdr>
        <w:top w:val="none" w:sz="0" w:space="0" w:color="auto"/>
        <w:left w:val="none" w:sz="0" w:space="0" w:color="auto"/>
        <w:bottom w:val="none" w:sz="0" w:space="0" w:color="auto"/>
        <w:right w:val="none" w:sz="0" w:space="0" w:color="auto"/>
      </w:divBdr>
    </w:div>
    <w:div w:id="171140593">
      <w:bodyDiv w:val="1"/>
      <w:marLeft w:val="0"/>
      <w:marRight w:val="0"/>
      <w:marTop w:val="0"/>
      <w:marBottom w:val="0"/>
      <w:divBdr>
        <w:top w:val="none" w:sz="0" w:space="0" w:color="auto"/>
        <w:left w:val="none" w:sz="0" w:space="0" w:color="auto"/>
        <w:bottom w:val="none" w:sz="0" w:space="0" w:color="auto"/>
        <w:right w:val="none" w:sz="0" w:space="0" w:color="auto"/>
      </w:divBdr>
    </w:div>
    <w:div w:id="172687980">
      <w:bodyDiv w:val="1"/>
      <w:marLeft w:val="0"/>
      <w:marRight w:val="0"/>
      <w:marTop w:val="0"/>
      <w:marBottom w:val="0"/>
      <w:divBdr>
        <w:top w:val="none" w:sz="0" w:space="0" w:color="auto"/>
        <w:left w:val="none" w:sz="0" w:space="0" w:color="auto"/>
        <w:bottom w:val="none" w:sz="0" w:space="0" w:color="auto"/>
        <w:right w:val="none" w:sz="0" w:space="0" w:color="auto"/>
      </w:divBdr>
      <w:divsChild>
        <w:div w:id="1458569513">
          <w:marLeft w:val="0"/>
          <w:marRight w:val="0"/>
          <w:marTop w:val="0"/>
          <w:marBottom w:val="0"/>
          <w:divBdr>
            <w:top w:val="none" w:sz="0" w:space="0" w:color="auto"/>
            <w:left w:val="none" w:sz="0" w:space="0" w:color="auto"/>
            <w:bottom w:val="none" w:sz="0" w:space="0" w:color="auto"/>
            <w:right w:val="none" w:sz="0" w:space="0" w:color="auto"/>
          </w:divBdr>
          <w:divsChild>
            <w:div w:id="1266115116">
              <w:marLeft w:val="0"/>
              <w:marRight w:val="0"/>
              <w:marTop w:val="0"/>
              <w:marBottom w:val="0"/>
              <w:divBdr>
                <w:top w:val="none" w:sz="0" w:space="0" w:color="auto"/>
                <w:left w:val="none" w:sz="0" w:space="0" w:color="auto"/>
                <w:bottom w:val="none" w:sz="0" w:space="0" w:color="auto"/>
                <w:right w:val="none" w:sz="0" w:space="0" w:color="auto"/>
              </w:divBdr>
              <w:divsChild>
                <w:div w:id="44647434">
                  <w:marLeft w:val="0"/>
                  <w:marRight w:val="0"/>
                  <w:marTop w:val="0"/>
                  <w:marBottom w:val="0"/>
                  <w:divBdr>
                    <w:top w:val="none" w:sz="0" w:space="0" w:color="auto"/>
                    <w:left w:val="none" w:sz="0" w:space="0" w:color="auto"/>
                    <w:bottom w:val="none" w:sz="0" w:space="0" w:color="auto"/>
                    <w:right w:val="none" w:sz="0" w:space="0" w:color="auto"/>
                  </w:divBdr>
                  <w:divsChild>
                    <w:div w:id="19610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5332">
      <w:bodyDiv w:val="1"/>
      <w:marLeft w:val="0"/>
      <w:marRight w:val="0"/>
      <w:marTop w:val="0"/>
      <w:marBottom w:val="0"/>
      <w:divBdr>
        <w:top w:val="none" w:sz="0" w:space="0" w:color="auto"/>
        <w:left w:val="none" w:sz="0" w:space="0" w:color="auto"/>
        <w:bottom w:val="none" w:sz="0" w:space="0" w:color="auto"/>
        <w:right w:val="none" w:sz="0" w:space="0" w:color="auto"/>
      </w:divBdr>
    </w:div>
    <w:div w:id="185604032">
      <w:bodyDiv w:val="1"/>
      <w:marLeft w:val="0"/>
      <w:marRight w:val="0"/>
      <w:marTop w:val="0"/>
      <w:marBottom w:val="0"/>
      <w:divBdr>
        <w:top w:val="none" w:sz="0" w:space="0" w:color="auto"/>
        <w:left w:val="none" w:sz="0" w:space="0" w:color="auto"/>
        <w:bottom w:val="none" w:sz="0" w:space="0" w:color="auto"/>
        <w:right w:val="none" w:sz="0" w:space="0" w:color="auto"/>
      </w:divBdr>
    </w:div>
    <w:div w:id="188687529">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112795">
      <w:bodyDiv w:val="1"/>
      <w:marLeft w:val="0"/>
      <w:marRight w:val="0"/>
      <w:marTop w:val="0"/>
      <w:marBottom w:val="0"/>
      <w:divBdr>
        <w:top w:val="none" w:sz="0" w:space="0" w:color="auto"/>
        <w:left w:val="none" w:sz="0" w:space="0" w:color="auto"/>
        <w:bottom w:val="none" w:sz="0" w:space="0" w:color="auto"/>
        <w:right w:val="none" w:sz="0" w:space="0" w:color="auto"/>
      </w:divBdr>
      <w:divsChild>
        <w:div w:id="1904828078">
          <w:marLeft w:val="0"/>
          <w:marRight w:val="0"/>
          <w:marTop w:val="0"/>
          <w:marBottom w:val="0"/>
          <w:divBdr>
            <w:top w:val="single" w:sz="2" w:space="31" w:color="EAE9E9"/>
            <w:left w:val="single" w:sz="2" w:space="23" w:color="EAE9E9"/>
            <w:bottom w:val="single" w:sz="2" w:space="31" w:color="EAE9E9"/>
            <w:right w:val="single" w:sz="2" w:space="23" w:color="EAE9E9"/>
          </w:divBdr>
          <w:divsChild>
            <w:div w:id="206337058">
              <w:marLeft w:val="0"/>
              <w:marRight w:val="0"/>
              <w:marTop w:val="0"/>
              <w:marBottom w:val="0"/>
              <w:divBdr>
                <w:top w:val="none" w:sz="0" w:space="0" w:color="auto"/>
                <w:left w:val="none" w:sz="0" w:space="0" w:color="auto"/>
                <w:bottom w:val="none" w:sz="0" w:space="0" w:color="auto"/>
                <w:right w:val="none" w:sz="0" w:space="0" w:color="auto"/>
              </w:divBdr>
              <w:divsChild>
                <w:div w:id="865485132">
                  <w:marLeft w:val="0"/>
                  <w:marRight w:val="0"/>
                  <w:marTop w:val="0"/>
                  <w:marBottom w:val="300"/>
                  <w:divBdr>
                    <w:top w:val="none" w:sz="0" w:space="0" w:color="auto"/>
                    <w:left w:val="none" w:sz="0" w:space="0" w:color="auto"/>
                    <w:bottom w:val="none" w:sz="0" w:space="0" w:color="auto"/>
                    <w:right w:val="none" w:sz="0" w:space="0" w:color="auto"/>
                  </w:divBdr>
                  <w:divsChild>
                    <w:div w:id="189492733">
                      <w:marLeft w:val="0"/>
                      <w:marRight w:val="0"/>
                      <w:marTop w:val="0"/>
                      <w:marBottom w:val="0"/>
                      <w:divBdr>
                        <w:top w:val="none" w:sz="0" w:space="0" w:color="auto"/>
                        <w:left w:val="none" w:sz="0" w:space="0" w:color="auto"/>
                        <w:bottom w:val="none" w:sz="0" w:space="0" w:color="auto"/>
                        <w:right w:val="none" w:sz="0" w:space="0" w:color="auto"/>
                      </w:divBdr>
                      <w:divsChild>
                        <w:div w:id="1831749420">
                          <w:marLeft w:val="0"/>
                          <w:marRight w:val="0"/>
                          <w:marTop w:val="0"/>
                          <w:marBottom w:val="0"/>
                          <w:divBdr>
                            <w:top w:val="none" w:sz="0" w:space="0" w:color="auto"/>
                            <w:left w:val="none" w:sz="0" w:space="0" w:color="auto"/>
                            <w:bottom w:val="none" w:sz="0" w:space="0" w:color="auto"/>
                            <w:right w:val="none" w:sz="0" w:space="0" w:color="auto"/>
                          </w:divBdr>
                          <w:divsChild>
                            <w:div w:id="2053456777">
                              <w:marLeft w:val="0"/>
                              <w:marRight w:val="0"/>
                              <w:marTop w:val="0"/>
                              <w:marBottom w:val="0"/>
                              <w:divBdr>
                                <w:top w:val="none" w:sz="0" w:space="0" w:color="auto"/>
                                <w:left w:val="none" w:sz="0" w:space="0" w:color="auto"/>
                                <w:bottom w:val="none" w:sz="0" w:space="0" w:color="auto"/>
                                <w:right w:val="none" w:sz="0" w:space="0" w:color="auto"/>
                              </w:divBdr>
                              <w:divsChild>
                                <w:div w:id="9267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33316800">
      <w:bodyDiv w:val="1"/>
      <w:marLeft w:val="0"/>
      <w:marRight w:val="0"/>
      <w:marTop w:val="0"/>
      <w:marBottom w:val="0"/>
      <w:divBdr>
        <w:top w:val="none" w:sz="0" w:space="0" w:color="auto"/>
        <w:left w:val="none" w:sz="0" w:space="0" w:color="auto"/>
        <w:bottom w:val="none" w:sz="0" w:space="0" w:color="auto"/>
        <w:right w:val="none" w:sz="0" w:space="0" w:color="auto"/>
      </w:divBdr>
    </w:div>
    <w:div w:id="240139885">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4794809">
      <w:bodyDiv w:val="1"/>
      <w:marLeft w:val="0"/>
      <w:marRight w:val="0"/>
      <w:marTop w:val="0"/>
      <w:marBottom w:val="0"/>
      <w:divBdr>
        <w:top w:val="none" w:sz="0" w:space="0" w:color="auto"/>
        <w:left w:val="none" w:sz="0" w:space="0" w:color="auto"/>
        <w:bottom w:val="none" w:sz="0" w:space="0" w:color="auto"/>
        <w:right w:val="none" w:sz="0" w:space="0" w:color="auto"/>
      </w:divBdr>
    </w:div>
    <w:div w:id="274946869">
      <w:bodyDiv w:val="1"/>
      <w:marLeft w:val="0"/>
      <w:marRight w:val="0"/>
      <w:marTop w:val="0"/>
      <w:marBottom w:val="0"/>
      <w:divBdr>
        <w:top w:val="none" w:sz="0" w:space="0" w:color="auto"/>
        <w:left w:val="none" w:sz="0" w:space="0" w:color="auto"/>
        <w:bottom w:val="none" w:sz="0" w:space="0" w:color="auto"/>
        <w:right w:val="none" w:sz="0" w:space="0" w:color="auto"/>
      </w:divBdr>
    </w:div>
    <w:div w:id="279997146">
      <w:bodyDiv w:val="1"/>
      <w:marLeft w:val="0"/>
      <w:marRight w:val="0"/>
      <w:marTop w:val="0"/>
      <w:marBottom w:val="0"/>
      <w:divBdr>
        <w:top w:val="none" w:sz="0" w:space="0" w:color="auto"/>
        <w:left w:val="none" w:sz="0" w:space="0" w:color="auto"/>
        <w:bottom w:val="none" w:sz="0" w:space="0" w:color="auto"/>
        <w:right w:val="none" w:sz="0" w:space="0" w:color="auto"/>
      </w:divBdr>
    </w:div>
    <w:div w:id="283854181">
      <w:bodyDiv w:val="1"/>
      <w:marLeft w:val="0"/>
      <w:marRight w:val="0"/>
      <w:marTop w:val="0"/>
      <w:marBottom w:val="0"/>
      <w:divBdr>
        <w:top w:val="none" w:sz="0" w:space="0" w:color="auto"/>
        <w:left w:val="none" w:sz="0" w:space="0" w:color="auto"/>
        <w:bottom w:val="none" w:sz="0" w:space="0" w:color="auto"/>
        <w:right w:val="none" w:sz="0" w:space="0" w:color="auto"/>
      </w:divBdr>
    </w:div>
    <w:div w:id="285934913">
      <w:bodyDiv w:val="1"/>
      <w:marLeft w:val="0"/>
      <w:marRight w:val="0"/>
      <w:marTop w:val="0"/>
      <w:marBottom w:val="0"/>
      <w:divBdr>
        <w:top w:val="none" w:sz="0" w:space="0" w:color="auto"/>
        <w:left w:val="none" w:sz="0" w:space="0" w:color="auto"/>
        <w:bottom w:val="none" w:sz="0" w:space="0" w:color="auto"/>
        <w:right w:val="none" w:sz="0" w:space="0" w:color="auto"/>
      </w:divBdr>
    </w:div>
    <w:div w:id="286357379">
      <w:bodyDiv w:val="1"/>
      <w:marLeft w:val="0"/>
      <w:marRight w:val="0"/>
      <w:marTop w:val="0"/>
      <w:marBottom w:val="0"/>
      <w:divBdr>
        <w:top w:val="none" w:sz="0" w:space="0" w:color="auto"/>
        <w:left w:val="none" w:sz="0" w:space="0" w:color="auto"/>
        <w:bottom w:val="none" w:sz="0" w:space="0" w:color="auto"/>
        <w:right w:val="none" w:sz="0" w:space="0" w:color="auto"/>
      </w:divBdr>
    </w:div>
    <w:div w:id="295843491">
      <w:bodyDiv w:val="1"/>
      <w:marLeft w:val="0"/>
      <w:marRight w:val="0"/>
      <w:marTop w:val="0"/>
      <w:marBottom w:val="0"/>
      <w:divBdr>
        <w:top w:val="none" w:sz="0" w:space="0" w:color="auto"/>
        <w:left w:val="none" w:sz="0" w:space="0" w:color="auto"/>
        <w:bottom w:val="none" w:sz="0" w:space="0" w:color="auto"/>
        <w:right w:val="none" w:sz="0" w:space="0" w:color="auto"/>
      </w:divBdr>
    </w:div>
    <w:div w:id="296378939">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19844451">
      <w:bodyDiv w:val="1"/>
      <w:marLeft w:val="0"/>
      <w:marRight w:val="0"/>
      <w:marTop w:val="0"/>
      <w:marBottom w:val="0"/>
      <w:divBdr>
        <w:top w:val="none" w:sz="0" w:space="0" w:color="auto"/>
        <w:left w:val="none" w:sz="0" w:space="0" w:color="auto"/>
        <w:bottom w:val="none" w:sz="0" w:space="0" w:color="auto"/>
        <w:right w:val="none" w:sz="0" w:space="0" w:color="auto"/>
      </w:divBdr>
      <w:divsChild>
        <w:div w:id="2517991">
          <w:marLeft w:val="0"/>
          <w:marRight w:val="0"/>
          <w:marTop w:val="0"/>
          <w:marBottom w:val="0"/>
          <w:divBdr>
            <w:top w:val="single" w:sz="2" w:space="31" w:color="EAE9E9"/>
            <w:left w:val="single" w:sz="2" w:space="23" w:color="EAE9E9"/>
            <w:bottom w:val="single" w:sz="2" w:space="31" w:color="EAE9E9"/>
            <w:right w:val="single" w:sz="2" w:space="23" w:color="EAE9E9"/>
          </w:divBdr>
          <w:divsChild>
            <w:div w:id="1164711514">
              <w:marLeft w:val="0"/>
              <w:marRight w:val="0"/>
              <w:marTop w:val="0"/>
              <w:marBottom w:val="0"/>
              <w:divBdr>
                <w:top w:val="none" w:sz="0" w:space="0" w:color="auto"/>
                <w:left w:val="none" w:sz="0" w:space="0" w:color="auto"/>
                <w:bottom w:val="none" w:sz="0" w:space="0" w:color="auto"/>
                <w:right w:val="none" w:sz="0" w:space="0" w:color="auto"/>
              </w:divBdr>
              <w:divsChild>
                <w:div w:id="54016416">
                  <w:marLeft w:val="0"/>
                  <w:marRight w:val="0"/>
                  <w:marTop w:val="0"/>
                  <w:marBottom w:val="300"/>
                  <w:divBdr>
                    <w:top w:val="none" w:sz="0" w:space="0" w:color="auto"/>
                    <w:left w:val="none" w:sz="0" w:space="0" w:color="auto"/>
                    <w:bottom w:val="none" w:sz="0" w:space="0" w:color="auto"/>
                    <w:right w:val="none" w:sz="0" w:space="0" w:color="auto"/>
                  </w:divBdr>
                  <w:divsChild>
                    <w:div w:id="501088853">
                      <w:marLeft w:val="0"/>
                      <w:marRight w:val="0"/>
                      <w:marTop w:val="0"/>
                      <w:marBottom w:val="0"/>
                      <w:divBdr>
                        <w:top w:val="none" w:sz="0" w:space="0" w:color="auto"/>
                        <w:left w:val="none" w:sz="0" w:space="0" w:color="auto"/>
                        <w:bottom w:val="none" w:sz="0" w:space="0" w:color="auto"/>
                        <w:right w:val="none" w:sz="0" w:space="0" w:color="auto"/>
                      </w:divBdr>
                      <w:divsChild>
                        <w:div w:id="1697464021">
                          <w:marLeft w:val="0"/>
                          <w:marRight w:val="0"/>
                          <w:marTop w:val="0"/>
                          <w:marBottom w:val="0"/>
                          <w:divBdr>
                            <w:top w:val="none" w:sz="0" w:space="0" w:color="auto"/>
                            <w:left w:val="none" w:sz="0" w:space="0" w:color="auto"/>
                            <w:bottom w:val="none" w:sz="0" w:space="0" w:color="auto"/>
                            <w:right w:val="none" w:sz="0" w:space="0" w:color="auto"/>
                          </w:divBdr>
                          <w:divsChild>
                            <w:div w:id="2129084386">
                              <w:marLeft w:val="0"/>
                              <w:marRight w:val="0"/>
                              <w:marTop w:val="0"/>
                              <w:marBottom w:val="0"/>
                              <w:divBdr>
                                <w:top w:val="none" w:sz="0" w:space="0" w:color="auto"/>
                                <w:left w:val="none" w:sz="0" w:space="0" w:color="auto"/>
                                <w:bottom w:val="none" w:sz="0" w:space="0" w:color="auto"/>
                                <w:right w:val="none" w:sz="0" w:space="0" w:color="auto"/>
                              </w:divBdr>
                              <w:divsChild>
                                <w:div w:id="17207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27515433">
      <w:bodyDiv w:val="1"/>
      <w:marLeft w:val="0"/>
      <w:marRight w:val="0"/>
      <w:marTop w:val="0"/>
      <w:marBottom w:val="0"/>
      <w:divBdr>
        <w:top w:val="none" w:sz="0" w:space="0" w:color="auto"/>
        <w:left w:val="none" w:sz="0" w:space="0" w:color="auto"/>
        <w:bottom w:val="none" w:sz="0" w:space="0" w:color="auto"/>
        <w:right w:val="none" w:sz="0" w:space="0" w:color="auto"/>
      </w:divBdr>
    </w:div>
    <w:div w:id="348217230">
      <w:bodyDiv w:val="1"/>
      <w:marLeft w:val="0"/>
      <w:marRight w:val="0"/>
      <w:marTop w:val="0"/>
      <w:marBottom w:val="0"/>
      <w:divBdr>
        <w:top w:val="none" w:sz="0" w:space="0" w:color="auto"/>
        <w:left w:val="none" w:sz="0" w:space="0" w:color="auto"/>
        <w:bottom w:val="none" w:sz="0" w:space="0" w:color="auto"/>
        <w:right w:val="none" w:sz="0" w:space="0" w:color="auto"/>
      </w:divBdr>
    </w:div>
    <w:div w:id="349259482">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82219659">
      <w:bodyDiv w:val="1"/>
      <w:marLeft w:val="0"/>
      <w:marRight w:val="0"/>
      <w:marTop w:val="0"/>
      <w:marBottom w:val="0"/>
      <w:divBdr>
        <w:top w:val="none" w:sz="0" w:space="0" w:color="auto"/>
        <w:left w:val="none" w:sz="0" w:space="0" w:color="auto"/>
        <w:bottom w:val="none" w:sz="0" w:space="0" w:color="auto"/>
        <w:right w:val="none" w:sz="0" w:space="0" w:color="auto"/>
      </w:divBdr>
    </w:div>
    <w:div w:id="384374350">
      <w:bodyDiv w:val="1"/>
      <w:marLeft w:val="0"/>
      <w:marRight w:val="0"/>
      <w:marTop w:val="0"/>
      <w:marBottom w:val="0"/>
      <w:divBdr>
        <w:top w:val="none" w:sz="0" w:space="0" w:color="auto"/>
        <w:left w:val="none" w:sz="0" w:space="0" w:color="auto"/>
        <w:bottom w:val="none" w:sz="0" w:space="0" w:color="auto"/>
        <w:right w:val="none" w:sz="0" w:space="0" w:color="auto"/>
      </w:divBdr>
    </w:div>
    <w:div w:id="407269525">
      <w:bodyDiv w:val="1"/>
      <w:marLeft w:val="0"/>
      <w:marRight w:val="0"/>
      <w:marTop w:val="0"/>
      <w:marBottom w:val="0"/>
      <w:divBdr>
        <w:top w:val="none" w:sz="0" w:space="0" w:color="auto"/>
        <w:left w:val="none" w:sz="0" w:space="0" w:color="auto"/>
        <w:bottom w:val="none" w:sz="0" w:space="0" w:color="auto"/>
        <w:right w:val="none" w:sz="0" w:space="0" w:color="auto"/>
      </w:divBdr>
    </w:div>
    <w:div w:id="421418355">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56682545">
      <w:bodyDiv w:val="1"/>
      <w:marLeft w:val="0"/>
      <w:marRight w:val="0"/>
      <w:marTop w:val="0"/>
      <w:marBottom w:val="0"/>
      <w:divBdr>
        <w:top w:val="none" w:sz="0" w:space="0" w:color="auto"/>
        <w:left w:val="none" w:sz="0" w:space="0" w:color="auto"/>
        <w:bottom w:val="none" w:sz="0" w:space="0" w:color="auto"/>
        <w:right w:val="none" w:sz="0" w:space="0" w:color="auto"/>
      </w:divBdr>
    </w:div>
    <w:div w:id="457336533">
      <w:bodyDiv w:val="1"/>
      <w:marLeft w:val="0"/>
      <w:marRight w:val="0"/>
      <w:marTop w:val="0"/>
      <w:marBottom w:val="0"/>
      <w:divBdr>
        <w:top w:val="none" w:sz="0" w:space="0" w:color="auto"/>
        <w:left w:val="none" w:sz="0" w:space="0" w:color="auto"/>
        <w:bottom w:val="none" w:sz="0" w:space="0" w:color="auto"/>
        <w:right w:val="none" w:sz="0" w:space="0" w:color="auto"/>
      </w:divBdr>
    </w:div>
    <w:div w:id="476799552">
      <w:bodyDiv w:val="1"/>
      <w:marLeft w:val="0"/>
      <w:marRight w:val="0"/>
      <w:marTop w:val="0"/>
      <w:marBottom w:val="0"/>
      <w:divBdr>
        <w:top w:val="none" w:sz="0" w:space="0" w:color="auto"/>
        <w:left w:val="none" w:sz="0" w:space="0" w:color="auto"/>
        <w:bottom w:val="none" w:sz="0" w:space="0" w:color="auto"/>
        <w:right w:val="none" w:sz="0" w:space="0" w:color="auto"/>
      </w:divBdr>
    </w:div>
    <w:div w:id="480929739">
      <w:bodyDiv w:val="1"/>
      <w:marLeft w:val="0"/>
      <w:marRight w:val="0"/>
      <w:marTop w:val="0"/>
      <w:marBottom w:val="0"/>
      <w:divBdr>
        <w:top w:val="none" w:sz="0" w:space="0" w:color="auto"/>
        <w:left w:val="none" w:sz="0" w:space="0" w:color="auto"/>
        <w:bottom w:val="none" w:sz="0" w:space="0" w:color="auto"/>
        <w:right w:val="none" w:sz="0" w:space="0" w:color="auto"/>
      </w:divBdr>
    </w:div>
    <w:div w:id="485753818">
      <w:bodyDiv w:val="1"/>
      <w:marLeft w:val="0"/>
      <w:marRight w:val="0"/>
      <w:marTop w:val="0"/>
      <w:marBottom w:val="0"/>
      <w:divBdr>
        <w:top w:val="none" w:sz="0" w:space="0" w:color="auto"/>
        <w:left w:val="none" w:sz="0" w:space="0" w:color="auto"/>
        <w:bottom w:val="none" w:sz="0" w:space="0" w:color="auto"/>
        <w:right w:val="none" w:sz="0" w:space="0" w:color="auto"/>
      </w:divBdr>
    </w:div>
    <w:div w:id="492767545">
      <w:bodyDiv w:val="1"/>
      <w:marLeft w:val="0"/>
      <w:marRight w:val="0"/>
      <w:marTop w:val="0"/>
      <w:marBottom w:val="0"/>
      <w:divBdr>
        <w:top w:val="none" w:sz="0" w:space="0" w:color="auto"/>
        <w:left w:val="none" w:sz="0" w:space="0" w:color="auto"/>
        <w:bottom w:val="none" w:sz="0" w:space="0" w:color="auto"/>
        <w:right w:val="none" w:sz="0" w:space="0" w:color="auto"/>
      </w:divBdr>
      <w:divsChild>
        <w:div w:id="505902606">
          <w:marLeft w:val="0"/>
          <w:marRight w:val="0"/>
          <w:marTop w:val="0"/>
          <w:marBottom w:val="0"/>
          <w:divBdr>
            <w:top w:val="none" w:sz="0" w:space="0" w:color="auto"/>
            <w:left w:val="none" w:sz="0" w:space="0" w:color="auto"/>
            <w:bottom w:val="none" w:sz="0" w:space="0" w:color="auto"/>
            <w:right w:val="none" w:sz="0" w:space="0" w:color="auto"/>
          </w:divBdr>
          <w:divsChild>
            <w:div w:id="1772507316">
              <w:marLeft w:val="0"/>
              <w:marRight w:val="0"/>
              <w:marTop w:val="0"/>
              <w:marBottom w:val="0"/>
              <w:divBdr>
                <w:top w:val="none" w:sz="0" w:space="0" w:color="auto"/>
                <w:left w:val="none" w:sz="0" w:space="0" w:color="auto"/>
                <w:bottom w:val="none" w:sz="0" w:space="0" w:color="auto"/>
                <w:right w:val="none" w:sz="0" w:space="0" w:color="auto"/>
              </w:divBdr>
              <w:divsChild>
                <w:div w:id="1165391176">
                  <w:marLeft w:val="0"/>
                  <w:marRight w:val="0"/>
                  <w:marTop w:val="0"/>
                  <w:marBottom w:val="0"/>
                  <w:divBdr>
                    <w:top w:val="none" w:sz="0" w:space="0" w:color="auto"/>
                    <w:left w:val="none" w:sz="0" w:space="0" w:color="auto"/>
                    <w:bottom w:val="none" w:sz="0" w:space="0" w:color="auto"/>
                    <w:right w:val="none" w:sz="0" w:space="0" w:color="auto"/>
                  </w:divBdr>
                  <w:divsChild>
                    <w:div w:id="2699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9613">
      <w:bodyDiv w:val="1"/>
      <w:marLeft w:val="0"/>
      <w:marRight w:val="0"/>
      <w:marTop w:val="0"/>
      <w:marBottom w:val="0"/>
      <w:divBdr>
        <w:top w:val="none" w:sz="0" w:space="0" w:color="auto"/>
        <w:left w:val="none" w:sz="0" w:space="0" w:color="auto"/>
        <w:bottom w:val="none" w:sz="0" w:space="0" w:color="auto"/>
        <w:right w:val="none" w:sz="0" w:space="0" w:color="auto"/>
      </w:divBdr>
    </w:div>
    <w:div w:id="503865937">
      <w:bodyDiv w:val="1"/>
      <w:marLeft w:val="0"/>
      <w:marRight w:val="0"/>
      <w:marTop w:val="0"/>
      <w:marBottom w:val="0"/>
      <w:divBdr>
        <w:top w:val="none" w:sz="0" w:space="0" w:color="auto"/>
        <w:left w:val="none" w:sz="0" w:space="0" w:color="auto"/>
        <w:bottom w:val="none" w:sz="0" w:space="0" w:color="auto"/>
        <w:right w:val="none" w:sz="0" w:space="0" w:color="auto"/>
      </w:divBdr>
    </w:div>
    <w:div w:id="508562078">
      <w:bodyDiv w:val="1"/>
      <w:marLeft w:val="0"/>
      <w:marRight w:val="0"/>
      <w:marTop w:val="0"/>
      <w:marBottom w:val="0"/>
      <w:divBdr>
        <w:top w:val="none" w:sz="0" w:space="0" w:color="auto"/>
        <w:left w:val="none" w:sz="0" w:space="0" w:color="auto"/>
        <w:bottom w:val="none" w:sz="0" w:space="0" w:color="auto"/>
        <w:right w:val="none" w:sz="0" w:space="0" w:color="auto"/>
      </w:divBdr>
      <w:divsChild>
        <w:div w:id="642394052">
          <w:marLeft w:val="0"/>
          <w:marRight w:val="0"/>
          <w:marTop w:val="0"/>
          <w:marBottom w:val="0"/>
          <w:divBdr>
            <w:top w:val="none" w:sz="0" w:space="0" w:color="auto"/>
            <w:left w:val="none" w:sz="0" w:space="0" w:color="auto"/>
            <w:bottom w:val="none" w:sz="0" w:space="0" w:color="auto"/>
            <w:right w:val="none" w:sz="0" w:space="0" w:color="auto"/>
          </w:divBdr>
        </w:div>
      </w:divsChild>
    </w:div>
    <w:div w:id="512383661">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26676169">
      <w:bodyDiv w:val="1"/>
      <w:marLeft w:val="0"/>
      <w:marRight w:val="0"/>
      <w:marTop w:val="0"/>
      <w:marBottom w:val="0"/>
      <w:divBdr>
        <w:top w:val="none" w:sz="0" w:space="0" w:color="auto"/>
        <w:left w:val="none" w:sz="0" w:space="0" w:color="auto"/>
        <w:bottom w:val="none" w:sz="0" w:space="0" w:color="auto"/>
        <w:right w:val="none" w:sz="0" w:space="0" w:color="auto"/>
      </w:divBdr>
    </w:div>
    <w:div w:id="540748503">
      <w:bodyDiv w:val="1"/>
      <w:marLeft w:val="0"/>
      <w:marRight w:val="0"/>
      <w:marTop w:val="0"/>
      <w:marBottom w:val="0"/>
      <w:divBdr>
        <w:top w:val="none" w:sz="0" w:space="0" w:color="auto"/>
        <w:left w:val="none" w:sz="0" w:space="0" w:color="auto"/>
        <w:bottom w:val="none" w:sz="0" w:space="0" w:color="auto"/>
        <w:right w:val="none" w:sz="0" w:space="0" w:color="auto"/>
      </w:divBdr>
    </w:div>
    <w:div w:id="542134247">
      <w:bodyDiv w:val="1"/>
      <w:marLeft w:val="0"/>
      <w:marRight w:val="0"/>
      <w:marTop w:val="0"/>
      <w:marBottom w:val="0"/>
      <w:divBdr>
        <w:top w:val="none" w:sz="0" w:space="0" w:color="auto"/>
        <w:left w:val="none" w:sz="0" w:space="0" w:color="auto"/>
        <w:bottom w:val="none" w:sz="0" w:space="0" w:color="auto"/>
        <w:right w:val="none" w:sz="0" w:space="0" w:color="auto"/>
      </w:divBdr>
    </w:div>
    <w:div w:id="544945722">
      <w:bodyDiv w:val="1"/>
      <w:marLeft w:val="0"/>
      <w:marRight w:val="0"/>
      <w:marTop w:val="0"/>
      <w:marBottom w:val="0"/>
      <w:divBdr>
        <w:top w:val="none" w:sz="0" w:space="0" w:color="auto"/>
        <w:left w:val="none" w:sz="0" w:space="0" w:color="auto"/>
        <w:bottom w:val="none" w:sz="0" w:space="0" w:color="auto"/>
        <w:right w:val="none" w:sz="0" w:space="0" w:color="auto"/>
      </w:divBdr>
    </w:div>
    <w:div w:id="565915155">
      <w:bodyDiv w:val="1"/>
      <w:marLeft w:val="0"/>
      <w:marRight w:val="0"/>
      <w:marTop w:val="0"/>
      <w:marBottom w:val="0"/>
      <w:divBdr>
        <w:top w:val="none" w:sz="0" w:space="0" w:color="auto"/>
        <w:left w:val="none" w:sz="0" w:space="0" w:color="auto"/>
        <w:bottom w:val="none" w:sz="0" w:space="0" w:color="auto"/>
        <w:right w:val="none" w:sz="0" w:space="0" w:color="auto"/>
      </w:divBdr>
    </w:div>
    <w:div w:id="569729958">
      <w:bodyDiv w:val="1"/>
      <w:marLeft w:val="0"/>
      <w:marRight w:val="0"/>
      <w:marTop w:val="0"/>
      <w:marBottom w:val="0"/>
      <w:divBdr>
        <w:top w:val="none" w:sz="0" w:space="0" w:color="auto"/>
        <w:left w:val="none" w:sz="0" w:space="0" w:color="auto"/>
        <w:bottom w:val="none" w:sz="0" w:space="0" w:color="auto"/>
        <w:right w:val="none" w:sz="0" w:space="0" w:color="auto"/>
      </w:divBdr>
    </w:div>
    <w:div w:id="574124033">
      <w:bodyDiv w:val="1"/>
      <w:marLeft w:val="0"/>
      <w:marRight w:val="0"/>
      <w:marTop w:val="0"/>
      <w:marBottom w:val="0"/>
      <w:divBdr>
        <w:top w:val="none" w:sz="0" w:space="0" w:color="auto"/>
        <w:left w:val="none" w:sz="0" w:space="0" w:color="auto"/>
        <w:bottom w:val="none" w:sz="0" w:space="0" w:color="auto"/>
        <w:right w:val="none" w:sz="0" w:space="0" w:color="auto"/>
      </w:divBdr>
      <w:divsChild>
        <w:div w:id="1542941221">
          <w:marLeft w:val="0"/>
          <w:marRight w:val="0"/>
          <w:marTop w:val="0"/>
          <w:marBottom w:val="0"/>
          <w:divBdr>
            <w:top w:val="none" w:sz="0" w:space="0" w:color="auto"/>
            <w:left w:val="none" w:sz="0" w:space="0" w:color="auto"/>
            <w:bottom w:val="none" w:sz="0" w:space="0" w:color="auto"/>
            <w:right w:val="none" w:sz="0" w:space="0" w:color="auto"/>
          </w:divBdr>
        </w:div>
      </w:divsChild>
    </w:div>
    <w:div w:id="577597438">
      <w:bodyDiv w:val="1"/>
      <w:marLeft w:val="0"/>
      <w:marRight w:val="0"/>
      <w:marTop w:val="0"/>
      <w:marBottom w:val="0"/>
      <w:divBdr>
        <w:top w:val="none" w:sz="0" w:space="0" w:color="auto"/>
        <w:left w:val="none" w:sz="0" w:space="0" w:color="auto"/>
        <w:bottom w:val="none" w:sz="0" w:space="0" w:color="auto"/>
        <w:right w:val="none" w:sz="0" w:space="0" w:color="auto"/>
      </w:divBdr>
    </w:div>
    <w:div w:id="577715374">
      <w:bodyDiv w:val="1"/>
      <w:marLeft w:val="0"/>
      <w:marRight w:val="0"/>
      <w:marTop w:val="0"/>
      <w:marBottom w:val="0"/>
      <w:divBdr>
        <w:top w:val="none" w:sz="0" w:space="0" w:color="auto"/>
        <w:left w:val="none" w:sz="0" w:space="0" w:color="auto"/>
        <w:bottom w:val="none" w:sz="0" w:space="0" w:color="auto"/>
        <w:right w:val="none" w:sz="0" w:space="0" w:color="auto"/>
      </w:divBdr>
    </w:div>
    <w:div w:id="583535443">
      <w:bodyDiv w:val="1"/>
      <w:marLeft w:val="0"/>
      <w:marRight w:val="0"/>
      <w:marTop w:val="0"/>
      <w:marBottom w:val="0"/>
      <w:divBdr>
        <w:top w:val="none" w:sz="0" w:space="0" w:color="auto"/>
        <w:left w:val="none" w:sz="0" w:space="0" w:color="auto"/>
        <w:bottom w:val="none" w:sz="0" w:space="0" w:color="auto"/>
        <w:right w:val="none" w:sz="0" w:space="0" w:color="auto"/>
      </w:divBdr>
    </w:div>
    <w:div w:id="596134977">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598149155">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680814576">
      <w:bodyDiv w:val="1"/>
      <w:marLeft w:val="0"/>
      <w:marRight w:val="0"/>
      <w:marTop w:val="0"/>
      <w:marBottom w:val="0"/>
      <w:divBdr>
        <w:top w:val="none" w:sz="0" w:space="0" w:color="auto"/>
        <w:left w:val="none" w:sz="0" w:space="0" w:color="auto"/>
        <w:bottom w:val="none" w:sz="0" w:space="0" w:color="auto"/>
        <w:right w:val="none" w:sz="0" w:space="0" w:color="auto"/>
      </w:divBdr>
      <w:divsChild>
        <w:div w:id="1584216467">
          <w:marLeft w:val="0"/>
          <w:marRight w:val="0"/>
          <w:marTop w:val="0"/>
          <w:marBottom w:val="0"/>
          <w:divBdr>
            <w:top w:val="none" w:sz="0" w:space="0" w:color="auto"/>
            <w:left w:val="none" w:sz="0" w:space="0" w:color="auto"/>
            <w:bottom w:val="none" w:sz="0" w:space="0" w:color="auto"/>
            <w:right w:val="none" w:sz="0" w:space="0" w:color="auto"/>
          </w:divBdr>
        </w:div>
        <w:div w:id="1115445105">
          <w:marLeft w:val="0"/>
          <w:marRight w:val="0"/>
          <w:marTop w:val="0"/>
          <w:marBottom w:val="0"/>
          <w:divBdr>
            <w:top w:val="none" w:sz="0" w:space="0" w:color="auto"/>
            <w:left w:val="none" w:sz="0" w:space="0" w:color="auto"/>
            <w:bottom w:val="none" w:sz="0" w:space="0" w:color="auto"/>
            <w:right w:val="none" w:sz="0" w:space="0" w:color="auto"/>
          </w:divBdr>
        </w:div>
      </w:divsChild>
    </w:div>
    <w:div w:id="705056967">
      <w:bodyDiv w:val="1"/>
      <w:marLeft w:val="0"/>
      <w:marRight w:val="0"/>
      <w:marTop w:val="0"/>
      <w:marBottom w:val="0"/>
      <w:divBdr>
        <w:top w:val="none" w:sz="0" w:space="0" w:color="auto"/>
        <w:left w:val="none" w:sz="0" w:space="0" w:color="auto"/>
        <w:bottom w:val="none" w:sz="0" w:space="0" w:color="auto"/>
        <w:right w:val="none" w:sz="0" w:space="0" w:color="auto"/>
      </w:divBdr>
    </w:div>
    <w:div w:id="709384243">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17357782">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28842718">
      <w:bodyDiv w:val="1"/>
      <w:marLeft w:val="0"/>
      <w:marRight w:val="0"/>
      <w:marTop w:val="0"/>
      <w:marBottom w:val="0"/>
      <w:divBdr>
        <w:top w:val="none" w:sz="0" w:space="0" w:color="auto"/>
        <w:left w:val="none" w:sz="0" w:space="0" w:color="auto"/>
        <w:bottom w:val="none" w:sz="0" w:space="0" w:color="auto"/>
        <w:right w:val="none" w:sz="0" w:space="0" w:color="auto"/>
      </w:divBdr>
      <w:divsChild>
        <w:div w:id="1980957787">
          <w:marLeft w:val="0"/>
          <w:marRight w:val="0"/>
          <w:marTop w:val="0"/>
          <w:marBottom w:val="0"/>
          <w:divBdr>
            <w:top w:val="none" w:sz="0" w:space="0" w:color="auto"/>
            <w:left w:val="none" w:sz="0" w:space="0" w:color="auto"/>
            <w:bottom w:val="none" w:sz="0" w:space="0" w:color="auto"/>
            <w:right w:val="none" w:sz="0" w:space="0" w:color="auto"/>
          </w:divBdr>
        </w:div>
      </w:divsChild>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37746548">
      <w:bodyDiv w:val="1"/>
      <w:marLeft w:val="0"/>
      <w:marRight w:val="0"/>
      <w:marTop w:val="0"/>
      <w:marBottom w:val="0"/>
      <w:divBdr>
        <w:top w:val="none" w:sz="0" w:space="0" w:color="auto"/>
        <w:left w:val="none" w:sz="0" w:space="0" w:color="auto"/>
        <w:bottom w:val="none" w:sz="0" w:space="0" w:color="auto"/>
        <w:right w:val="none" w:sz="0" w:space="0" w:color="auto"/>
      </w:divBdr>
    </w:div>
    <w:div w:id="756093418">
      <w:bodyDiv w:val="1"/>
      <w:marLeft w:val="0"/>
      <w:marRight w:val="0"/>
      <w:marTop w:val="0"/>
      <w:marBottom w:val="0"/>
      <w:divBdr>
        <w:top w:val="none" w:sz="0" w:space="0" w:color="auto"/>
        <w:left w:val="none" w:sz="0" w:space="0" w:color="auto"/>
        <w:bottom w:val="none" w:sz="0" w:space="0" w:color="auto"/>
        <w:right w:val="none" w:sz="0" w:space="0" w:color="auto"/>
      </w:divBdr>
    </w:div>
    <w:div w:id="757095363">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91442165">
      <w:bodyDiv w:val="1"/>
      <w:marLeft w:val="0"/>
      <w:marRight w:val="0"/>
      <w:marTop w:val="0"/>
      <w:marBottom w:val="0"/>
      <w:divBdr>
        <w:top w:val="none" w:sz="0" w:space="0" w:color="auto"/>
        <w:left w:val="none" w:sz="0" w:space="0" w:color="auto"/>
        <w:bottom w:val="none" w:sz="0" w:space="0" w:color="auto"/>
        <w:right w:val="none" w:sz="0" w:space="0" w:color="auto"/>
      </w:divBdr>
    </w:div>
    <w:div w:id="838499622">
      <w:bodyDiv w:val="1"/>
      <w:marLeft w:val="0"/>
      <w:marRight w:val="0"/>
      <w:marTop w:val="0"/>
      <w:marBottom w:val="0"/>
      <w:divBdr>
        <w:top w:val="none" w:sz="0" w:space="0" w:color="auto"/>
        <w:left w:val="none" w:sz="0" w:space="0" w:color="auto"/>
        <w:bottom w:val="none" w:sz="0" w:space="0" w:color="auto"/>
        <w:right w:val="none" w:sz="0" w:space="0" w:color="auto"/>
      </w:divBdr>
    </w:div>
    <w:div w:id="839738417">
      <w:bodyDiv w:val="1"/>
      <w:marLeft w:val="0"/>
      <w:marRight w:val="0"/>
      <w:marTop w:val="0"/>
      <w:marBottom w:val="0"/>
      <w:divBdr>
        <w:top w:val="none" w:sz="0" w:space="0" w:color="auto"/>
        <w:left w:val="none" w:sz="0" w:space="0" w:color="auto"/>
        <w:bottom w:val="none" w:sz="0" w:space="0" w:color="auto"/>
        <w:right w:val="none" w:sz="0" w:space="0" w:color="auto"/>
      </w:divBdr>
    </w:div>
    <w:div w:id="843475763">
      <w:bodyDiv w:val="1"/>
      <w:marLeft w:val="0"/>
      <w:marRight w:val="0"/>
      <w:marTop w:val="0"/>
      <w:marBottom w:val="0"/>
      <w:divBdr>
        <w:top w:val="none" w:sz="0" w:space="0" w:color="auto"/>
        <w:left w:val="none" w:sz="0" w:space="0" w:color="auto"/>
        <w:bottom w:val="none" w:sz="0" w:space="0" w:color="auto"/>
        <w:right w:val="none" w:sz="0" w:space="0" w:color="auto"/>
      </w:divBdr>
    </w:div>
    <w:div w:id="857431750">
      <w:bodyDiv w:val="1"/>
      <w:marLeft w:val="0"/>
      <w:marRight w:val="0"/>
      <w:marTop w:val="0"/>
      <w:marBottom w:val="0"/>
      <w:divBdr>
        <w:top w:val="none" w:sz="0" w:space="0" w:color="auto"/>
        <w:left w:val="none" w:sz="0" w:space="0" w:color="auto"/>
        <w:bottom w:val="none" w:sz="0" w:space="0" w:color="auto"/>
        <w:right w:val="none" w:sz="0" w:space="0" w:color="auto"/>
      </w:divBdr>
    </w:div>
    <w:div w:id="859662999">
      <w:bodyDiv w:val="1"/>
      <w:marLeft w:val="0"/>
      <w:marRight w:val="0"/>
      <w:marTop w:val="0"/>
      <w:marBottom w:val="0"/>
      <w:divBdr>
        <w:top w:val="none" w:sz="0" w:space="0" w:color="auto"/>
        <w:left w:val="none" w:sz="0" w:space="0" w:color="auto"/>
        <w:bottom w:val="none" w:sz="0" w:space="0" w:color="auto"/>
        <w:right w:val="none" w:sz="0" w:space="0" w:color="auto"/>
      </w:divBdr>
    </w:div>
    <w:div w:id="875043777">
      <w:bodyDiv w:val="1"/>
      <w:marLeft w:val="0"/>
      <w:marRight w:val="0"/>
      <w:marTop w:val="0"/>
      <w:marBottom w:val="0"/>
      <w:divBdr>
        <w:top w:val="none" w:sz="0" w:space="0" w:color="auto"/>
        <w:left w:val="none" w:sz="0" w:space="0" w:color="auto"/>
        <w:bottom w:val="none" w:sz="0" w:space="0" w:color="auto"/>
        <w:right w:val="none" w:sz="0" w:space="0" w:color="auto"/>
      </w:divBdr>
    </w:div>
    <w:div w:id="878934904">
      <w:bodyDiv w:val="1"/>
      <w:marLeft w:val="0"/>
      <w:marRight w:val="0"/>
      <w:marTop w:val="0"/>
      <w:marBottom w:val="0"/>
      <w:divBdr>
        <w:top w:val="none" w:sz="0" w:space="0" w:color="auto"/>
        <w:left w:val="none" w:sz="0" w:space="0" w:color="auto"/>
        <w:bottom w:val="none" w:sz="0" w:space="0" w:color="auto"/>
        <w:right w:val="none" w:sz="0" w:space="0" w:color="auto"/>
      </w:divBdr>
    </w:div>
    <w:div w:id="889196791">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02445104">
      <w:bodyDiv w:val="1"/>
      <w:marLeft w:val="0"/>
      <w:marRight w:val="0"/>
      <w:marTop w:val="0"/>
      <w:marBottom w:val="0"/>
      <w:divBdr>
        <w:top w:val="none" w:sz="0" w:space="0" w:color="auto"/>
        <w:left w:val="none" w:sz="0" w:space="0" w:color="auto"/>
        <w:bottom w:val="none" w:sz="0" w:space="0" w:color="auto"/>
        <w:right w:val="none" w:sz="0" w:space="0" w:color="auto"/>
      </w:divBdr>
    </w:div>
    <w:div w:id="902527179">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960571052">
      <w:bodyDiv w:val="1"/>
      <w:marLeft w:val="0"/>
      <w:marRight w:val="0"/>
      <w:marTop w:val="0"/>
      <w:marBottom w:val="0"/>
      <w:divBdr>
        <w:top w:val="none" w:sz="0" w:space="0" w:color="auto"/>
        <w:left w:val="none" w:sz="0" w:space="0" w:color="auto"/>
        <w:bottom w:val="none" w:sz="0" w:space="0" w:color="auto"/>
        <w:right w:val="none" w:sz="0" w:space="0" w:color="auto"/>
      </w:divBdr>
    </w:div>
    <w:div w:id="977996296">
      <w:bodyDiv w:val="1"/>
      <w:marLeft w:val="0"/>
      <w:marRight w:val="0"/>
      <w:marTop w:val="0"/>
      <w:marBottom w:val="0"/>
      <w:divBdr>
        <w:top w:val="none" w:sz="0" w:space="0" w:color="auto"/>
        <w:left w:val="none" w:sz="0" w:space="0" w:color="auto"/>
        <w:bottom w:val="none" w:sz="0" w:space="0" w:color="auto"/>
        <w:right w:val="none" w:sz="0" w:space="0" w:color="auto"/>
      </w:divBdr>
    </w:div>
    <w:div w:id="993683057">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21273824">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46754302">
      <w:bodyDiv w:val="1"/>
      <w:marLeft w:val="0"/>
      <w:marRight w:val="0"/>
      <w:marTop w:val="0"/>
      <w:marBottom w:val="0"/>
      <w:divBdr>
        <w:top w:val="none" w:sz="0" w:space="0" w:color="auto"/>
        <w:left w:val="none" w:sz="0" w:space="0" w:color="auto"/>
        <w:bottom w:val="none" w:sz="0" w:space="0" w:color="auto"/>
        <w:right w:val="none" w:sz="0" w:space="0" w:color="auto"/>
      </w:divBdr>
    </w:div>
    <w:div w:id="1066105948">
      <w:bodyDiv w:val="1"/>
      <w:marLeft w:val="0"/>
      <w:marRight w:val="0"/>
      <w:marTop w:val="0"/>
      <w:marBottom w:val="0"/>
      <w:divBdr>
        <w:top w:val="none" w:sz="0" w:space="0" w:color="auto"/>
        <w:left w:val="none" w:sz="0" w:space="0" w:color="auto"/>
        <w:bottom w:val="none" w:sz="0" w:space="0" w:color="auto"/>
        <w:right w:val="none" w:sz="0" w:space="0" w:color="auto"/>
      </w:divBdr>
    </w:div>
    <w:div w:id="1079519325">
      <w:bodyDiv w:val="1"/>
      <w:marLeft w:val="0"/>
      <w:marRight w:val="0"/>
      <w:marTop w:val="0"/>
      <w:marBottom w:val="0"/>
      <w:divBdr>
        <w:top w:val="none" w:sz="0" w:space="0" w:color="auto"/>
        <w:left w:val="none" w:sz="0" w:space="0" w:color="auto"/>
        <w:bottom w:val="none" w:sz="0" w:space="0" w:color="auto"/>
        <w:right w:val="none" w:sz="0" w:space="0" w:color="auto"/>
      </w:divBdr>
    </w:div>
    <w:div w:id="1081178780">
      <w:bodyDiv w:val="1"/>
      <w:marLeft w:val="0"/>
      <w:marRight w:val="0"/>
      <w:marTop w:val="0"/>
      <w:marBottom w:val="0"/>
      <w:divBdr>
        <w:top w:val="none" w:sz="0" w:space="0" w:color="auto"/>
        <w:left w:val="none" w:sz="0" w:space="0" w:color="auto"/>
        <w:bottom w:val="none" w:sz="0" w:space="0" w:color="auto"/>
        <w:right w:val="none" w:sz="0" w:space="0" w:color="auto"/>
      </w:divBdr>
    </w:div>
    <w:div w:id="1093823467">
      <w:bodyDiv w:val="1"/>
      <w:marLeft w:val="0"/>
      <w:marRight w:val="0"/>
      <w:marTop w:val="0"/>
      <w:marBottom w:val="0"/>
      <w:divBdr>
        <w:top w:val="none" w:sz="0" w:space="0" w:color="auto"/>
        <w:left w:val="none" w:sz="0" w:space="0" w:color="auto"/>
        <w:bottom w:val="none" w:sz="0" w:space="0" w:color="auto"/>
        <w:right w:val="none" w:sz="0" w:space="0" w:color="auto"/>
      </w:divBdr>
    </w:div>
    <w:div w:id="1113744162">
      <w:bodyDiv w:val="1"/>
      <w:marLeft w:val="0"/>
      <w:marRight w:val="0"/>
      <w:marTop w:val="0"/>
      <w:marBottom w:val="0"/>
      <w:divBdr>
        <w:top w:val="none" w:sz="0" w:space="0" w:color="auto"/>
        <w:left w:val="none" w:sz="0" w:space="0" w:color="auto"/>
        <w:bottom w:val="none" w:sz="0" w:space="0" w:color="auto"/>
        <w:right w:val="none" w:sz="0" w:space="0" w:color="auto"/>
      </w:divBdr>
    </w:div>
    <w:div w:id="1136873472">
      <w:bodyDiv w:val="1"/>
      <w:marLeft w:val="0"/>
      <w:marRight w:val="0"/>
      <w:marTop w:val="0"/>
      <w:marBottom w:val="0"/>
      <w:divBdr>
        <w:top w:val="none" w:sz="0" w:space="0" w:color="auto"/>
        <w:left w:val="none" w:sz="0" w:space="0" w:color="auto"/>
        <w:bottom w:val="none" w:sz="0" w:space="0" w:color="auto"/>
        <w:right w:val="none" w:sz="0" w:space="0" w:color="auto"/>
      </w:divBdr>
    </w:div>
    <w:div w:id="1143499298">
      <w:bodyDiv w:val="1"/>
      <w:marLeft w:val="0"/>
      <w:marRight w:val="0"/>
      <w:marTop w:val="0"/>
      <w:marBottom w:val="0"/>
      <w:divBdr>
        <w:top w:val="none" w:sz="0" w:space="0" w:color="auto"/>
        <w:left w:val="none" w:sz="0" w:space="0" w:color="auto"/>
        <w:bottom w:val="none" w:sz="0" w:space="0" w:color="auto"/>
        <w:right w:val="none" w:sz="0" w:space="0" w:color="auto"/>
      </w:divBdr>
    </w:div>
    <w:div w:id="1149051999">
      <w:bodyDiv w:val="1"/>
      <w:marLeft w:val="0"/>
      <w:marRight w:val="0"/>
      <w:marTop w:val="0"/>
      <w:marBottom w:val="0"/>
      <w:divBdr>
        <w:top w:val="none" w:sz="0" w:space="0" w:color="auto"/>
        <w:left w:val="none" w:sz="0" w:space="0" w:color="auto"/>
        <w:bottom w:val="none" w:sz="0" w:space="0" w:color="auto"/>
        <w:right w:val="none" w:sz="0" w:space="0" w:color="auto"/>
      </w:divBdr>
    </w:div>
    <w:div w:id="1149321604">
      <w:bodyDiv w:val="1"/>
      <w:marLeft w:val="0"/>
      <w:marRight w:val="0"/>
      <w:marTop w:val="0"/>
      <w:marBottom w:val="0"/>
      <w:divBdr>
        <w:top w:val="none" w:sz="0" w:space="0" w:color="auto"/>
        <w:left w:val="none" w:sz="0" w:space="0" w:color="auto"/>
        <w:bottom w:val="none" w:sz="0" w:space="0" w:color="auto"/>
        <w:right w:val="none" w:sz="0" w:space="0" w:color="auto"/>
      </w:divBdr>
    </w:div>
    <w:div w:id="1154613641">
      <w:bodyDiv w:val="1"/>
      <w:marLeft w:val="0"/>
      <w:marRight w:val="0"/>
      <w:marTop w:val="0"/>
      <w:marBottom w:val="0"/>
      <w:divBdr>
        <w:top w:val="none" w:sz="0" w:space="0" w:color="auto"/>
        <w:left w:val="none" w:sz="0" w:space="0" w:color="auto"/>
        <w:bottom w:val="none" w:sz="0" w:space="0" w:color="auto"/>
        <w:right w:val="none" w:sz="0" w:space="0" w:color="auto"/>
      </w:divBdr>
    </w:div>
    <w:div w:id="1179277981">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199397006">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15967810">
      <w:bodyDiv w:val="1"/>
      <w:marLeft w:val="0"/>
      <w:marRight w:val="0"/>
      <w:marTop w:val="0"/>
      <w:marBottom w:val="0"/>
      <w:divBdr>
        <w:top w:val="none" w:sz="0" w:space="0" w:color="auto"/>
        <w:left w:val="none" w:sz="0" w:space="0" w:color="auto"/>
        <w:bottom w:val="none" w:sz="0" w:space="0" w:color="auto"/>
        <w:right w:val="none" w:sz="0" w:space="0" w:color="auto"/>
      </w:divBdr>
    </w:div>
    <w:div w:id="1218666363">
      <w:bodyDiv w:val="1"/>
      <w:marLeft w:val="0"/>
      <w:marRight w:val="0"/>
      <w:marTop w:val="0"/>
      <w:marBottom w:val="0"/>
      <w:divBdr>
        <w:top w:val="none" w:sz="0" w:space="0" w:color="auto"/>
        <w:left w:val="none" w:sz="0" w:space="0" w:color="auto"/>
        <w:bottom w:val="none" w:sz="0" w:space="0" w:color="auto"/>
        <w:right w:val="none" w:sz="0" w:space="0" w:color="auto"/>
      </w:divBdr>
    </w:div>
    <w:div w:id="1222016140">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40477925">
      <w:bodyDiv w:val="1"/>
      <w:marLeft w:val="0"/>
      <w:marRight w:val="0"/>
      <w:marTop w:val="0"/>
      <w:marBottom w:val="0"/>
      <w:divBdr>
        <w:top w:val="none" w:sz="0" w:space="0" w:color="auto"/>
        <w:left w:val="none" w:sz="0" w:space="0" w:color="auto"/>
        <w:bottom w:val="none" w:sz="0" w:space="0" w:color="auto"/>
        <w:right w:val="none" w:sz="0" w:space="0" w:color="auto"/>
      </w:divBdr>
    </w:div>
    <w:div w:id="1250457291">
      <w:bodyDiv w:val="1"/>
      <w:marLeft w:val="0"/>
      <w:marRight w:val="0"/>
      <w:marTop w:val="0"/>
      <w:marBottom w:val="0"/>
      <w:divBdr>
        <w:top w:val="none" w:sz="0" w:space="0" w:color="auto"/>
        <w:left w:val="none" w:sz="0" w:space="0" w:color="auto"/>
        <w:bottom w:val="none" w:sz="0" w:space="0" w:color="auto"/>
        <w:right w:val="none" w:sz="0" w:space="0" w:color="auto"/>
      </w:divBdr>
    </w:div>
    <w:div w:id="1259023065">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1058519">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26008886">
      <w:bodyDiv w:val="1"/>
      <w:marLeft w:val="0"/>
      <w:marRight w:val="0"/>
      <w:marTop w:val="0"/>
      <w:marBottom w:val="0"/>
      <w:divBdr>
        <w:top w:val="none" w:sz="0" w:space="0" w:color="auto"/>
        <w:left w:val="none" w:sz="0" w:space="0" w:color="auto"/>
        <w:bottom w:val="none" w:sz="0" w:space="0" w:color="auto"/>
        <w:right w:val="none" w:sz="0" w:space="0" w:color="auto"/>
      </w:divBdr>
    </w:div>
    <w:div w:id="1349139936">
      <w:bodyDiv w:val="1"/>
      <w:marLeft w:val="0"/>
      <w:marRight w:val="0"/>
      <w:marTop w:val="0"/>
      <w:marBottom w:val="0"/>
      <w:divBdr>
        <w:top w:val="none" w:sz="0" w:space="0" w:color="auto"/>
        <w:left w:val="none" w:sz="0" w:space="0" w:color="auto"/>
        <w:bottom w:val="none" w:sz="0" w:space="0" w:color="auto"/>
        <w:right w:val="none" w:sz="0" w:space="0" w:color="auto"/>
      </w:divBdr>
    </w:div>
    <w:div w:id="1378163894">
      <w:bodyDiv w:val="1"/>
      <w:marLeft w:val="0"/>
      <w:marRight w:val="0"/>
      <w:marTop w:val="0"/>
      <w:marBottom w:val="0"/>
      <w:divBdr>
        <w:top w:val="none" w:sz="0" w:space="0" w:color="auto"/>
        <w:left w:val="none" w:sz="0" w:space="0" w:color="auto"/>
        <w:bottom w:val="none" w:sz="0" w:space="0" w:color="auto"/>
        <w:right w:val="none" w:sz="0" w:space="0" w:color="auto"/>
      </w:divBdr>
      <w:divsChild>
        <w:div w:id="1201457">
          <w:marLeft w:val="0"/>
          <w:marRight w:val="0"/>
          <w:marTop w:val="0"/>
          <w:marBottom w:val="0"/>
          <w:divBdr>
            <w:top w:val="none" w:sz="0" w:space="0" w:color="auto"/>
            <w:left w:val="none" w:sz="0" w:space="0" w:color="auto"/>
            <w:bottom w:val="none" w:sz="0" w:space="0" w:color="auto"/>
            <w:right w:val="none" w:sz="0" w:space="0" w:color="auto"/>
          </w:divBdr>
        </w:div>
      </w:divsChild>
    </w:div>
    <w:div w:id="1383403843">
      <w:bodyDiv w:val="1"/>
      <w:marLeft w:val="0"/>
      <w:marRight w:val="0"/>
      <w:marTop w:val="0"/>
      <w:marBottom w:val="0"/>
      <w:divBdr>
        <w:top w:val="none" w:sz="0" w:space="0" w:color="auto"/>
        <w:left w:val="none" w:sz="0" w:space="0" w:color="auto"/>
        <w:bottom w:val="none" w:sz="0" w:space="0" w:color="auto"/>
        <w:right w:val="none" w:sz="0" w:space="0" w:color="auto"/>
      </w:divBdr>
      <w:divsChild>
        <w:div w:id="49115403">
          <w:marLeft w:val="0"/>
          <w:marRight w:val="0"/>
          <w:marTop w:val="0"/>
          <w:marBottom w:val="0"/>
          <w:divBdr>
            <w:top w:val="none" w:sz="0" w:space="0" w:color="auto"/>
            <w:left w:val="none" w:sz="0" w:space="0" w:color="auto"/>
            <w:bottom w:val="none" w:sz="0" w:space="0" w:color="auto"/>
            <w:right w:val="none" w:sz="0" w:space="0" w:color="auto"/>
          </w:divBdr>
        </w:div>
        <w:div w:id="1551652749">
          <w:marLeft w:val="0"/>
          <w:marRight w:val="0"/>
          <w:marTop w:val="0"/>
          <w:marBottom w:val="0"/>
          <w:divBdr>
            <w:top w:val="none" w:sz="0" w:space="0" w:color="auto"/>
            <w:left w:val="none" w:sz="0" w:space="0" w:color="auto"/>
            <w:bottom w:val="none" w:sz="0" w:space="0" w:color="auto"/>
            <w:right w:val="none" w:sz="0" w:space="0" w:color="auto"/>
          </w:divBdr>
        </w:div>
      </w:divsChild>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00901871">
      <w:bodyDiv w:val="1"/>
      <w:marLeft w:val="0"/>
      <w:marRight w:val="0"/>
      <w:marTop w:val="0"/>
      <w:marBottom w:val="0"/>
      <w:divBdr>
        <w:top w:val="none" w:sz="0" w:space="0" w:color="auto"/>
        <w:left w:val="none" w:sz="0" w:space="0" w:color="auto"/>
        <w:bottom w:val="none" w:sz="0" w:space="0" w:color="auto"/>
        <w:right w:val="none" w:sz="0" w:space="0" w:color="auto"/>
      </w:divBdr>
      <w:divsChild>
        <w:div w:id="1572740153">
          <w:marLeft w:val="0"/>
          <w:marRight w:val="0"/>
          <w:marTop w:val="0"/>
          <w:marBottom w:val="0"/>
          <w:divBdr>
            <w:top w:val="single" w:sz="2" w:space="0" w:color="auto"/>
            <w:left w:val="single" w:sz="2" w:space="0" w:color="auto"/>
            <w:bottom w:val="single" w:sz="6" w:space="0" w:color="auto"/>
            <w:right w:val="single" w:sz="2" w:space="0" w:color="auto"/>
          </w:divBdr>
          <w:divsChild>
            <w:div w:id="1775587676">
              <w:marLeft w:val="0"/>
              <w:marRight w:val="0"/>
              <w:marTop w:val="100"/>
              <w:marBottom w:val="100"/>
              <w:divBdr>
                <w:top w:val="single" w:sz="2" w:space="0" w:color="D9D9E3"/>
                <w:left w:val="single" w:sz="2" w:space="0" w:color="D9D9E3"/>
                <w:bottom w:val="single" w:sz="2" w:space="0" w:color="D9D9E3"/>
                <w:right w:val="single" w:sz="2" w:space="0" w:color="D9D9E3"/>
              </w:divBdr>
              <w:divsChild>
                <w:div w:id="951596185">
                  <w:marLeft w:val="0"/>
                  <w:marRight w:val="0"/>
                  <w:marTop w:val="0"/>
                  <w:marBottom w:val="0"/>
                  <w:divBdr>
                    <w:top w:val="single" w:sz="2" w:space="0" w:color="D9D9E3"/>
                    <w:left w:val="single" w:sz="2" w:space="0" w:color="D9D9E3"/>
                    <w:bottom w:val="single" w:sz="2" w:space="0" w:color="D9D9E3"/>
                    <w:right w:val="single" w:sz="2" w:space="0" w:color="D9D9E3"/>
                  </w:divBdr>
                  <w:divsChild>
                    <w:div w:id="93208732">
                      <w:marLeft w:val="0"/>
                      <w:marRight w:val="0"/>
                      <w:marTop w:val="0"/>
                      <w:marBottom w:val="0"/>
                      <w:divBdr>
                        <w:top w:val="single" w:sz="2" w:space="0" w:color="D9D9E3"/>
                        <w:left w:val="single" w:sz="2" w:space="0" w:color="D9D9E3"/>
                        <w:bottom w:val="single" w:sz="2" w:space="0" w:color="D9D9E3"/>
                        <w:right w:val="single" w:sz="2" w:space="0" w:color="D9D9E3"/>
                      </w:divBdr>
                      <w:divsChild>
                        <w:div w:id="272060578">
                          <w:marLeft w:val="0"/>
                          <w:marRight w:val="0"/>
                          <w:marTop w:val="0"/>
                          <w:marBottom w:val="0"/>
                          <w:divBdr>
                            <w:top w:val="single" w:sz="2" w:space="0" w:color="D9D9E3"/>
                            <w:left w:val="single" w:sz="2" w:space="0" w:color="D9D9E3"/>
                            <w:bottom w:val="single" w:sz="2" w:space="0" w:color="D9D9E3"/>
                            <w:right w:val="single" w:sz="2" w:space="0" w:color="D9D9E3"/>
                          </w:divBdr>
                          <w:divsChild>
                            <w:div w:id="2049867288">
                              <w:marLeft w:val="0"/>
                              <w:marRight w:val="0"/>
                              <w:marTop w:val="0"/>
                              <w:marBottom w:val="0"/>
                              <w:divBdr>
                                <w:top w:val="single" w:sz="2" w:space="0" w:color="D9D9E3"/>
                                <w:left w:val="single" w:sz="2" w:space="0" w:color="D9D9E3"/>
                                <w:bottom w:val="single" w:sz="2" w:space="0" w:color="D9D9E3"/>
                                <w:right w:val="single" w:sz="2" w:space="0" w:color="D9D9E3"/>
                              </w:divBdr>
                              <w:divsChild>
                                <w:div w:id="893392981">
                                  <w:marLeft w:val="0"/>
                                  <w:marRight w:val="0"/>
                                  <w:marTop w:val="0"/>
                                  <w:marBottom w:val="0"/>
                                  <w:divBdr>
                                    <w:top w:val="single" w:sz="2" w:space="0" w:color="D9D9E3"/>
                                    <w:left w:val="single" w:sz="2" w:space="0" w:color="D9D9E3"/>
                                    <w:bottom w:val="single" w:sz="2" w:space="0" w:color="D9D9E3"/>
                                    <w:right w:val="single" w:sz="2" w:space="0" w:color="D9D9E3"/>
                                  </w:divBdr>
                                  <w:divsChild>
                                    <w:div w:id="892934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19793678">
      <w:bodyDiv w:val="1"/>
      <w:marLeft w:val="0"/>
      <w:marRight w:val="0"/>
      <w:marTop w:val="0"/>
      <w:marBottom w:val="0"/>
      <w:divBdr>
        <w:top w:val="none" w:sz="0" w:space="0" w:color="auto"/>
        <w:left w:val="none" w:sz="0" w:space="0" w:color="auto"/>
        <w:bottom w:val="none" w:sz="0" w:space="0" w:color="auto"/>
        <w:right w:val="none" w:sz="0" w:space="0" w:color="auto"/>
      </w:divBdr>
    </w:div>
    <w:div w:id="1452749735">
      <w:bodyDiv w:val="1"/>
      <w:marLeft w:val="0"/>
      <w:marRight w:val="0"/>
      <w:marTop w:val="0"/>
      <w:marBottom w:val="0"/>
      <w:divBdr>
        <w:top w:val="none" w:sz="0" w:space="0" w:color="auto"/>
        <w:left w:val="none" w:sz="0" w:space="0" w:color="auto"/>
        <w:bottom w:val="none" w:sz="0" w:space="0" w:color="auto"/>
        <w:right w:val="none" w:sz="0" w:space="0" w:color="auto"/>
      </w:divBdr>
    </w:div>
    <w:div w:id="1463965880">
      <w:bodyDiv w:val="1"/>
      <w:marLeft w:val="0"/>
      <w:marRight w:val="0"/>
      <w:marTop w:val="0"/>
      <w:marBottom w:val="0"/>
      <w:divBdr>
        <w:top w:val="none" w:sz="0" w:space="0" w:color="auto"/>
        <w:left w:val="none" w:sz="0" w:space="0" w:color="auto"/>
        <w:bottom w:val="none" w:sz="0" w:space="0" w:color="auto"/>
        <w:right w:val="none" w:sz="0" w:space="0" w:color="auto"/>
      </w:divBdr>
    </w:div>
    <w:div w:id="1464957015">
      <w:bodyDiv w:val="1"/>
      <w:marLeft w:val="0"/>
      <w:marRight w:val="0"/>
      <w:marTop w:val="0"/>
      <w:marBottom w:val="0"/>
      <w:divBdr>
        <w:top w:val="none" w:sz="0" w:space="0" w:color="auto"/>
        <w:left w:val="none" w:sz="0" w:space="0" w:color="auto"/>
        <w:bottom w:val="none" w:sz="0" w:space="0" w:color="auto"/>
        <w:right w:val="none" w:sz="0" w:space="0" w:color="auto"/>
      </w:divBdr>
    </w:div>
    <w:div w:id="1471827211">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0686833">
      <w:bodyDiv w:val="1"/>
      <w:marLeft w:val="0"/>
      <w:marRight w:val="0"/>
      <w:marTop w:val="0"/>
      <w:marBottom w:val="0"/>
      <w:divBdr>
        <w:top w:val="none" w:sz="0" w:space="0" w:color="auto"/>
        <w:left w:val="none" w:sz="0" w:space="0" w:color="auto"/>
        <w:bottom w:val="none" w:sz="0" w:space="0" w:color="auto"/>
        <w:right w:val="none" w:sz="0" w:space="0" w:color="auto"/>
      </w:divBdr>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97257753">
      <w:bodyDiv w:val="1"/>
      <w:marLeft w:val="0"/>
      <w:marRight w:val="0"/>
      <w:marTop w:val="0"/>
      <w:marBottom w:val="0"/>
      <w:divBdr>
        <w:top w:val="none" w:sz="0" w:space="0" w:color="auto"/>
        <w:left w:val="none" w:sz="0" w:space="0" w:color="auto"/>
        <w:bottom w:val="none" w:sz="0" w:space="0" w:color="auto"/>
        <w:right w:val="none" w:sz="0" w:space="0" w:color="auto"/>
      </w:divBdr>
    </w:div>
    <w:div w:id="1502963055">
      <w:bodyDiv w:val="1"/>
      <w:marLeft w:val="0"/>
      <w:marRight w:val="0"/>
      <w:marTop w:val="0"/>
      <w:marBottom w:val="0"/>
      <w:divBdr>
        <w:top w:val="none" w:sz="0" w:space="0" w:color="auto"/>
        <w:left w:val="none" w:sz="0" w:space="0" w:color="auto"/>
        <w:bottom w:val="none" w:sz="0" w:space="0" w:color="auto"/>
        <w:right w:val="none" w:sz="0" w:space="0" w:color="auto"/>
      </w:divBdr>
    </w:div>
    <w:div w:id="1511407129">
      <w:bodyDiv w:val="1"/>
      <w:marLeft w:val="0"/>
      <w:marRight w:val="0"/>
      <w:marTop w:val="0"/>
      <w:marBottom w:val="0"/>
      <w:divBdr>
        <w:top w:val="none" w:sz="0" w:space="0" w:color="auto"/>
        <w:left w:val="none" w:sz="0" w:space="0" w:color="auto"/>
        <w:bottom w:val="none" w:sz="0" w:space="0" w:color="auto"/>
        <w:right w:val="none" w:sz="0" w:space="0" w:color="auto"/>
      </w:divBdr>
    </w:div>
    <w:div w:id="1517840106">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31265019">
      <w:bodyDiv w:val="1"/>
      <w:marLeft w:val="0"/>
      <w:marRight w:val="0"/>
      <w:marTop w:val="0"/>
      <w:marBottom w:val="0"/>
      <w:divBdr>
        <w:top w:val="none" w:sz="0" w:space="0" w:color="auto"/>
        <w:left w:val="none" w:sz="0" w:space="0" w:color="auto"/>
        <w:bottom w:val="none" w:sz="0" w:space="0" w:color="auto"/>
        <w:right w:val="none" w:sz="0" w:space="0" w:color="auto"/>
      </w:divBdr>
    </w:div>
    <w:div w:id="1546794589">
      <w:bodyDiv w:val="1"/>
      <w:marLeft w:val="0"/>
      <w:marRight w:val="0"/>
      <w:marTop w:val="0"/>
      <w:marBottom w:val="0"/>
      <w:divBdr>
        <w:top w:val="none" w:sz="0" w:space="0" w:color="auto"/>
        <w:left w:val="none" w:sz="0" w:space="0" w:color="auto"/>
        <w:bottom w:val="none" w:sz="0" w:space="0" w:color="auto"/>
        <w:right w:val="none" w:sz="0" w:space="0" w:color="auto"/>
      </w:divBdr>
    </w:div>
    <w:div w:id="1550920086">
      <w:bodyDiv w:val="1"/>
      <w:marLeft w:val="0"/>
      <w:marRight w:val="0"/>
      <w:marTop w:val="0"/>
      <w:marBottom w:val="0"/>
      <w:divBdr>
        <w:top w:val="none" w:sz="0" w:space="0" w:color="auto"/>
        <w:left w:val="none" w:sz="0" w:space="0" w:color="auto"/>
        <w:bottom w:val="none" w:sz="0" w:space="0" w:color="auto"/>
        <w:right w:val="none" w:sz="0" w:space="0" w:color="auto"/>
      </w:divBdr>
    </w:div>
    <w:div w:id="1559323015">
      <w:bodyDiv w:val="1"/>
      <w:marLeft w:val="0"/>
      <w:marRight w:val="0"/>
      <w:marTop w:val="0"/>
      <w:marBottom w:val="0"/>
      <w:divBdr>
        <w:top w:val="none" w:sz="0" w:space="0" w:color="auto"/>
        <w:left w:val="none" w:sz="0" w:space="0" w:color="auto"/>
        <w:bottom w:val="none" w:sz="0" w:space="0" w:color="auto"/>
        <w:right w:val="none" w:sz="0" w:space="0" w:color="auto"/>
      </w:divBdr>
      <w:divsChild>
        <w:div w:id="1256480910">
          <w:marLeft w:val="0"/>
          <w:marRight w:val="0"/>
          <w:marTop w:val="0"/>
          <w:marBottom w:val="0"/>
          <w:divBdr>
            <w:top w:val="none" w:sz="0" w:space="0" w:color="auto"/>
            <w:left w:val="none" w:sz="0" w:space="0" w:color="auto"/>
            <w:bottom w:val="none" w:sz="0" w:space="0" w:color="auto"/>
            <w:right w:val="none" w:sz="0" w:space="0" w:color="auto"/>
          </w:divBdr>
          <w:divsChild>
            <w:div w:id="2127117191">
              <w:marLeft w:val="0"/>
              <w:marRight w:val="0"/>
              <w:marTop w:val="0"/>
              <w:marBottom w:val="0"/>
              <w:divBdr>
                <w:top w:val="none" w:sz="0" w:space="0" w:color="auto"/>
                <w:left w:val="none" w:sz="0" w:space="0" w:color="auto"/>
                <w:bottom w:val="none" w:sz="0" w:space="0" w:color="auto"/>
                <w:right w:val="none" w:sz="0" w:space="0" w:color="auto"/>
              </w:divBdr>
              <w:divsChild>
                <w:div w:id="1095593601">
                  <w:marLeft w:val="0"/>
                  <w:marRight w:val="0"/>
                  <w:marTop w:val="0"/>
                  <w:marBottom w:val="0"/>
                  <w:divBdr>
                    <w:top w:val="none" w:sz="0" w:space="0" w:color="auto"/>
                    <w:left w:val="none" w:sz="0" w:space="0" w:color="auto"/>
                    <w:bottom w:val="none" w:sz="0" w:space="0" w:color="auto"/>
                    <w:right w:val="none" w:sz="0" w:space="0" w:color="auto"/>
                  </w:divBdr>
                  <w:divsChild>
                    <w:div w:id="153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5733">
      <w:bodyDiv w:val="1"/>
      <w:marLeft w:val="0"/>
      <w:marRight w:val="0"/>
      <w:marTop w:val="0"/>
      <w:marBottom w:val="0"/>
      <w:divBdr>
        <w:top w:val="none" w:sz="0" w:space="0" w:color="auto"/>
        <w:left w:val="none" w:sz="0" w:space="0" w:color="auto"/>
        <w:bottom w:val="none" w:sz="0" w:space="0" w:color="auto"/>
        <w:right w:val="none" w:sz="0" w:space="0" w:color="auto"/>
      </w:divBdr>
      <w:divsChild>
        <w:div w:id="2018582039">
          <w:marLeft w:val="0"/>
          <w:marRight w:val="0"/>
          <w:marTop w:val="0"/>
          <w:marBottom w:val="0"/>
          <w:divBdr>
            <w:top w:val="none" w:sz="0" w:space="0" w:color="auto"/>
            <w:left w:val="none" w:sz="0" w:space="0" w:color="auto"/>
            <w:bottom w:val="none" w:sz="0" w:space="0" w:color="auto"/>
            <w:right w:val="none" w:sz="0" w:space="0" w:color="auto"/>
          </w:divBdr>
        </w:div>
      </w:divsChild>
    </w:div>
    <w:div w:id="1605652063">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35405101">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43656750">
      <w:bodyDiv w:val="1"/>
      <w:marLeft w:val="0"/>
      <w:marRight w:val="0"/>
      <w:marTop w:val="0"/>
      <w:marBottom w:val="0"/>
      <w:divBdr>
        <w:top w:val="none" w:sz="0" w:space="0" w:color="auto"/>
        <w:left w:val="none" w:sz="0" w:space="0" w:color="auto"/>
        <w:bottom w:val="none" w:sz="0" w:space="0" w:color="auto"/>
        <w:right w:val="none" w:sz="0" w:space="0" w:color="auto"/>
      </w:divBdr>
    </w:div>
    <w:div w:id="1652098867">
      <w:bodyDiv w:val="1"/>
      <w:marLeft w:val="0"/>
      <w:marRight w:val="0"/>
      <w:marTop w:val="0"/>
      <w:marBottom w:val="0"/>
      <w:divBdr>
        <w:top w:val="none" w:sz="0" w:space="0" w:color="auto"/>
        <w:left w:val="none" w:sz="0" w:space="0" w:color="auto"/>
        <w:bottom w:val="none" w:sz="0" w:space="0" w:color="auto"/>
        <w:right w:val="none" w:sz="0" w:space="0" w:color="auto"/>
      </w:divBdr>
    </w:div>
    <w:div w:id="1658338893">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2022825">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59475240">
      <w:bodyDiv w:val="1"/>
      <w:marLeft w:val="0"/>
      <w:marRight w:val="0"/>
      <w:marTop w:val="0"/>
      <w:marBottom w:val="0"/>
      <w:divBdr>
        <w:top w:val="none" w:sz="0" w:space="0" w:color="auto"/>
        <w:left w:val="none" w:sz="0" w:space="0" w:color="auto"/>
        <w:bottom w:val="none" w:sz="0" w:space="0" w:color="auto"/>
        <w:right w:val="none" w:sz="0" w:space="0" w:color="auto"/>
      </w:divBdr>
    </w:div>
    <w:div w:id="1760443480">
      <w:bodyDiv w:val="1"/>
      <w:marLeft w:val="0"/>
      <w:marRight w:val="0"/>
      <w:marTop w:val="0"/>
      <w:marBottom w:val="0"/>
      <w:divBdr>
        <w:top w:val="none" w:sz="0" w:space="0" w:color="auto"/>
        <w:left w:val="none" w:sz="0" w:space="0" w:color="auto"/>
        <w:bottom w:val="none" w:sz="0" w:space="0" w:color="auto"/>
        <w:right w:val="none" w:sz="0" w:space="0" w:color="auto"/>
      </w:divBdr>
    </w:div>
    <w:div w:id="1774128200">
      <w:bodyDiv w:val="1"/>
      <w:marLeft w:val="0"/>
      <w:marRight w:val="0"/>
      <w:marTop w:val="0"/>
      <w:marBottom w:val="0"/>
      <w:divBdr>
        <w:top w:val="none" w:sz="0" w:space="0" w:color="auto"/>
        <w:left w:val="none" w:sz="0" w:space="0" w:color="auto"/>
        <w:bottom w:val="none" w:sz="0" w:space="0" w:color="auto"/>
        <w:right w:val="none" w:sz="0" w:space="0" w:color="auto"/>
      </w:divBdr>
    </w:div>
    <w:div w:id="1780710990">
      <w:bodyDiv w:val="1"/>
      <w:marLeft w:val="0"/>
      <w:marRight w:val="0"/>
      <w:marTop w:val="0"/>
      <w:marBottom w:val="0"/>
      <w:divBdr>
        <w:top w:val="none" w:sz="0" w:space="0" w:color="auto"/>
        <w:left w:val="none" w:sz="0" w:space="0" w:color="auto"/>
        <w:bottom w:val="none" w:sz="0" w:space="0" w:color="auto"/>
        <w:right w:val="none" w:sz="0" w:space="0" w:color="auto"/>
      </w:divBdr>
      <w:divsChild>
        <w:div w:id="2115439549">
          <w:marLeft w:val="0"/>
          <w:marRight w:val="0"/>
          <w:marTop w:val="0"/>
          <w:marBottom w:val="0"/>
          <w:divBdr>
            <w:top w:val="none" w:sz="0" w:space="0" w:color="auto"/>
            <w:left w:val="none" w:sz="0" w:space="0" w:color="auto"/>
            <w:bottom w:val="none" w:sz="0" w:space="0" w:color="auto"/>
            <w:right w:val="none" w:sz="0" w:space="0" w:color="auto"/>
          </w:divBdr>
        </w:div>
      </w:divsChild>
    </w:div>
    <w:div w:id="1792745826">
      <w:bodyDiv w:val="1"/>
      <w:marLeft w:val="0"/>
      <w:marRight w:val="0"/>
      <w:marTop w:val="0"/>
      <w:marBottom w:val="0"/>
      <w:divBdr>
        <w:top w:val="none" w:sz="0" w:space="0" w:color="auto"/>
        <w:left w:val="none" w:sz="0" w:space="0" w:color="auto"/>
        <w:bottom w:val="none" w:sz="0" w:space="0" w:color="auto"/>
        <w:right w:val="none" w:sz="0" w:space="0" w:color="auto"/>
      </w:divBdr>
    </w:div>
    <w:div w:id="1807621684">
      <w:bodyDiv w:val="1"/>
      <w:marLeft w:val="0"/>
      <w:marRight w:val="0"/>
      <w:marTop w:val="0"/>
      <w:marBottom w:val="0"/>
      <w:divBdr>
        <w:top w:val="none" w:sz="0" w:space="0" w:color="auto"/>
        <w:left w:val="none" w:sz="0" w:space="0" w:color="auto"/>
        <w:bottom w:val="none" w:sz="0" w:space="0" w:color="auto"/>
        <w:right w:val="none" w:sz="0" w:space="0" w:color="auto"/>
      </w:divBdr>
    </w:div>
    <w:div w:id="1829439129">
      <w:bodyDiv w:val="1"/>
      <w:marLeft w:val="0"/>
      <w:marRight w:val="0"/>
      <w:marTop w:val="0"/>
      <w:marBottom w:val="0"/>
      <w:divBdr>
        <w:top w:val="none" w:sz="0" w:space="0" w:color="auto"/>
        <w:left w:val="none" w:sz="0" w:space="0" w:color="auto"/>
        <w:bottom w:val="none" w:sz="0" w:space="0" w:color="auto"/>
        <w:right w:val="none" w:sz="0" w:space="0" w:color="auto"/>
      </w:divBdr>
    </w:div>
    <w:div w:id="1842695607">
      <w:bodyDiv w:val="1"/>
      <w:marLeft w:val="0"/>
      <w:marRight w:val="0"/>
      <w:marTop w:val="0"/>
      <w:marBottom w:val="0"/>
      <w:divBdr>
        <w:top w:val="none" w:sz="0" w:space="0" w:color="auto"/>
        <w:left w:val="none" w:sz="0" w:space="0" w:color="auto"/>
        <w:bottom w:val="none" w:sz="0" w:space="0" w:color="auto"/>
        <w:right w:val="none" w:sz="0" w:space="0" w:color="auto"/>
      </w:divBdr>
    </w:div>
    <w:div w:id="1921986959">
      <w:bodyDiv w:val="1"/>
      <w:marLeft w:val="0"/>
      <w:marRight w:val="0"/>
      <w:marTop w:val="0"/>
      <w:marBottom w:val="0"/>
      <w:divBdr>
        <w:top w:val="none" w:sz="0" w:space="0" w:color="auto"/>
        <w:left w:val="none" w:sz="0" w:space="0" w:color="auto"/>
        <w:bottom w:val="none" w:sz="0" w:space="0" w:color="auto"/>
        <w:right w:val="none" w:sz="0" w:space="0" w:color="auto"/>
      </w:divBdr>
    </w:div>
    <w:div w:id="1934047005">
      <w:bodyDiv w:val="1"/>
      <w:marLeft w:val="0"/>
      <w:marRight w:val="0"/>
      <w:marTop w:val="0"/>
      <w:marBottom w:val="0"/>
      <w:divBdr>
        <w:top w:val="none" w:sz="0" w:space="0" w:color="auto"/>
        <w:left w:val="none" w:sz="0" w:space="0" w:color="auto"/>
        <w:bottom w:val="none" w:sz="0" w:space="0" w:color="auto"/>
        <w:right w:val="none" w:sz="0" w:space="0" w:color="auto"/>
      </w:divBdr>
    </w:div>
    <w:div w:id="1955553571">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1963950062">
      <w:bodyDiv w:val="1"/>
      <w:marLeft w:val="0"/>
      <w:marRight w:val="0"/>
      <w:marTop w:val="0"/>
      <w:marBottom w:val="0"/>
      <w:divBdr>
        <w:top w:val="none" w:sz="0" w:space="0" w:color="auto"/>
        <w:left w:val="none" w:sz="0" w:space="0" w:color="auto"/>
        <w:bottom w:val="none" w:sz="0" w:space="0" w:color="auto"/>
        <w:right w:val="none" w:sz="0" w:space="0" w:color="auto"/>
      </w:divBdr>
      <w:divsChild>
        <w:div w:id="376274045">
          <w:marLeft w:val="0"/>
          <w:marRight w:val="0"/>
          <w:marTop w:val="0"/>
          <w:marBottom w:val="0"/>
          <w:divBdr>
            <w:top w:val="single" w:sz="2" w:space="0" w:color="auto"/>
            <w:left w:val="single" w:sz="2" w:space="0" w:color="auto"/>
            <w:bottom w:val="single" w:sz="6" w:space="0" w:color="auto"/>
            <w:right w:val="single" w:sz="2" w:space="0" w:color="auto"/>
          </w:divBdr>
          <w:divsChild>
            <w:div w:id="258492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65773089">
                  <w:marLeft w:val="0"/>
                  <w:marRight w:val="0"/>
                  <w:marTop w:val="0"/>
                  <w:marBottom w:val="0"/>
                  <w:divBdr>
                    <w:top w:val="single" w:sz="2" w:space="0" w:color="D9D9E3"/>
                    <w:left w:val="single" w:sz="2" w:space="0" w:color="D9D9E3"/>
                    <w:bottom w:val="single" w:sz="2" w:space="0" w:color="D9D9E3"/>
                    <w:right w:val="single" w:sz="2" w:space="0" w:color="D9D9E3"/>
                  </w:divBdr>
                  <w:divsChild>
                    <w:div w:id="1611474653">
                      <w:marLeft w:val="0"/>
                      <w:marRight w:val="0"/>
                      <w:marTop w:val="0"/>
                      <w:marBottom w:val="0"/>
                      <w:divBdr>
                        <w:top w:val="single" w:sz="2" w:space="0" w:color="D9D9E3"/>
                        <w:left w:val="single" w:sz="2" w:space="0" w:color="D9D9E3"/>
                        <w:bottom w:val="single" w:sz="2" w:space="0" w:color="D9D9E3"/>
                        <w:right w:val="single" w:sz="2" w:space="0" w:color="D9D9E3"/>
                      </w:divBdr>
                      <w:divsChild>
                        <w:div w:id="493256518">
                          <w:marLeft w:val="0"/>
                          <w:marRight w:val="0"/>
                          <w:marTop w:val="0"/>
                          <w:marBottom w:val="0"/>
                          <w:divBdr>
                            <w:top w:val="single" w:sz="2" w:space="0" w:color="D9D9E3"/>
                            <w:left w:val="single" w:sz="2" w:space="0" w:color="D9D9E3"/>
                            <w:bottom w:val="single" w:sz="2" w:space="0" w:color="D9D9E3"/>
                            <w:right w:val="single" w:sz="2" w:space="0" w:color="D9D9E3"/>
                          </w:divBdr>
                          <w:divsChild>
                            <w:div w:id="1221789951">
                              <w:marLeft w:val="0"/>
                              <w:marRight w:val="0"/>
                              <w:marTop w:val="0"/>
                              <w:marBottom w:val="0"/>
                              <w:divBdr>
                                <w:top w:val="single" w:sz="2" w:space="0" w:color="D9D9E3"/>
                                <w:left w:val="single" w:sz="2" w:space="0" w:color="D9D9E3"/>
                                <w:bottom w:val="single" w:sz="2" w:space="0" w:color="D9D9E3"/>
                                <w:right w:val="single" w:sz="2" w:space="0" w:color="D9D9E3"/>
                              </w:divBdr>
                              <w:divsChild>
                                <w:div w:id="1353995205">
                                  <w:marLeft w:val="0"/>
                                  <w:marRight w:val="0"/>
                                  <w:marTop w:val="0"/>
                                  <w:marBottom w:val="0"/>
                                  <w:divBdr>
                                    <w:top w:val="single" w:sz="2" w:space="0" w:color="D9D9E3"/>
                                    <w:left w:val="single" w:sz="2" w:space="0" w:color="D9D9E3"/>
                                    <w:bottom w:val="single" w:sz="2" w:space="0" w:color="D9D9E3"/>
                                    <w:right w:val="single" w:sz="2" w:space="0" w:color="D9D9E3"/>
                                  </w:divBdr>
                                  <w:divsChild>
                                    <w:div w:id="345522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96295053">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32410372">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4311422">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20290586">
      <w:bodyDiv w:val="1"/>
      <w:marLeft w:val="0"/>
      <w:marRight w:val="0"/>
      <w:marTop w:val="0"/>
      <w:marBottom w:val="0"/>
      <w:divBdr>
        <w:top w:val="none" w:sz="0" w:space="0" w:color="auto"/>
        <w:left w:val="none" w:sz="0" w:space="0" w:color="auto"/>
        <w:bottom w:val="none" w:sz="0" w:space="0" w:color="auto"/>
        <w:right w:val="none" w:sz="0" w:space="0" w:color="auto"/>
      </w:divBdr>
    </w:div>
    <w:div w:id="2137990413">
      <w:bodyDiv w:val="1"/>
      <w:marLeft w:val="0"/>
      <w:marRight w:val="0"/>
      <w:marTop w:val="0"/>
      <w:marBottom w:val="0"/>
      <w:divBdr>
        <w:top w:val="none" w:sz="0" w:space="0" w:color="auto"/>
        <w:left w:val="none" w:sz="0" w:space="0" w:color="auto"/>
        <w:bottom w:val="none" w:sz="0" w:space="0" w:color="auto"/>
        <w:right w:val="none" w:sz="0" w:space="0" w:color="auto"/>
      </w:divBdr>
    </w:div>
    <w:div w:id="21471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yperlink" Target="http://www.investinganswers.com/node/2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yperlink" Target="http://www.investinganswers.com/node/5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www.niftyindices.com/market-data/return-profil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420C91A2D8D34B2682B1FA8E0B97BF8C"/>
        <w:category>
          <w:name w:val="General"/>
          <w:gallery w:val="placeholder"/>
        </w:category>
        <w:types>
          <w:type w:val="bbPlcHdr"/>
        </w:types>
        <w:behaviors>
          <w:behavior w:val="content"/>
        </w:behaviors>
        <w:guid w:val="{98742F61-6960-42B5-8CD1-D4A39865B27A}"/>
      </w:docPartPr>
      <w:docPartBody>
        <w:p w:rsidR="007411C6" w:rsidRDefault="00645DFF" w:rsidP="00645DFF">
          <w:pPr>
            <w:pStyle w:val="420C91A2D8D34B2682B1FA8E0B97BF8C"/>
          </w:pPr>
          <w:r w:rsidRPr="003E3D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1743D"/>
    <w:rsid w:val="000244F3"/>
    <w:rsid w:val="0008524D"/>
    <w:rsid w:val="000C605B"/>
    <w:rsid w:val="000C792A"/>
    <w:rsid w:val="000D3F40"/>
    <w:rsid w:val="00121549"/>
    <w:rsid w:val="001257DE"/>
    <w:rsid w:val="001329F9"/>
    <w:rsid w:val="00147596"/>
    <w:rsid w:val="001604D2"/>
    <w:rsid w:val="00187D89"/>
    <w:rsid w:val="001D56E1"/>
    <w:rsid w:val="001E2F27"/>
    <w:rsid w:val="00231594"/>
    <w:rsid w:val="002B7A15"/>
    <w:rsid w:val="002C3905"/>
    <w:rsid w:val="002E353D"/>
    <w:rsid w:val="00301596"/>
    <w:rsid w:val="00323CF1"/>
    <w:rsid w:val="00332957"/>
    <w:rsid w:val="003637E6"/>
    <w:rsid w:val="003E794D"/>
    <w:rsid w:val="004113BA"/>
    <w:rsid w:val="00425F16"/>
    <w:rsid w:val="004313F1"/>
    <w:rsid w:val="00457677"/>
    <w:rsid w:val="00484E09"/>
    <w:rsid w:val="004B7756"/>
    <w:rsid w:val="004D78C7"/>
    <w:rsid w:val="00503210"/>
    <w:rsid w:val="00527539"/>
    <w:rsid w:val="00530D8C"/>
    <w:rsid w:val="005A6E00"/>
    <w:rsid w:val="005C34E9"/>
    <w:rsid w:val="00604A1D"/>
    <w:rsid w:val="00645DFF"/>
    <w:rsid w:val="0068345B"/>
    <w:rsid w:val="006A4122"/>
    <w:rsid w:val="006A6BC8"/>
    <w:rsid w:val="006C7F60"/>
    <w:rsid w:val="006E76BB"/>
    <w:rsid w:val="007411C6"/>
    <w:rsid w:val="00777671"/>
    <w:rsid w:val="007B2744"/>
    <w:rsid w:val="00811C8F"/>
    <w:rsid w:val="008656F6"/>
    <w:rsid w:val="008D02E3"/>
    <w:rsid w:val="008D3B6E"/>
    <w:rsid w:val="008F4408"/>
    <w:rsid w:val="009801A3"/>
    <w:rsid w:val="009A3A50"/>
    <w:rsid w:val="00A0598E"/>
    <w:rsid w:val="00A075BF"/>
    <w:rsid w:val="00A17C99"/>
    <w:rsid w:val="00A32766"/>
    <w:rsid w:val="00A82466"/>
    <w:rsid w:val="00A9216C"/>
    <w:rsid w:val="00AE0AD5"/>
    <w:rsid w:val="00AE40E1"/>
    <w:rsid w:val="00B116B0"/>
    <w:rsid w:val="00B13E2E"/>
    <w:rsid w:val="00B25F58"/>
    <w:rsid w:val="00B74E81"/>
    <w:rsid w:val="00B8280F"/>
    <w:rsid w:val="00B9130F"/>
    <w:rsid w:val="00B9152F"/>
    <w:rsid w:val="00BB749F"/>
    <w:rsid w:val="00BD4063"/>
    <w:rsid w:val="00C17664"/>
    <w:rsid w:val="00C71B71"/>
    <w:rsid w:val="00C76805"/>
    <w:rsid w:val="00CA7448"/>
    <w:rsid w:val="00CC1564"/>
    <w:rsid w:val="00CC1B4C"/>
    <w:rsid w:val="00CD16D8"/>
    <w:rsid w:val="00CE41FF"/>
    <w:rsid w:val="00CE43C3"/>
    <w:rsid w:val="00D6272B"/>
    <w:rsid w:val="00DE166F"/>
    <w:rsid w:val="00E20E32"/>
    <w:rsid w:val="00E24EE2"/>
    <w:rsid w:val="00E252C9"/>
    <w:rsid w:val="00E41E96"/>
    <w:rsid w:val="00E43133"/>
    <w:rsid w:val="00E44572"/>
    <w:rsid w:val="00E635A6"/>
    <w:rsid w:val="00E97F6F"/>
    <w:rsid w:val="00EA6B21"/>
    <w:rsid w:val="00EE137D"/>
    <w:rsid w:val="00F019EC"/>
    <w:rsid w:val="00F04BA0"/>
    <w:rsid w:val="00F14371"/>
    <w:rsid w:val="00F166CC"/>
    <w:rsid w:val="00F230AC"/>
    <w:rsid w:val="00F36E92"/>
    <w:rsid w:val="00F52A6B"/>
    <w:rsid w:val="00FB2416"/>
    <w:rsid w:val="00FF7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DFF"/>
    <w:rPr>
      <w:color w:val="808080"/>
    </w:rPr>
  </w:style>
  <w:style w:type="paragraph" w:customStyle="1" w:styleId="35136785C9ED4DD5A88C47EE69E3505C">
    <w:name w:val="35136785C9ED4DD5A88C47EE69E3505C"/>
    <w:rsid w:val="009801A3"/>
  </w:style>
  <w:style w:type="paragraph" w:customStyle="1" w:styleId="420C91A2D8D34B2682B1FA8E0B97BF8C">
    <w:name w:val="420C91A2D8D34B2682B1FA8E0B97BF8C"/>
    <w:rsid w:val="00645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B44D-52F9-4DBD-949D-35E16458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11216</Words>
  <Characters>63932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Essar Power Gujarat Limited, Jamnagar, Gujarat</dc:subject>
  <dc:creator>Saransh</dc:creator>
  <cp:lastModifiedBy>Gaurav Kumar</cp:lastModifiedBy>
  <cp:revision>5</cp:revision>
  <cp:lastPrinted>2025-02-12T10:55:00Z</cp:lastPrinted>
  <dcterms:created xsi:type="dcterms:W3CDTF">2025-02-12T09:59:00Z</dcterms:created>
  <dcterms:modified xsi:type="dcterms:W3CDTF">2025-02-12T11:02:00Z</dcterms:modified>
</cp:coreProperties>
</file>