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F6893" w14:textId="413726AC" w:rsidR="00BB58E1" w:rsidRPr="00BB58E1" w:rsidRDefault="00BB58E1" w:rsidP="00BB58E1">
      <w:pPr>
        <w:spacing w:line="360" w:lineRule="auto"/>
      </w:pPr>
      <w:r>
        <w:rPr>
          <w:rFonts w:ascii="Times New Roman" w:hAnsi="Times New Roman" w:cs="Times New Roman"/>
          <w:b/>
          <w:bCs/>
          <w:sz w:val="20"/>
          <w:szCs w:val="20"/>
          <w:lang w:val="en-US"/>
        </w:rPr>
        <w:t>Pt no 1 &amp; Pt no 3</w:t>
      </w:r>
    </w:p>
    <w:p w14:paraId="3A7BCABC" w14:textId="77777777" w:rsidR="00BB58E1" w:rsidRPr="00BB58E1" w:rsidRDefault="00BB58E1" w:rsidP="00BB58E1">
      <w:pPr>
        <w:spacing w:line="360" w:lineRule="auto"/>
      </w:pPr>
      <w:r w:rsidRPr="00BB58E1">
        <w:rPr>
          <w:rFonts w:ascii="Times New Roman" w:hAnsi="Times New Roman" w:cs="Times New Roman"/>
          <w:b/>
          <w:bCs/>
          <w:sz w:val="20"/>
          <w:szCs w:val="20"/>
          <w:lang w:val="en-US"/>
        </w:rPr>
        <w:t> </w:t>
      </w:r>
    </w:p>
    <w:p w14:paraId="3A1D678A" w14:textId="77777777" w:rsidR="00BB58E1" w:rsidRPr="00BB58E1" w:rsidRDefault="00BB58E1" w:rsidP="00BB58E1">
      <w:pPr>
        <w:spacing w:line="360" w:lineRule="auto"/>
      </w:pPr>
      <w:r w:rsidRPr="00BB58E1">
        <w:rPr>
          <w:rFonts w:ascii="Times New Roman" w:hAnsi="Times New Roman" w:cs="Times New Roman"/>
          <w:b/>
          <w:bCs/>
          <w:sz w:val="20"/>
          <w:szCs w:val="20"/>
        </w:rPr>
        <w:t>BUSINESS SNAPSHOT</w:t>
      </w:r>
    </w:p>
    <w:p w14:paraId="1519D96D" w14:textId="77777777" w:rsidR="00BB58E1" w:rsidRPr="00BB58E1" w:rsidRDefault="00BB58E1" w:rsidP="00BB58E1">
      <w:pPr>
        <w:pStyle w:val="ListParagraph"/>
        <w:spacing w:after="0" w:line="360" w:lineRule="auto"/>
        <w:ind w:left="90"/>
        <w:contextualSpacing/>
        <w:jc w:val="both"/>
      </w:pPr>
      <w:r w:rsidRPr="00BB58E1">
        <w:rPr>
          <w:rFonts w:ascii="Times New Roman" w:hAnsi="Times New Roman" w:cs="Times New Roman"/>
          <w:color w:val="000000"/>
          <w:sz w:val="20"/>
          <w:szCs w:val="20"/>
          <w:lang w:val="x-none"/>
        </w:rPr>
        <w:t xml:space="preserve">GTL Infrastructure Limited (GTL Infra or the Company) is IP-1 registered with Department of Telecommunications, India. The Company provides passive infrastructure on shared basis to telecom operators (Telcos) for hosting their active network components. The business model of passive infrastructure sharing is based on building, owning, operating and maintaining passive telecom infrastructure sites capable of hosting active network components of various technologies of multiple Telcos. This model enables Telcos to re-assign their resources from capital expenditure to operational expenditure model, thus allowing them to utilise capital for their </w:t>
      </w:r>
      <w:r w:rsidRPr="00BB58E1">
        <w:rPr>
          <w:rFonts w:ascii="Times New Roman" w:hAnsi="Times New Roman" w:cs="Times New Roman"/>
          <w:color w:val="000000"/>
          <w:sz w:val="20"/>
          <w:szCs w:val="20"/>
          <w:lang w:val="en-US"/>
        </w:rPr>
        <w:t xml:space="preserve">respective </w:t>
      </w:r>
      <w:r w:rsidRPr="00BB58E1">
        <w:rPr>
          <w:rFonts w:ascii="Times New Roman" w:hAnsi="Times New Roman" w:cs="Times New Roman"/>
          <w:color w:val="000000"/>
          <w:sz w:val="20"/>
          <w:szCs w:val="20"/>
          <w:lang w:val="x-none"/>
        </w:rPr>
        <w:t xml:space="preserve">core operations. </w:t>
      </w:r>
      <w:r w:rsidRPr="00BB58E1">
        <w:rPr>
          <w:rFonts w:ascii="Times New Roman" w:hAnsi="Times New Roman" w:cs="Times New Roman"/>
          <w:color w:val="000000"/>
          <w:sz w:val="20"/>
          <w:szCs w:val="20"/>
        </w:rPr>
        <w:t>The Company played a pioneering role in shaping this industry and it was the first independent tower company in India to get listed on the stock exchanges.</w:t>
      </w:r>
    </w:p>
    <w:p w14:paraId="1BB6D83B" w14:textId="77777777" w:rsidR="00BB58E1" w:rsidRPr="00BB58E1" w:rsidRDefault="00BB58E1" w:rsidP="00BB58E1">
      <w:pPr>
        <w:pStyle w:val="ListParagraph"/>
        <w:spacing w:after="0" w:line="360" w:lineRule="auto"/>
        <w:ind w:left="360"/>
        <w:contextualSpacing/>
      </w:pPr>
      <w:r w:rsidRPr="00BB58E1">
        <w:rPr>
          <w:rFonts w:ascii="Times New Roman" w:hAnsi="Times New Roman" w:cs="Times New Roman"/>
          <w:b/>
          <w:bCs/>
          <w:sz w:val="20"/>
          <w:szCs w:val="20"/>
        </w:rPr>
        <w:t> </w:t>
      </w:r>
    </w:p>
    <w:p w14:paraId="50921AA9" w14:textId="77777777" w:rsidR="00BB58E1" w:rsidRPr="00BB58E1" w:rsidRDefault="00BB58E1" w:rsidP="00BB58E1">
      <w:pPr>
        <w:spacing w:line="360" w:lineRule="auto"/>
        <w:ind w:firstLine="90"/>
        <w:jc w:val="both"/>
      </w:pPr>
      <w:r w:rsidRPr="00BB58E1">
        <w:rPr>
          <w:rFonts w:ascii="Times New Roman" w:hAnsi="Times New Roman" w:cs="Times New Roman"/>
          <w:b/>
          <w:bCs/>
          <w:sz w:val="20"/>
          <w:szCs w:val="20"/>
          <w:u w:val="single"/>
        </w:rPr>
        <w:t>Salient features of the passive infrastructure business model</w:t>
      </w:r>
    </w:p>
    <w:p w14:paraId="1015AD53" w14:textId="77777777" w:rsidR="00BB58E1" w:rsidRPr="00BB58E1" w:rsidRDefault="00BB58E1" w:rsidP="00BB58E1">
      <w:pPr>
        <w:pStyle w:val="ListParagraph"/>
        <w:numPr>
          <w:ilvl w:val="0"/>
          <w:numId w:val="1"/>
        </w:numPr>
        <w:spacing w:after="0" w:line="360" w:lineRule="auto"/>
        <w:ind w:left="810"/>
        <w:contextualSpacing/>
        <w:jc w:val="both"/>
      </w:pPr>
      <w:r w:rsidRPr="00BB58E1">
        <w:rPr>
          <w:rFonts w:ascii="Times New Roman" w:hAnsi="Times New Roman" w:cs="Times New Roman"/>
          <w:color w:val="000000"/>
          <w:sz w:val="20"/>
          <w:szCs w:val="20"/>
        </w:rPr>
        <w:t>Capable of hosting multiple technologies such as 2G/3G/4G /5G and enterprise data systems.</w:t>
      </w:r>
    </w:p>
    <w:p w14:paraId="2AA6FA28" w14:textId="77777777" w:rsidR="00BB58E1" w:rsidRPr="00BB58E1" w:rsidRDefault="00BB58E1" w:rsidP="00BB58E1">
      <w:pPr>
        <w:pStyle w:val="ListParagraph"/>
        <w:numPr>
          <w:ilvl w:val="0"/>
          <w:numId w:val="1"/>
        </w:numPr>
        <w:spacing w:after="0" w:line="360" w:lineRule="auto"/>
        <w:ind w:left="810"/>
        <w:contextualSpacing/>
        <w:jc w:val="both"/>
      </w:pPr>
      <w:r w:rsidRPr="00BB58E1">
        <w:rPr>
          <w:rFonts w:ascii="Times New Roman" w:hAnsi="Times New Roman" w:cs="Times New Roman"/>
          <w:color w:val="000000"/>
          <w:sz w:val="20"/>
          <w:szCs w:val="20"/>
        </w:rPr>
        <w:t>Growth linked with expansion of wireless networks and technology upgradation</w:t>
      </w:r>
    </w:p>
    <w:p w14:paraId="62D7A26D" w14:textId="77777777" w:rsidR="00BB58E1" w:rsidRPr="00BB58E1" w:rsidRDefault="00BB58E1" w:rsidP="00BB58E1">
      <w:pPr>
        <w:pStyle w:val="ListParagraph"/>
        <w:numPr>
          <w:ilvl w:val="0"/>
          <w:numId w:val="1"/>
        </w:numPr>
        <w:spacing w:after="0" w:line="360" w:lineRule="auto"/>
        <w:ind w:left="810"/>
        <w:contextualSpacing/>
        <w:jc w:val="both"/>
      </w:pPr>
      <w:r w:rsidRPr="00BB58E1">
        <w:rPr>
          <w:rFonts w:ascii="Times New Roman" w:hAnsi="Times New Roman" w:cs="Times New Roman"/>
          <w:color w:val="000000"/>
          <w:sz w:val="20"/>
          <w:szCs w:val="20"/>
        </w:rPr>
        <w:t>Annuity driven business model</w:t>
      </w:r>
    </w:p>
    <w:p w14:paraId="057F1DE5" w14:textId="77777777" w:rsidR="00BB58E1" w:rsidRPr="00BB58E1" w:rsidRDefault="00BB58E1" w:rsidP="00BB58E1">
      <w:pPr>
        <w:pStyle w:val="ListParagraph"/>
        <w:numPr>
          <w:ilvl w:val="0"/>
          <w:numId w:val="1"/>
        </w:numPr>
        <w:spacing w:after="0" w:line="360" w:lineRule="auto"/>
        <w:ind w:left="810"/>
        <w:contextualSpacing/>
        <w:jc w:val="both"/>
      </w:pPr>
      <w:r w:rsidRPr="00BB58E1">
        <w:rPr>
          <w:rFonts w:ascii="Times New Roman" w:hAnsi="Times New Roman" w:cs="Times New Roman"/>
          <w:color w:val="000000"/>
          <w:sz w:val="20"/>
          <w:szCs w:val="20"/>
        </w:rPr>
        <w:t>Medium to long term contracts with Telcos (usually renewable), with built-in annual escalation in pricing</w:t>
      </w:r>
    </w:p>
    <w:p w14:paraId="78AA9C0D" w14:textId="77777777" w:rsidR="00BB58E1" w:rsidRPr="00BB58E1" w:rsidRDefault="00BB58E1" w:rsidP="00BB58E1">
      <w:pPr>
        <w:pStyle w:val="ListParagraph"/>
        <w:numPr>
          <w:ilvl w:val="0"/>
          <w:numId w:val="1"/>
        </w:numPr>
        <w:spacing w:after="0" w:line="360" w:lineRule="auto"/>
        <w:ind w:left="810"/>
        <w:contextualSpacing/>
        <w:jc w:val="both"/>
      </w:pPr>
      <w:r w:rsidRPr="00BB58E1">
        <w:rPr>
          <w:rFonts w:ascii="Times New Roman" w:hAnsi="Times New Roman" w:cs="Times New Roman"/>
          <w:color w:val="000000"/>
          <w:sz w:val="20"/>
          <w:szCs w:val="20"/>
        </w:rPr>
        <w:t>Energy management contracts with Telcos</w:t>
      </w:r>
    </w:p>
    <w:p w14:paraId="443191F6" w14:textId="77777777" w:rsidR="00BB58E1" w:rsidRPr="00BB58E1" w:rsidRDefault="00BB58E1" w:rsidP="00BB58E1">
      <w:pPr>
        <w:pStyle w:val="ListParagraph"/>
        <w:numPr>
          <w:ilvl w:val="0"/>
          <w:numId w:val="1"/>
        </w:numPr>
        <w:spacing w:after="0" w:line="360" w:lineRule="auto"/>
        <w:ind w:left="810"/>
        <w:contextualSpacing/>
        <w:jc w:val="both"/>
      </w:pPr>
      <w:r w:rsidRPr="00BB58E1">
        <w:rPr>
          <w:rFonts w:ascii="Times New Roman" w:hAnsi="Times New Roman" w:cs="Times New Roman"/>
          <w:color w:val="000000"/>
          <w:sz w:val="20"/>
          <w:szCs w:val="20"/>
        </w:rPr>
        <w:t>Relatively fixed cost structure and low level of maintenance</w:t>
      </w:r>
    </w:p>
    <w:p w14:paraId="3CB9724B" w14:textId="77777777" w:rsidR="00BB58E1" w:rsidRPr="00BB58E1" w:rsidRDefault="00BB58E1" w:rsidP="00BB58E1">
      <w:pPr>
        <w:pStyle w:val="ListParagraph"/>
        <w:numPr>
          <w:ilvl w:val="0"/>
          <w:numId w:val="1"/>
        </w:numPr>
        <w:spacing w:after="0" w:line="360" w:lineRule="auto"/>
        <w:ind w:left="810"/>
        <w:contextualSpacing/>
        <w:jc w:val="both"/>
      </w:pPr>
      <w:r w:rsidRPr="00BB58E1">
        <w:rPr>
          <w:rFonts w:ascii="Times New Roman" w:hAnsi="Times New Roman" w:cs="Times New Roman"/>
          <w:color w:val="000000"/>
          <w:sz w:val="20"/>
          <w:szCs w:val="20"/>
        </w:rPr>
        <w:t>Predictability in free cash flows</w:t>
      </w:r>
    </w:p>
    <w:p w14:paraId="31627E9D" w14:textId="77777777" w:rsidR="00BB58E1" w:rsidRPr="00BB58E1" w:rsidRDefault="00BB58E1" w:rsidP="00BB58E1">
      <w:pPr>
        <w:pStyle w:val="ListParagraph"/>
        <w:numPr>
          <w:ilvl w:val="0"/>
          <w:numId w:val="1"/>
        </w:numPr>
        <w:spacing w:after="0" w:line="360" w:lineRule="auto"/>
        <w:ind w:left="810"/>
        <w:contextualSpacing/>
        <w:jc w:val="both"/>
      </w:pPr>
      <w:r w:rsidRPr="00BB58E1">
        <w:rPr>
          <w:rFonts w:ascii="Times New Roman" w:hAnsi="Times New Roman" w:cs="Times New Roman"/>
          <w:color w:val="000000"/>
          <w:sz w:val="20"/>
          <w:szCs w:val="20"/>
        </w:rPr>
        <w:t>Additional tenancies (post anchor tenant) lead to higher EBITDA margins and higher percentage of revenue translating to cash flow</w:t>
      </w:r>
    </w:p>
    <w:p w14:paraId="2AA01EEF" w14:textId="77777777" w:rsidR="00BB58E1" w:rsidRPr="00BB58E1" w:rsidRDefault="00BB58E1" w:rsidP="00BB58E1">
      <w:pPr>
        <w:pStyle w:val="ListParagraph"/>
        <w:numPr>
          <w:ilvl w:val="0"/>
          <w:numId w:val="1"/>
        </w:numPr>
        <w:spacing w:after="0" w:line="360" w:lineRule="auto"/>
        <w:ind w:left="810"/>
        <w:contextualSpacing/>
        <w:jc w:val="both"/>
      </w:pPr>
      <w:r w:rsidRPr="00BB58E1">
        <w:rPr>
          <w:rFonts w:ascii="Times New Roman" w:hAnsi="Times New Roman" w:cs="Times New Roman"/>
          <w:sz w:val="20"/>
          <w:szCs w:val="20"/>
        </w:rPr>
        <w:t>Loading at site on base Technology by operators generates additional revenue &amp; EBITDA</w:t>
      </w:r>
    </w:p>
    <w:p w14:paraId="5BCF7EC1" w14:textId="77777777" w:rsidR="00BB58E1" w:rsidRPr="00BB58E1" w:rsidRDefault="00BB58E1" w:rsidP="00BB58E1">
      <w:r w:rsidRPr="00BB58E1">
        <w:rPr>
          <w:rFonts w:ascii="Calibri" w:hAnsi="Calibri"/>
        </w:rPr>
        <w:t> </w:t>
      </w:r>
    </w:p>
    <w:p w14:paraId="423E9A57" w14:textId="77777777" w:rsidR="00BB58E1" w:rsidRPr="00BB58E1" w:rsidRDefault="00BB58E1" w:rsidP="00BB58E1">
      <w:r w:rsidRPr="00BB58E1">
        <w:rPr>
          <w:rFonts w:ascii="Times New Roman" w:hAnsi="Times New Roman" w:cs="Times New Roman"/>
          <w:b/>
          <w:bCs/>
          <w:sz w:val="20"/>
          <w:szCs w:val="20"/>
          <w:u w:val="single"/>
        </w:rPr>
        <w:t>Occupied Towers, Tenants and Tenancy Ratio</w:t>
      </w:r>
    </w:p>
    <w:p w14:paraId="76B3C87B" w14:textId="77777777" w:rsidR="00BB58E1" w:rsidRPr="00BB58E1" w:rsidRDefault="00BB58E1" w:rsidP="00BB58E1">
      <w:r w:rsidRPr="00BB58E1">
        <w:rPr>
          <w:rFonts w:ascii="Times New Roman" w:hAnsi="Times New Roman" w:cs="Times New Roman"/>
          <w:b/>
          <w:bCs/>
          <w:sz w:val="20"/>
          <w:szCs w:val="20"/>
        </w:rPr>
        <w:t> </w:t>
      </w:r>
    </w:p>
    <w:p w14:paraId="6A1EFE75" w14:textId="77777777" w:rsidR="00BB58E1" w:rsidRDefault="00BB58E1" w:rsidP="00BB58E1">
      <w:r w:rsidRPr="00BB58E1">
        <w:rPr>
          <w:rFonts w:ascii="Times New Roman" w:hAnsi="Times New Roman" w:cs="Times New Roman"/>
          <w:sz w:val="20"/>
          <w:szCs w:val="20"/>
        </w:rPr>
        <w:t>As on March 31, 2024, the Company owned 21,944 towers out of which 10,491 were occupied with 22,018 radiating tenants having tenancy ratio of 2.1 on occupied towers.</w:t>
      </w:r>
      <w:r>
        <w:rPr>
          <w:rFonts w:ascii="Times New Roman" w:hAnsi="Times New Roman" w:cs="Times New Roman"/>
          <w:sz w:val="20"/>
          <w:szCs w:val="20"/>
        </w:rPr>
        <w:t xml:space="preserve"> </w:t>
      </w:r>
    </w:p>
    <w:p w14:paraId="3EBA0002" w14:textId="77777777" w:rsidR="00837C26" w:rsidRDefault="00837C26"/>
    <w:sectPr w:rsidR="00837C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3A1EED"/>
    <w:multiLevelType w:val="multilevel"/>
    <w:tmpl w:val="61E864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27A"/>
    <w:rsid w:val="004F65E5"/>
    <w:rsid w:val="0058760C"/>
    <w:rsid w:val="00837C26"/>
    <w:rsid w:val="009F727A"/>
    <w:rsid w:val="00BB58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4C899"/>
  <w15:chartTrackingRefBased/>
  <w15:docId w15:val="{A47C142B-6875-4071-98F6-E2A4BE24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8E1"/>
    <w:pPr>
      <w:spacing w:after="0" w:line="240" w:lineRule="auto"/>
    </w:pPr>
    <w:rPr>
      <w:rFonts w:ascii="Aptos" w:hAnsi="Aptos" w:cs="Calibri"/>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8E1"/>
    <w:pPr>
      <w:spacing w:after="160" w:line="252" w:lineRule="auto"/>
      <w:ind w:left="7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37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00D8B9279B6647B49E2D920F113483" ma:contentTypeVersion="4" ma:contentTypeDescription="Create a new document." ma:contentTypeScope="" ma:versionID="272521d512dd50ea6caf94fd66e87615">
  <xsd:schema xmlns:xsd="http://www.w3.org/2001/XMLSchema" xmlns:xs="http://www.w3.org/2001/XMLSchema" xmlns:p="http://schemas.microsoft.com/office/2006/metadata/properties" xmlns:ns2="22e7486f-2c31-4180-b8cf-806533851c47" targetNamespace="http://schemas.microsoft.com/office/2006/metadata/properties" ma:root="true" ma:fieldsID="27a841ee03e735ba6e1507010535c63e" ns2:_="">
    <xsd:import namespace="22e7486f-2c31-4180-b8cf-806533851c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e7486f-2c31-4180-b8cf-806533851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E27F95-B147-49FC-9823-7451E51B472C}"/>
</file>

<file path=customXml/itemProps2.xml><?xml version="1.0" encoding="utf-8"?>
<ds:datastoreItem xmlns:ds="http://schemas.openxmlformats.org/officeDocument/2006/customXml" ds:itemID="{9363B945-A143-4048-9CBA-4916E4E19813}"/>
</file>

<file path=customXml/itemProps3.xml><?xml version="1.0" encoding="utf-8"?>
<ds:datastoreItem xmlns:ds="http://schemas.openxmlformats.org/officeDocument/2006/customXml" ds:itemID="{A12EC9F1-8BAB-4168-94D4-0E28C7056976}"/>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1538</Characters>
  <Application>Microsoft Office Word</Application>
  <DocSecurity>0</DocSecurity>
  <Lines>12</Lines>
  <Paragraphs>3</Paragraphs>
  <ScaleCrop>false</ScaleCrop>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Akshay Padhye</dc:creator>
  <cp:keywords/>
  <dc:description/>
  <cp:lastModifiedBy>Akshay Padhye</cp:lastModifiedBy>
  <cp:revision>2</cp:revision>
  <dcterms:created xsi:type="dcterms:W3CDTF">2025-01-15T09:18:00Z</dcterms:created>
  <dcterms:modified xsi:type="dcterms:W3CDTF">2025-01-15T09:18:00Z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0x0101009900D8B9279B6647B49E2D920F113483</vt:lpwstr>
  </property>
</Properties>
</file>